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UCLA Center in Early Detection of Liver Cancer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Spectral precision imaging for early diagnosis of colorectal lesions with CT colonography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A NON INVASIVE DERMATOLOGICAL LESION CLASSIFIER</w:t>
            </w:r>
          </w:p>
        </w:tc>
        <w:tc>
          <w:tcPr>
            <w:tcW w:type="dxa" w:w="1728"/>
          </w:tcPr>
          <w:p>
            <w:r>
              <w:t>WESTERN RESEARCH COMPANY,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Deep radiomic colon cleansing for laxative-free CT colonography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Early Detection of Keratoconus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</w:tr>
    </w:tbl>
    <w:p>
      <w:r>
        <w:rPr>
          <w:b/>
        </w:rPr>
        <w:t>Cluster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Using connectomics to characterize risk for Alzheimer's Disease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Blood Base Bioenergetic Profiling: A Novel Approach for Identifying Alzheimer's Disease Risk and Pathology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Neural Signature of Fear Overgeneralization in Trauma Exposed Adults</w:t>
            </w:r>
          </w:p>
        </w:tc>
        <w:tc>
          <w:tcPr>
            <w:tcW w:type="dxa" w:w="1728"/>
          </w:tcPr>
          <w:p>
            <w:r>
              <w:t>NEW YORK STATE PSYCHIATRIC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Neural mechanisms of pathological selfishness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  <w:tr>
        <w:tc>
          <w:tcPr>
            <w:tcW w:type="dxa" w:w="1728"/>
          </w:tcPr>
          <w:p>
            <w:r>
              <w:t>Neural mechanisms of attentional priority for visual features and objects</w:t>
            </w:r>
          </w:p>
        </w:tc>
        <w:tc>
          <w:tcPr>
            <w:tcW w:type="dxa" w:w="1728"/>
          </w:tcPr>
          <w:p>
            <w:r>
              <w:t>MICHIGAN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Neurocognitive Mechanisms of the Executive Control of Memory and Emotion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Multi-Level Modeling of Addiction Comorbidity</w:t>
            </w:r>
          </w:p>
        </w:tc>
        <w:tc>
          <w:tcPr>
            <w:tcW w:type="dxa" w:w="1728"/>
          </w:tcPr>
          <w:p>
            <w:r>
              <w:t>UNIV OF ARKANSAS FOR MED SCIS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</w:tbl>
    <w:p>
      <w:r>
        <w:rPr>
          <w:b/>
        </w:rPr>
        <w:t>Cluster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NonCancer Care of Elderly Colorectal Cancer Patients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Periodontal Disease and the Incidence of Oral Cancer</w:t>
            </w:r>
          </w:p>
        </w:tc>
        <w:tc>
          <w:tcPr>
            <w:tcW w:type="dxa" w:w="1728"/>
          </w:tcPr>
          <w:p>
            <w:r>
              <w:t>ROSWELL PARK CANCER INSTITUTE CORP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Prospective study on viral load of cervical cancer</w:t>
            </w:r>
          </w:p>
        </w:tc>
        <w:tc>
          <w:tcPr>
            <w:tcW w:type="dxa" w:w="1728"/>
          </w:tcPr>
          <w:p>
            <w:r>
              <w:t>KAROLINSKA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Advancing Cancer Pharmacoepidemiology Research Through EHRs and Informatics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Optimizing cervical cancer screening for HPV-vaccinated women: Evaluation of post-vaccination cervical cancer screening test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</w:tbl>
    <w:p>
      <w:r>
        <w:rPr>
          <w:b/>
        </w:rPr>
        <w:t>Cluster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High throughput assaying of circuit activity and connectivity in brain organoids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RF1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  <w:tr>
        <w:tc>
          <w:tcPr>
            <w:tcW w:type="dxa" w:w="1728"/>
          </w:tcPr>
          <w:p>
            <w:r>
              <w:t>Bayesian Methods for Localizing Dynamic Brain Activity and Epileptogenic Zones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</w:tr>
      <w:tr>
        <w:tc>
          <w:tcPr>
            <w:tcW w:type="dxa" w:w="1728"/>
          </w:tcPr>
          <w:p>
            <w:r>
              <w:t>BRAIN INITIATIVE RESOURCE: DEVELOPMENT OF A HUMAN NEUROELECTROMAGNETIC DATA ARCHIVE AND TOOLS RESOURCE (NEMAR)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0.031</w:t>
            </w:r>
          </w:p>
        </w:tc>
      </w:tr>
      <w:tr>
        <w:tc>
          <w:tcPr>
            <w:tcW w:type="dxa" w:w="1728"/>
          </w:tcPr>
          <w:p>
            <w:r>
              <w:t>BrainStorm: Highly Extensible Software for Advanced Electrophysiology and MEG/EEG Imaging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Motion Robust Mapping of Human Brain Functional Connectivity Changes in Utero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</w:tbl>
    <w:p>
      <w:r>
        <w:rPr>
          <w:b/>
        </w:rPr>
        <w:t>Cluster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Identifying Receipt of Colorectal Cancer Screening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Increasing CRC Screening in Primary Care Settings</w:t>
            </w:r>
          </w:p>
        </w:tc>
        <w:tc>
          <w:tcPr>
            <w:tcW w:type="dxa" w:w="1728"/>
          </w:tcPr>
          <w:p>
            <w:r>
              <w:t>UNIVERSITY OF ILLINOIS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Mammography Visits to Improve Colon Cancer Screening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Reducing disparities in colorectal cancer screening in Vietnamese Americans</w:t>
            </w:r>
          </w:p>
        </w:tc>
        <w:tc>
          <w:tcPr>
            <w:tcW w:type="dxa" w:w="1728"/>
          </w:tcPr>
          <w:p>
            <w:r>
              <w:t>CANCER PREVENTION INSTIT OF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Comprehensive Colorectal Cancer Risk Prediction to Inform Personalized Screening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</w:tbl>
    <w:p>
      <w:r>
        <w:rPr>
          <w:b/>
        </w:rPr>
        <w:t>Cluster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Computational Biomechanical Airway Model for Obese Children at Risk for OSAS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Multi-Site Validation Study of the HLHS Arrest Predictor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Development of clinical decision tools for management of diarrhea of children in high and low resource settings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Predicting Heterogeneous Neurodevelopmental Outcomes in School-age Children with Early Caregiving Adversities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The New Tics Study: A Novel Approach to Pathophysiology and Cause of Tic Disorders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</w:tbl>
    <w:p>
      <w:r>
        <w:rPr>
          <w:b/>
        </w:rPr>
        <w:t>Cluster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Clinically Relevant Genome Variation Database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EMR Phenotype and Community Engaged Genomic Associations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Creating a Myelomeningocele Exome Variant Map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Genetic Factors in Keratoconus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Optimizing Genetic Testing for Deafness for Clinical Diagnostics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</w:tbl>
    <w:p>
      <w:r>
        <w:rPr>
          <w:b/>
        </w:rPr>
        <w:t>Cluster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Genotype and phenotype predictors in therapy response in renal cell carcinoma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SBIR Phase I Topic 402 - Artificial Intelligence-Aided Imaging for Cancer Prevention, Diagnosis, and Monitoring</w:t>
            </w:r>
          </w:p>
        </w:tc>
        <w:tc>
          <w:tcPr>
            <w:tcW w:type="dxa" w:w="1728"/>
          </w:tcPr>
          <w:p>
            <w:r>
              <w:t>PHENOMAPPER,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Clinical algorithm for identifying adult autism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Novel computer vision-based assessment of infant-caregiver synchrony as an early level II screening tool for autism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HIV Testing, Linkage and Retention in Care: Contextual Factors and Disparities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rPr>
          <w:b/>
        </w:rPr>
        <w:t>Cluster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Mouse Model Neuro-Facial Dysmorphology: Tanslational and Treatment Studies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Spectrum of and Nutritional Risk Factors for FASD in Russia and Ukraine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Administrative Core of the CIFASD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Maternal circulating miRNA function in Fetal Alcohol Spectrum Disorders</w:t>
            </w:r>
          </w:p>
        </w:tc>
        <w:tc>
          <w:tcPr>
            <w:tcW w:type="dxa" w:w="1728"/>
          </w:tcPr>
          <w:p>
            <w:r>
              <w:t>TEXAS A&amp;M UNIVERSITY HEALTH SCIENCE CTR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DNA Methylation and gene expression variations influence pituitary adenoma hormonal function and invasive growth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Revealing the transcriptomic basis of neuronal identity through functional meta-analysis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Regularized Classification &amp; Survival Analysis for Expression Profiling of Cancer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Point Impact and Sparsity in Functional Data Analysis.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Translational Bioinformatics for Human Developmental Genomics</w:t>
            </w:r>
          </w:p>
        </w:tc>
        <w:tc>
          <w:tcPr>
            <w:tcW w:type="dxa" w:w="1728"/>
          </w:tcPr>
          <w:p>
            <w:r>
              <w:t>TUFTS UNIVERSITY MEDFORD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</w:tbl>
    <w:p>
      <w:r>
        <w:rPr>
          <w:b/>
        </w:rPr>
        <w:t>Cluster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Hybrid General Natural Language Processing Architecture</w:t>
            </w:r>
          </w:p>
        </w:tc>
        <w:tc>
          <w:tcPr>
            <w:tcW w:type="dxa" w:w="1728"/>
          </w:tcPr>
          <w:p>
            <w:r>
              <w:t>LOGICAL SEMANTICS,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Engineering Approach to Individually Tailored Medicine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Secondary use of EMRs for surgical complication surveillance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CLAMP-CS: a Cloud-based, Service-oriented, high-performance Natural Language Processing Platform for Healthcare</w:t>
            </w:r>
          </w:p>
        </w:tc>
        <w:tc>
          <w:tcPr>
            <w:tcW w:type="dxa" w:w="1728"/>
          </w:tcPr>
          <w:p>
            <w:r>
              <w:t>MELAX TECHNOLOGIES,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  <w:tr>
        <w:tc>
          <w:tcPr>
            <w:tcW w:type="dxa" w:w="1728"/>
          </w:tcPr>
          <w:p>
            <w:r>
              <w:t>Capturing and linking genomic and clinical information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</w:tbl>
    <w:p>
      <w:r>
        <w:rPr>
          <w:b/>
        </w:rPr>
        <w:t>Cluster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AUTOMATIC QUANTITATIVE CT IMAGING OF PERICARDIAL FAT: A NOVEL ISCHEMIA PREDICTOR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Transition from Risk Factors to Early HF: Prevalence, Pathogenesis, and Phenomics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Comprehensive Cardiac Structure-Function Analysis in Heart Transplantation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CorBand: A novel wearable wrist sensor for heart failure remote monitoring</w:t>
            </w:r>
          </w:p>
        </w:tc>
        <w:tc>
          <w:tcPr>
            <w:tcW w:type="dxa" w:w="1728"/>
          </w:tcPr>
          <w:p>
            <w:r>
              <w:t>RETHINK 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Early Diagnosis of Heart Failure: A Perioperative Data-Driven Approach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</w:tbl>
    <w:p>
      <w:r>
        <w:rPr>
          <w:b/>
        </w:rPr>
        <w:t>Cluster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Gut Microbiome in Parkinson Disease</w:t>
            </w:r>
          </w:p>
        </w:tc>
        <w:tc>
          <w:tcPr>
            <w:tcW w:type="dxa" w:w="1728"/>
          </w:tcPr>
          <w:p>
            <w:r>
              <w:t>UNIVERSITY OF MASSACHUSETTS LOWELL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Metabolomics and risk of Parkinson's Disease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0.025</w:t>
            </w:r>
          </w:p>
        </w:tc>
      </w:tr>
      <w:tr>
        <w:tc>
          <w:tcPr>
            <w:tcW w:type="dxa" w:w="1728"/>
          </w:tcPr>
          <w:p>
            <w:r>
              <w:t>Precision immunoprofiling to reveal diagnostic biomarkers of latent TB infection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</w:tr>
      <w:tr>
        <w:tc>
          <w:tcPr>
            <w:tcW w:type="dxa" w:w="1728"/>
          </w:tcPr>
          <w:p>
            <w:r>
              <w:t>Identifying individuals at risk of progression to active tuberculosis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Environment, Metabolomics, and PD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</w:tbl>
    <w:p>
      <w:r>
        <w:rPr>
          <w:b/>
        </w:rPr>
        <w:t>Cluster 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SPEECH MOVEMENT CLASSIFICATION FOR ASSESSING AND TREATING ALS</w:t>
            </w:r>
          </w:p>
        </w:tc>
        <w:tc>
          <w:tcPr>
            <w:tcW w:type="dxa" w:w="1728"/>
          </w:tcPr>
          <w:p>
            <w:r>
              <w:t>MGH INSTITUTE OF HEALTH PROFESSIONS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Speech Movement Classification for Assessing and Treating ALS</w:t>
            </w:r>
          </w:p>
        </w:tc>
        <w:tc>
          <w:tcPr>
            <w:tcW w:type="dxa" w:w="1728"/>
          </w:tcPr>
          <w:p>
            <w:r>
              <w:t>MGH INSTITUTE OF HEALTH PROFESSIONS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rPr>
          <w:b/>
        </w:rPr>
        <w:t>Cluster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Institutional Collaboration between LSTM and CDC and Prevention on Malaria(U01)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0.61</w:t>
            </w:r>
          </w:p>
        </w:tc>
      </w:tr>
      <w:tr>
        <w:tc>
          <w:tcPr>
            <w:tcW w:type="dxa" w:w="1728"/>
          </w:tcPr>
          <w:p>
            <w:r>
              <w:t>Vaccine Development for Falciparum Malaria in Pregnant Women and Their Offspring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Towards noninvasive diagnosis of malaria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>
            <w:r>
              <w:t>Systems Biology of Plasmodium falciparum: Building and Exploring Network Models</w:t>
            </w:r>
          </w:p>
        </w:tc>
        <w:tc>
          <w:tcPr>
            <w:tcW w:type="dxa" w:w="1728"/>
          </w:tcPr>
          <w:p>
            <w:r>
              <w:t>UNIVERSITY OF TEXAS SAN ANTONIO</w:t>
            </w:r>
          </w:p>
        </w:tc>
        <w:tc>
          <w:tcPr>
            <w:tcW w:type="dxa" w:w="1728"/>
          </w:tcPr>
          <w:p>
            <w:r>
              <w:t>SC1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Malarial Retinopathy Screening System for Improved Diagnosis of Cerebral Malaria</w:t>
            </w:r>
          </w:p>
        </w:tc>
        <w:tc>
          <w:tcPr>
            <w:tcW w:type="dxa" w:w="1728"/>
          </w:tcPr>
          <w:p>
            <w:r>
              <w:t>VISIONQUEST BIOMEDICAL INC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Digital Tomosynthesis Mammography: Computer-Aided Analysis of Masses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Toward Diagnostics and Therapies of Molecular Subcategories of CAD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Information-Theoretic Based CAD in Mammography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Detection of Glaucoma Progression with Macular OCT Imaging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Medical Advice from Glaucoma Informatics (MAGI)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Diagnostic Innovations in Glaucoma: Clinical Electrophysiology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A hybrid artificial intelligence framework for glaucoma monitoring</w:t>
            </w:r>
          </w:p>
        </w:tc>
        <w:tc>
          <w:tcPr>
            <w:tcW w:type="dxa" w:w="1728"/>
          </w:tcPr>
          <w:p>
            <w:r>
              <w:t>UNIVERSITY OF TENNESSEE HEALTH SCI CTR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</w:tbl>
    <w:p>
      <w:r>
        <w:rPr>
          <w:b/>
        </w:rPr>
        <w:t>Cluster 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Deep Learning and Streaming Analytics for Prediction of Adverse Events in the ICU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Enhancing an EMR-Based Real-Time Sepsis Alert System Performance through Machine Learning</w:t>
            </w:r>
          </w:p>
        </w:tc>
        <w:tc>
          <w:tcPr>
            <w:tcW w:type="dxa" w:w="1728"/>
          </w:tcPr>
          <w:p>
            <w:r>
              <w:t>WAYNE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Using clinical treatment data in a machine learning approach for sepsis detection</w:t>
            </w:r>
          </w:p>
        </w:tc>
        <w:tc>
          <w:tcPr>
            <w:tcW w:type="dxa" w:w="1728"/>
          </w:tcPr>
          <w:p>
            <w:r>
              <w:t>DASCENA,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 Study (SEPSIS)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Study (SEPSIS)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</w:tbl>
    <w:p>
      <w:r>
        <w:rPr>
          <w:b/>
        </w:rPr>
        <w:t>Cluster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initial care of younger adults with newly diagnosed type 2 diabetes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  <w:tr>
        <w:tc>
          <w:tcPr>
            <w:tcW w:type="dxa" w:w="1728"/>
          </w:tcPr>
          <w:p>
            <w:r>
              <w:t>SURPASS: (Statin Use and Risk Prediction of Atherosclerotic Cardiovascular Disease in minority Subgroups)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Epidemiology and clinical outcomes of diabetic macular edema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Predictive Model of Chronic Kidney Disease in a Hispanic Population</w:t>
            </w:r>
          </w:p>
        </w:tc>
        <w:tc>
          <w:tcPr>
            <w:tcW w:type="dxa" w:w="1728"/>
          </w:tcPr>
          <w:p>
            <w:r>
              <w:t>UNIVERSITY OF TEXAS MED BR GALVESTON</w:t>
            </w:r>
          </w:p>
        </w:tc>
        <w:tc>
          <w:tcPr>
            <w:tcW w:type="dxa" w:w="1728"/>
          </w:tcPr>
          <w:p>
            <w:r>
              <w:t>K22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Data-Driven Identification of the Acute Respiratory Distress Syndrome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</w:tbl>
    <w:p>
      <w:r>
        <w:rPr>
          <w:b/>
        </w:rPr>
        <w:t>Cluster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Migraine, Migraine Medication Use, and Risk of Breast Cancer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NESTED CASE CONTROL STUDY OF MAMMOGRAPHIC DENSITY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Mitochondrial Haplogroups and Breast Cancer Risk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Convergent AI for Precise Breast Cancer Risk Assessment</w:t>
            </w:r>
          </w:p>
        </w:tc>
        <w:tc>
          <w:tcPr>
            <w:tcW w:type="dxa" w:w="1728"/>
          </w:tcPr>
          <w:p>
            <w:r>
              <w:t>METHODIST HOSPITAL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Very large datasets and new models to predict and design protein interactions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Computer Studies of Protein Structure and Function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Proteomics of ciliopathy protein complexes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Understanding molecular rules governing protein allostery by deep mutational scanning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DP2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MEDIC ONE STROKE SCALE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rPr>
          <w:b/>
        </w:rPr>
        <w:t>Cluster 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Mechanistic Characterization of Pain in Temporomandibular Disorders: Does Pain Centralization Influence Responsiveness to Peripherally Targeted Treatments?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Neuroimaging-based biomarkers for two components of pain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Development of a deep neural network to measure spontaneous pain from mouse facial expressions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Modifiable Risk Factors for Fatal Prostate Cancer: A Prospective Study In Asia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rPr>
          <w:b/>
        </w:rPr>
        <w:t>Cluster 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HIGH THROUGHPUT IN VIVO DRUG DISCOVERY-PHASE 1</w:t>
            </w:r>
          </w:p>
        </w:tc>
        <w:tc>
          <w:tcPr>
            <w:tcW w:type="dxa" w:w="1728"/>
          </w:tcPr>
          <w:p>
            <w:r>
              <w:t>PSYCHOGENICS,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Mapping the Drugome: predictive network approaches to drug safety surveillance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Peripheral Nerve-on-a-chip for Predictive Preclinical Pharmaceutical Testing</w:t>
            </w:r>
          </w:p>
        </w:tc>
        <w:tc>
          <w:tcPr>
            <w:tcW w:type="dxa" w:w="1728"/>
          </w:tcPr>
          <w:p>
            <w:r>
              <w:t>AXOSIM, INC.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MegaTrans – human transporter machine learning models</w:t>
            </w:r>
          </w:p>
        </w:tc>
        <w:tc>
          <w:tcPr>
            <w:tcW w:type="dxa" w:w="1728"/>
          </w:tcPr>
          <w:p>
            <w:r>
              <w:t>COLLABORATIONS PHARMACEUTICALS,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</w:tbl>
    <w:p>
      <w:r>
        <w:rPr>
          <w:b/>
        </w:rPr>
        <w:t>Cluster 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Seasonality of Suicide and Airborne Allergens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SEASONALITY OF SUICIDE AND AIRBORNE ALLERGENS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Computerized Adaptive Suicidal Risk Stratification and Prediction</w:t>
            </w:r>
          </w:p>
        </w:tc>
        <w:tc>
          <w:tcPr>
            <w:tcW w:type="dxa" w:w="1728"/>
          </w:tcPr>
          <w:p>
            <w:r>
              <w:t>ADAPTIVE TESTING TECHNOLOGIES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Treatment Utilization Before Suicide (TUBS)</w:t>
            </w:r>
          </w:p>
        </w:tc>
        <w:tc>
          <w:tcPr>
            <w:tcW w:type="dxa" w:w="1728"/>
          </w:tcPr>
          <w:p>
            <w:r>
              <w:t>HENRY FORD HEALTH 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</w:tbl>
    <w:p>
      <w:r>
        <w:rPr>
          <w:b/>
        </w:rPr>
        <w:t>Cluster 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PEDIATRIC ASTHMA DISPARITIES: PERCEPTIONS AND MANAGEMENT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DISPARITIES IN ASTHMA AMONG ELDERLY IN WEST TEXAS</w:t>
            </w:r>
          </w:p>
        </w:tc>
        <w:tc>
          <w:tcPr>
            <w:tcW w:type="dxa" w:w="1728"/>
          </w:tcPr>
          <w:p>
            <w:r>
              <w:t>TEXAS TECH UNIVERSITY HEALTH SCIS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Secondary use of EMR for residency training in asthma care and documentation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</w:tbl>
    <w:p>
      <w:r>
        <w:rPr>
          <w:b/>
        </w:rPr>
        <w:t>Cluster 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Vitamin D, Epstein-Barr virus infection, and cigarette smoking and risk of multip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Novel Strategies to Identify GxE Contributions to MS Pathogenesis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Sequential Ion/Ion Reactions for Large Peptide and Whole Protein Characterization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rPr>
          <w:b/>
        </w:rPr>
        <w:t>Cluster 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System for Muscle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Multimodal image registration by proxy image synthesis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Clinical Image Retrieval: User needs assessment toolbox development &amp; evaluation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Clinical Image Retrieval: User needs assessment, toolbox development &amp; evaluation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</w:tbl>
    <w:p>
      <w:r>
        <w:rPr>
          <w:b/>
        </w:rPr>
        <w:t>Cluster 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33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Olfactory and facial markers of developmental risk for psychosis in 22q11 deletion syndrome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Ultra-high field GluCEST MRI and MRS in youth at risk for psychosis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2/5 CAPER Computerized assessment of psychosis risk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4/5 CAPER: Computerized assessment of psychosis risk</w:t>
            </w:r>
          </w:p>
        </w:tc>
        <w:tc>
          <w:tcPr>
            <w:tcW w:type="dxa" w:w="1728"/>
          </w:tcPr>
          <w:p>
            <w:r>
              <w:t>UNIVERSITY OF GEORGIA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CAPER: Computerized Assessment of Psychosis Risk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METHODS TO SUPPORT THE DETECTION OF DEPRESSION IN DEMENTIA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An Expert System to Reduce Depression in Primary Care</w:t>
            </w:r>
          </w:p>
        </w:tc>
        <w:tc>
          <w:tcPr>
            <w:tcW w:type="dxa" w:w="1728"/>
          </w:tcPr>
          <w:p>
            <w:r>
              <w:t>PRO-CHANGE BEHAVIOR SYSTEMS,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Effectiveness of Treating Prenatal Depression to Reduce Postpartum Depression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Changing Talk Online (CHATO): A Pragmatic Trial to Reduce Behavioral Symptoms in Dementia Care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R61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Planning Changing Talk Online (CHATO): a Clinical Trial Testing the Effects of Online Communication Training for Nursing Home Staff on Behavioral and Psychological Symptoms of Residents with Dementia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