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90BE" w14:textId="77777777" w:rsidR="004D36E7" w:rsidRPr="004D36E7" w:rsidRDefault="004D36E7" w:rsidP="004D36E7">
      <w:pPr>
        <w:shd w:val="clear" w:color="auto" w:fill="FFFFFF"/>
        <w:spacing w:before="100" w:beforeAutospacing="1" w:after="120" w:line="240" w:lineRule="auto"/>
        <w:outlineLvl w:val="0"/>
        <w:rPr>
          <w:rFonts w:ascii="Segoe UI" w:eastAsia="Times New Roman" w:hAnsi="Segoe UI" w:cs="Segoe UI"/>
          <w:b/>
          <w:bCs/>
          <w:kern w:val="36"/>
          <w:sz w:val="48"/>
          <w:szCs w:val="48"/>
          <w14:ligatures w14:val="none"/>
        </w:rPr>
      </w:pPr>
      <w:r w:rsidRPr="004D36E7">
        <w:rPr>
          <w:rFonts w:ascii="Segoe UI" w:eastAsia="Times New Roman" w:hAnsi="Segoe UI" w:cs="Segoe UI"/>
          <w:b/>
          <w:bCs/>
          <w:kern w:val="36"/>
          <w:sz w:val="48"/>
          <w:szCs w:val="48"/>
          <w14:ligatures w14:val="none"/>
        </w:rPr>
        <w:t>Benchmarks for ATS-enabled reporting in Recruiter</w:t>
      </w:r>
    </w:p>
    <w:p w14:paraId="1D915502"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sidRPr="004D36E7">
        <w:rPr>
          <w:rFonts w:ascii="Segoe UI" w:hAnsi="Segoe UI" w:cs="Segoe UI"/>
          <w:sz w:val="21"/>
          <w:szCs w:val="21"/>
          <w:shd w:val="clear" w:color="auto" w:fill="FFFFFF"/>
        </w:rPr>
        <w:br/>
      </w:r>
      <w:r>
        <w:rPr>
          <w:rFonts w:ascii="Segoe UI" w:hAnsi="Segoe UI" w:cs="Segoe UI"/>
          <w:sz w:val="21"/>
          <w:szCs w:val="21"/>
        </w:rPr>
        <w:t>Applicant Tracking System (ATS) enabled reporting combines Recruiter System Connect (RSC) data with your ATS data and provides the ability to compare performance by sources.</w:t>
      </w:r>
    </w:p>
    <w:p w14:paraId="6B76EBB1"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Industry benchmarks are integrated into the ATS-enabled Funnel report and the ATS-enabled Source report. These benchmarks can help you to set hiring goals and understand where you are performing well and where you can improve. In the Source report, you can filter by company size or industry, or you can filter by both benchmarks at the same time.</w:t>
      </w:r>
    </w:p>
    <w:p w14:paraId="4C3CC775"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Generate the ATS-enabled Hiring Funnel report to capture the impact of LinkedIn hiring products along the entire candidate journey from awareness to hire.</w:t>
      </w:r>
    </w:p>
    <w:p w14:paraId="52BCAB8B" w14:textId="77777777" w:rsidR="004D36E7" w:rsidRDefault="004D36E7" w:rsidP="004D36E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Generate the ATS-enabled Source report to understand the quality and quantity of candidates and hires by source to see the effectiveness of your hiring strategy.</w:t>
      </w:r>
    </w:p>
    <w:p w14:paraId="2B0DDDBF" w14:textId="77777777" w:rsidR="004D36E7" w:rsidRDefault="004D36E7" w:rsidP="004D36E7">
      <w:pPr>
        <w:pStyle w:val="article-content-collapsible-cardtitle"/>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Industry benchmarks in ATS-enabled Funnel and Source reports</w:t>
      </w:r>
    </w:p>
    <w:p w14:paraId="4E00B197"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Industry benchmarks are given only for conversion rates. The industry benchmarks include data that is synced between LinkedIn Recruiter and your ATS. For the industry benchmarks reporting to show all data, the application, candidate identity, and job data must be synced.</w:t>
      </w:r>
    </w:p>
    <w:p w14:paraId="0BA9D975"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If the data isn’t complete in the ATS, it won't be complete within the report. Based on the data quality within the ATS, the report might not show complete data. Also, the data can look different in the report due to LinkedIn funnel stage standardizations.</w:t>
      </w:r>
    </w:p>
    <w:p w14:paraId="0E080AB0"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Industry benchmarks are collected in three different time frames and are calculated as a percentage for your performance versus other companies in your sector.</w:t>
      </w:r>
    </w:p>
    <w:p w14:paraId="658EC9B8" w14:textId="77777777" w:rsidR="004D36E7" w:rsidRDefault="004D36E7" w:rsidP="004D36E7">
      <w:pPr>
        <w:numPr>
          <w:ilvl w:val="0"/>
          <w:numId w:val="6"/>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t>Past 6 months</w:t>
      </w:r>
    </w:p>
    <w:p w14:paraId="31DD7222" w14:textId="77777777" w:rsidR="004D36E7" w:rsidRDefault="004D36E7" w:rsidP="004D36E7">
      <w:pPr>
        <w:numPr>
          <w:ilvl w:val="0"/>
          <w:numId w:val="6"/>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t>Past 1 year</w:t>
      </w:r>
    </w:p>
    <w:p w14:paraId="17705779" w14:textId="77777777" w:rsidR="004D36E7" w:rsidRDefault="004D36E7" w:rsidP="004D36E7">
      <w:pPr>
        <w:numPr>
          <w:ilvl w:val="0"/>
          <w:numId w:val="6"/>
        </w:numPr>
        <w:shd w:val="clear" w:color="auto" w:fill="FFFFFF"/>
        <w:spacing w:before="120" w:after="120" w:line="240" w:lineRule="auto"/>
        <w:ind w:left="1680"/>
        <w:rPr>
          <w:rFonts w:ascii="Segoe UI" w:hAnsi="Segoe UI" w:cs="Segoe UI"/>
          <w:sz w:val="21"/>
          <w:szCs w:val="21"/>
        </w:rPr>
      </w:pPr>
      <w:r>
        <w:rPr>
          <w:rFonts w:ascii="Segoe UI" w:hAnsi="Segoe UI" w:cs="Segoe UI"/>
          <w:sz w:val="21"/>
          <w:szCs w:val="21"/>
        </w:rPr>
        <w:t>Past 2 years</w:t>
      </w:r>
    </w:p>
    <w:p w14:paraId="4BD87D9F" w14:textId="77777777" w:rsidR="004D36E7" w:rsidRDefault="004D36E7" w:rsidP="004D36E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The start of the date range determines the time frame. For example, if a start date of 2 months back falls within the "past 6 months" time frame, the industry benchmark will be the same if the start date is 4 months ago because it’s still within the “past 6 months” time frame.</w:t>
      </w:r>
    </w:p>
    <w:p w14:paraId="4B580D3C" w14:textId="77777777" w:rsidR="004D36E7" w:rsidRDefault="004D36E7" w:rsidP="004D36E7">
      <w:pPr>
        <w:pStyle w:val="article-content-collapsible-cardtitle"/>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lastRenderedPageBreak/>
        <w:t>ATS-enabled Funnel report</w:t>
      </w:r>
    </w:p>
    <w:p w14:paraId="0C0093C9" w14:textId="77777777" w:rsidR="004D36E7" w:rsidRDefault="004D36E7" w:rsidP="004D36E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The Funnel report shows how people move through your recruiting pipeline - from being aware of your company to getting hired - allowing you to understand and optimize recruiting. The report displays two charts: the </w:t>
      </w:r>
      <w:r>
        <w:rPr>
          <w:rStyle w:val="Strong"/>
          <w:rFonts w:ascii="Segoe UI" w:hAnsi="Segoe UI" w:cs="Segoe UI"/>
          <w:sz w:val="21"/>
          <w:szCs w:val="21"/>
        </w:rPr>
        <w:t>Hiring funnel</w:t>
      </w:r>
      <w:r>
        <w:rPr>
          <w:rFonts w:ascii="Segoe UI" w:hAnsi="Segoe UI" w:cs="Segoe UI"/>
          <w:sz w:val="21"/>
          <w:szCs w:val="21"/>
        </w:rPr>
        <w:t> chart, which shows how people move through your hiring funnel, and the </w:t>
      </w:r>
      <w:r>
        <w:rPr>
          <w:rStyle w:val="Strong"/>
          <w:rFonts w:ascii="Segoe UI" w:hAnsi="Segoe UI" w:cs="Segoe UI"/>
          <w:sz w:val="21"/>
          <w:szCs w:val="21"/>
        </w:rPr>
        <w:t>Metric trend</w:t>
      </w:r>
      <w:r>
        <w:rPr>
          <w:rFonts w:ascii="Segoe UI" w:hAnsi="Segoe UI" w:cs="Segoe UI"/>
          <w:sz w:val="21"/>
          <w:szCs w:val="21"/>
        </w:rPr>
        <w:t> chart, which can help determine how actions and investments impacted candidate volumes over time.</w:t>
      </w:r>
    </w:p>
    <w:p w14:paraId="0D324975" w14:textId="77777777" w:rsidR="004D36E7" w:rsidRDefault="004D36E7" w:rsidP="004D36E7">
      <w:pPr>
        <w:pStyle w:val="Heading4"/>
        <w:shd w:val="clear" w:color="auto" w:fill="FFFFFF"/>
        <w:rPr>
          <w:rFonts w:ascii="Segoe UI" w:hAnsi="Segoe UI" w:cs="Segoe UI"/>
          <w:sz w:val="24"/>
          <w:szCs w:val="24"/>
        </w:rPr>
      </w:pPr>
      <w:r>
        <w:rPr>
          <w:rFonts w:ascii="Segoe UI" w:hAnsi="Segoe UI" w:cs="Segoe UI"/>
        </w:rPr>
        <w:t>Industry benchmarks in the Funnel report</w:t>
      </w:r>
    </w:p>
    <w:p w14:paraId="5D38D343" w14:textId="77777777" w:rsidR="004D36E7" w:rsidRDefault="004D36E7" w:rsidP="004D36E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Industry benchmarks only support the filters listed in the table below; other filters will be ignored: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05"/>
        <w:gridCol w:w="4255"/>
      </w:tblGrid>
      <w:tr w:rsidR="004D36E7" w14:paraId="76AA89F9" w14:textId="77777777" w:rsidTr="004D36E7">
        <w:tc>
          <w:tcPr>
            <w:tcW w:w="0" w:type="auto"/>
            <w:shd w:val="clear" w:color="auto" w:fill="FFFFFF"/>
            <w:tcMar>
              <w:top w:w="240" w:type="dxa"/>
              <w:left w:w="360" w:type="dxa"/>
              <w:bottom w:w="240" w:type="dxa"/>
              <w:right w:w="360" w:type="dxa"/>
            </w:tcMar>
            <w:vAlign w:val="center"/>
            <w:hideMark/>
          </w:tcPr>
          <w:p w14:paraId="680D8F4C" w14:textId="77777777" w:rsidR="004D36E7" w:rsidRDefault="004D36E7">
            <w:pPr>
              <w:rPr>
                <w:rFonts w:ascii="var(--artdeco-typography-sans)" w:hAnsi="var(--artdeco-typography-sans)" w:cs="Times New Roman"/>
                <w:sz w:val="24"/>
                <w:szCs w:val="24"/>
              </w:rPr>
            </w:pPr>
            <w:r>
              <w:rPr>
                <w:rStyle w:val="Strong"/>
                <w:rFonts w:ascii="var(--artdeco-typography-sans)" w:hAnsi="var(--artdeco-typography-sans)"/>
              </w:rPr>
              <w:t>Accepted filters</w:t>
            </w:r>
          </w:p>
        </w:tc>
        <w:tc>
          <w:tcPr>
            <w:tcW w:w="0" w:type="auto"/>
            <w:shd w:val="clear" w:color="auto" w:fill="FFFFFF"/>
            <w:tcMar>
              <w:top w:w="240" w:type="dxa"/>
              <w:left w:w="360" w:type="dxa"/>
              <w:bottom w:w="240" w:type="dxa"/>
              <w:right w:w="360" w:type="dxa"/>
            </w:tcMar>
            <w:vAlign w:val="center"/>
            <w:hideMark/>
          </w:tcPr>
          <w:p w14:paraId="6B3F4E44" w14:textId="77777777" w:rsidR="004D36E7" w:rsidRDefault="004D36E7">
            <w:pPr>
              <w:rPr>
                <w:rFonts w:ascii="var(--artdeco-typography-sans)" w:hAnsi="var(--artdeco-typography-sans)"/>
              </w:rPr>
            </w:pPr>
            <w:r>
              <w:rPr>
                <w:rStyle w:val="Strong"/>
                <w:rFonts w:ascii="var(--artdeco-typography-sans)" w:hAnsi="var(--artdeco-typography-sans)"/>
              </w:rPr>
              <w:t>Ignored filters</w:t>
            </w:r>
          </w:p>
        </w:tc>
      </w:tr>
      <w:tr w:rsidR="004D36E7" w14:paraId="115837BF" w14:textId="77777777" w:rsidTr="004D36E7">
        <w:tc>
          <w:tcPr>
            <w:tcW w:w="0" w:type="auto"/>
            <w:shd w:val="clear" w:color="auto" w:fill="F3F6F8"/>
            <w:tcMar>
              <w:top w:w="240" w:type="dxa"/>
              <w:left w:w="360" w:type="dxa"/>
              <w:bottom w:w="240" w:type="dxa"/>
              <w:right w:w="360" w:type="dxa"/>
            </w:tcMar>
            <w:vAlign w:val="center"/>
            <w:hideMark/>
          </w:tcPr>
          <w:p w14:paraId="077C1EA8"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benchmark industry</w:t>
            </w:r>
          </w:p>
          <w:p w14:paraId="3FB0B69F"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 one benchmark industry + a single </w:t>
            </w:r>
            <w:r>
              <w:rPr>
                <w:rStyle w:val="Strong"/>
                <w:rFonts w:ascii="var(--artdeco-typography-sans)" w:hAnsi="var(--artdeco-typography-sans)"/>
              </w:rPr>
              <w:t>Geo Country</w:t>
            </w:r>
            <w:r>
              <w:rPr>
                <w:rFonts w:ascii="var(--artdeco-typography-sans)" w:hAnsi="var(--artdeco-typography-sans)"/>
              </w:rPr>
              <w:t> </w:t>
            </w:r>
          </w:p>
          <w:p w14:paraId="795AD650"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benchmark industry + a single </w:t>
            </w:r>
            <w:r>
              <w:rPr>
                <w:rStyle w:val="Strong"/>
                <w:rFonts w:ascii="var(--artdeco-typography-sans)" w:hAnsi="var(--artdeco-typography-sans)"/>
              </w:rPr>
              <w:t>Function</w:t>
            </w:r>
          </w:p>
          <w:p w14:paraId="2CDCB220"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benchmark industry + a single </w:t>
            </w:r>
            <w:r>
              <w:rPr>
                <w:rStyle w:val="Strong"/>
                <w:rFonts w:ascii="var(--artdeco-typography-sans)" w:hAnsi="var(--artdeco-typography-sans)"/>
              </w:rPr>
              <w:t>Seniority</w:t>
            </w:r>
          </w:p>
          <w:p w14:paraId="29AA413B"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benchmark industry + a single </w:t>
            </w:r>
            <w:r>
              <w:rPr>
                <w:rStyle w:val="Strong"/>
                <w:rFonts w:ascii="var(--artdeco-typography-sans)" w:hAnsi="var(--artdeco-typography-sans)"/>
              </w:rPr>
              <w:t>Geo Region</w:t>
            </w:r>
            <w:r>
              <w:rPr>
                <w:rFonts w:ascii="var(--artdeco-typography-sans)" w:hAnsi="var(--artdeco-typography-sans)"/>
              </w:rPr>
              <w:t> (in addition to </w:t>
            </w:r>
            <w:r>
              <w:rPr>
                <w:rStyle w:val="Strong"/>
                <w:rFonts w:ascii="var(--artdeco-typography-sans)" w:hAnsi="var(--artdeco-typography-sans)"/>
              </w:rPr>
              <w:t>Geo Country</w:t>
            </w:r>
            <w:r>
              <w:rPr>
                <w:rFonts w:ascii="var(--artdeco-typography-sans)" w:hAnsi="var(--artdeco-typography-sans)"/>
              </w:rPr>
              <w:t>) </w:t>
            </w:r>
          </w:p>
          <w:p w14:paraId="0395327A"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benchmark industry + several </w:t>
            </w:r>
            <w:r>
              <w:rPr>
                <w:rStyle w:val="Strong"/>
                <w:rFonts w:ascii="var(--artdeco-typography-sans)" w:hAnsi="var(--artdeco-typography-sans)"/>
              </w:rPr>
              <w:t>Functions</w:t>
            </w:r>
            <w:r>
              <w:rPr>
                <w:rFonts w:ascii="var(--artdeco-typography-sans)" w:hAnsi="var(--artdeco-typography-sans)"/>
              </w:rPr>
              <w:t> (in the group-by module)</w:t>
            </w:r>
          </w:p>
          <w:p w14:paraId="0DBE3516" w14:textId="77777777" w:rsidR="004D36E7" w:rsidRDefault="004D36E7">
            <w:pPr>
              <w:pStyle w:val="NormalWeb"/>
              <w:spacing w:before="360" w:beforeAutospacing="0" w:after="360" w:afterAutospacing="0" w:line="315" w:lineRule="atLeast"/>
              <w:rPr>
                <w:rFonts w:ascii="var(--artdeco-typography-sans)" w:hAnsi="var(--artdeco-typography-sans)"/>
              </w:rPr>
            </w:pPr>
            <w:r>
              <w:rPr>
                <w:rFonts w:ascii="var(--artdeco-typography-sans)" w:hAnsi="var(--artdeco-typography-sans)"/>
              </w:rPr>
              <w:t>one benchmark industry + several </w:t>
            </w:r>
            <w:r>
              <w:rPr>
                <w:rStyle w:val="Strong"/>
                <w:rFonts w:ascii="var(--artdeco-typography-sans)" w:hAnsi="var(--artdeco-typography-sans)"/>
              </w:rPr>
              <w:t>Seniority</w:t>
            </w:r>
            <w:r>
              <w:rPr>
                <w:rFonts w:ascii="var(--artdeco-typography-sans)" w:hAnsi="var(--artdeco-typography-sans)"/>
              </w:rPr>
              <w:t> levels (in the group-by module)</w:t>
            </w:r>
          </w:p>
        </w:tc>
        <w:tc>
          <w:tcPr>
            <w:tcW w:w="0" w:type="auto"/>
            <w:shd w:val="clear" w:color="auto" w:fill="F3F6F8"/>
            <w:tcMar>
              <w:top w:w="240" w:type="dxa"/>
              <w:left w:w="360" w:type="dxa"/>
              <w:bottom w:w="240" w:type="dxa"/>
              <w:right w:w="360" w:type="dxa"/>
            </w:tcMar>
            <w:vAlign w:val="center"/>
            <w:hideMark/>
          </w:tcPr>
          <w:p w14:paraId="55073A66" w14:textId="77777777" w:rsidR="004D36E7" w:rsidRDefault="004D36E7">
            <w:pPr>
              <w:pStyle w:val="NormalWeb"/>
              <w:spacing w:before="360" w:beforeAutospacing="0" w:after="360" w:afterAutospacing="0" w:line="315" w:lineRule="atLeast"/>
              <w:rPr>
                <w:rFonts w:ascii="var(--artdeco-typography-sans)" w:hAnsi="var(--artdeco-typography-sans)"/>
              </w:rPr>
            </w:pPr>
            <w:r>
              <w:rPr>
                <w:rFonts w:ascii="var(--artdeco-typography-sans)" w:hAnsi="var(--artdeco-typography-sans)"/>
              </w:rPr>
              <w:t>one benchmark industry + a single </w:t>
            </w:r>
            <w:r>
              <w:rPr>
                <w:rStyle w:val="Strong"/>
                <w:rFonts w:ascii="var(--artdeco-typography-sans)" w:hAnsi="var(--artdeco-typography-sans)"/>
              </w:rPr>
              <w:t>Function</w:t>
            </w:r>
            <w:r>
              <w:rPr>
                <w:rFonts w:ascii="var(--artdeco-typography-sans)" w:hAnsi="var(--artdeco-typography-sans)"/>
              </w:rPr>
              <w:t> + a single </w:t>
            </w:r>
            <w:r>
              <w:rPr>
                <w:rStyle w:val="Strong"/>
                <w:rFonts w:ascii="var(--artdeco-typography-sans)" w:hAnsi="var(--artdeco-typography-sans)"/>
              </w:rPr>
              <w:t>Seniority</w:t>
            </w:r>
          </w:p>
        </w:tc>
      </w:tr>
    </w:tbl>
    <w:p w14:paraId="005F41F4" w14:textId="77777777" w:rsidR="004D36E7" w:rsidRDefault="004D36E7" w:rsidP="004D36E7">
      <w:pPr>
        <w:pStyle w:val="Heading4"/>
        <w:shd w:val="clear" w:color="auto" w:fill="FFFFFF"/>
        <w:rPr>
          <w:rFonts w:ascii="Segoe UI" w:hAnsi="Segoe UI" w:cs="Segoe UI"/>
          <w:sz w:val="24"/>
          <w:szCs w:val="24"/>
        </w:rPr>
      </w:pPr>
      <w:r>
        <w:rPr>
          <w:rFonts w:ascii="Segoe UI" w:hAnsi="Segoe UI" w:cs="Segoe UI"/>
        </w:rPr>
        <w:lastRenderedPageBreak/>
        <w:t xml:space="preserve">Run the Funnel </w:t>
      </w:r>
      <w:proofErr w:type="gramStart"/>
      <w:r>
        <w:rPr>
          <w:rFonts w:ascii="Segoe UI" w:hAnsi="Segoe UI" w:cs="Segoe UI"/>
        </w:rPr>
        <w:t>report</w:t>
      </w:r>
      <w:proofErr w:type="gramEnd"/>
    </w:p>
    <w:p w14:paraId="6171DD85"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To run the Funnel report, review and revise your filters on the left side of the page. When you change the global filters, the report will update accordingly. For example, selecting </w:t>
      </w:r>
      <w:r>
        <w:rPr>
          <w:rStyle w:val="Strong"/>
          <w:rFonts w:ascii="Segoe UI" w:hAnsi="Segoe UI" w:cs="Segoe UI"/>
          <w:sz w:val="21"/>
          <w:szCs w:val="21"/>
        </w:rPr>
        <w:t>Function</w:t>
      </w:r>
      <w:r>
        <w:rPr>
          <w:rFonts w:ascii="Segoe UI" w:hAnsi="Segoe UI" w:cs="Segoe UI"/>
          <w:sz w:val="21"/>
          <w:szCs w:val="21"/>
        </w:rPr>
        <w:t> and </w:t>
      </w:r>
      <w:r>
        <w:rPr>
          <w:rStyle w:val="Strong"/>
          <w:rFonts w:ascii="Segoe UI" w:hAnsi="Segoe UI" w:cs="Segoe UI"/>
          <w:sz w:val="21"/>
          <w:szCs w:val="21"/>
        </w:rPr>
        <w:t>Seniority</w:t>
      </w:r>
      <w:r>
        <w:rPr>
          <w:rFonts w:ascii="Segoe UI" w:hAnsi="Segoe UI" w:cs="Segoe UI"/>
          <w:sz w:val="21"/>
          <w:szCs w:val="21"/>
        </w:rPr>
        <w:t> narrows down performance within these candidate pools.</w:t>
      </w:r>
    </w:p>
    <w:p w14:paraId="684C13C7"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When you run your report, keep the following in mind:</w:t>
      </w:r>
    </w:p>
    <w:p w14:paraId="499FA710" w14:textId="77777777" w:rsidR="004D36E7" w:rsidRDefault="004D36E7" w:rsidP="004D36E7">
      <w:pPr>
        <w:numPr>
          <w:ilvl w:val="0"/>
          <w:numId w:val="7"/>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t>You can change the </w:t>
      </w:r>
      <w:r>
        <w:rPr>
          <w:rStyle w:val="Strong"/>
          <w:rFonts w:ascii="Segoe UI" w:hAnsi="Segoe UI" w:cs="Segoe UI"/>
          <w:sz w:val="21"/>
          <w:szCs w:val="21"/>
        </w:rPr>
        <w:t>Hiring funnel</w:t>
      </w:r>
      <w:r>
        <w:rPr>
          <w:rFonts w:ascii="Segoe UI" w:hAnsi="Segoe UI" w:cs="Segoe UI"/>
          <w:sz w:val="21"/>
          <w:szCs w:val="21"/>
        </w:rPr>
        <w:t> chart and </w:t>
      </w:r>
      <w:r>
        <w:rPr>
          <w:rStyle w:val="Strong"/>
          <w:rFonts w:ascii="Segoe UI" w:hAnsi="Segoe UI" w:cs="Segoe UI"/>
          <w:sz w:val="21"/>
          <w:szCs w:val="21"/>
        </w:rPr>
        <w:t>Metric trend</w:t>
      </w:r>
      <w:r>
        <w:rPr>
          <w:rFonts w:ascii="Segoe UI" w:hAnsi="Segoe UI" w:cs="Segoe UI"/>
          <w:sz w:val="21"/>
          <w:szCs w:val="21"/>
        </w:rPr>
        <w:t> chart view to see different data. To do this, next to </w:t>
      </w:r>
      <w:r>
        <w:rPr>
          <w:rStyle w:val="Strong"/>
          <w:rFonts w:ascii="Segoe UI" w:hAnsi="Segoe UI" w:cs="Segoe UI"/>
          <w:sz w:val="21"/>
          <w:szCs w:val="21"/>
        </w:rPr>
        <w:t xml:space="preserve">View </w:t>
      </w:r>
      <w:proofErr w:type="gramStart"/>
      <w:r>
        <w:rPr>
          <w:rStyle w:val="Strong"/>
          <w:rFonts w:ascii="Segoe UI" w:hAnsi="Segoe UI" w:cs="Segoe UI"/>
          <w:sz w:val="21"/>
          <w:szCs w:val="21"/>
        </w:rPr>
        <w:t>by:</w:t>
      </w:r>
      <w:r>
        <w:rPr>
          <w:rFonts w:ascii="Segoe UI" w:hAnsi="Segoe UI" w:cs="Segoe UI"/>
          <w:sz w:val="21"/>
          <w:szCs w:val="21"/>
        </w:rPr>
        <w:t>,</w:t>
      </w:r>
      <w:proofErr w:type="gramEnd"/>
      <w:r>
        <w:rPr>
          <w:rFonts w:ascii="Segoe UI" w:hAnsi="Segoe UI" w:cs="Segoe UI"/>
          <w:sz w:val="21"/>
          <w:szCs w:val="21"/>
        </w:rPr>
        <w:t xml:space="preserve"> select </w:t>
      </w:r>
      <w:r>
        <w:rPr>
          <w:rStyle w:val="Strong"/>
          <w:rFonts w:ascii="Segoe UI" w:hAnsi="Segoe UI" w:cs="Segoe UI"/>
          <w:sz w:val="21"/>
          <w:szCs w:val="21"/>
        </w:rPr>
        <w:t>Number of candidates</w:t>
      </w:r>
      <w:r>
        <w:rPr>
          <w:rFonts w:ascii="Segoe UI" w:hAnsi="Segoe UI" w:cs="Segoe UI"/>
          <w:sz w:val="21"/>
          <w:szCs w:val="21"/>
        </w:rPr>
        <w:t> or </w:t>
      </w:r>
      <w:r>
        <w:rPr>
          <w:rStyle w:val="Strong"/>
          <w:rFonts w:ascii="Segoe UI" w:hAnsi="Segoe UI" w:cs="Segoe UI"/>
          <w:sz w:val="21"/>
          <w:szCs w:val="21"/>
        </w:rPr>
        <w:t>Conversion rate</w:t>
      </w:r>
      <w:r>
        <w:rPr>
          <w:rFonts w:ascii="Segoe UI" w:hAnsi="Segoe UI" w:cs="Segoe UI"/>
          <w:sz w:val="21"/>
          <w:szCs w:val="21"/>
        </w:rPr>
        <w:t> from the dropdown to change the view of the chart.</w:t>
      </w:r>
    </w:p>
    <w:p w14:paraId="0CD8EEA0" w14:textId="77777777" w:rsidR="004D36E7" w:rsidRDefault="004D36E7" w:rsidP="004D36E7">
      <w:pPr>
        <w:numPr>
          <w:ilvl w:val="1"/>
          <w:numId w:val="7"/>
        </w:numPr>
        <w:shd w:val="clear" w:color="auto" w:fill="FFFFFF"/>
        <w:spacing w:before="120" w:after="60" w:line="240" w:lineRule="auto"/>
        <w:ind w:left="336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Number of candidates</w:t>
      </w:r>
      <w:r>
        <w:rPr>
          <w:rFonts w:ascii="Segoe UI" w:hAnsi="Segoe UI" w:cs="Segoe UI"/>
          <w:sz w:val="21"/>
          <w:szCs w:val="21"/>
        </w:rPr>
        <w:t> view shows how many candidates passed through each stage of the hiring funnel.</w:t>
      </w:r>
    </w:p>
    <w:p w14:paraId="7947337B" w14:textId="77777777" w:rsidR="004D36E7" w:rsidRDefault="004D36E7" w:rsidP="004D36E7">
      <w:pPr>
        <w:numPr>
          <w:ilvl w:val="1"/>
          <w:numId w:val="7"/>
        </w:numPr>
        <w:shd w:val="clear" w:color="auto" w:fill="FFFFFF"/>
        <w:spacing w:before="120" w:after="120" w:line="240" w:lineRule="auto"/>
        <w:ind w:left="336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Conversion rate</w:t>
      </w:r>
      <w:r>
        <w:rPr>
          <w:rFonts w:ascii="Segoe UI" w:hAnsi="Segoe UI" w:cs="Segoe UI"/>
          <w:sz w:val="21"/>
          <w:szCs w:val="21"/>
        </w:rPr>
        <w:t> view shows the performance throughout the stages in the candidate journey and compares to industry benchmarks.</w:t>
      </w:r>
    </w:p>
    <w:p w14:paraId="3B8F0133" w14:textId="77777777" w:rsidR="004D36E7" w:rsidRDefault="004D36E7" w:rsidP="004D36E7">
      <w:pPr>
        <w:numPr>
          <w:ilvl w:val="0"/>
          <w:numId w:val="7"/>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t>The default industry benchmark selector is the same industry categorization as listed on your company's LinkedIn Career Page. It displays the industry benchmark selector for your company's industry sector. You can select a different industry using the </w:t>
      </w:r>
      <w:r>
        <w:rPr>
          <w:rStyle w:val="Strong"/>
          <w:rFonts w:ascii="Segoe UI" w:hAnsi="Segoe UI" w:cs="Segoe UI"/>
          <w:sz w:val="21"/>
          <w:szCs w:val="21"/>
        </w:rPr>
        <w:t>Compare to industry:</w:t>
      </w:r>
      <w:r>
        <w:rPr>
          <w:rFonts w:ascii="Segoe UI" w:hAnsi="Segoe UI" w:cs="Segoe UI"/>
          <w:sz w:val="21"/>
          <w:szCs w:val="21"/>
        </w:rPr>
        <w:t> dropdown menu at the top of the report.</w:t>
      </w:r>
    </w:p>
    <w:p w14:paraId="782DE3C1" w14:textId="77777777" w:rsidR="004D36E7" w:rsidRDefault="004D36E7" w:rsidP="004D36E7">
      <w:pPr>
        <w:numPr>
          <w:ilvl w:val="0"/>
          <w:numId w:val="7"/>
        </w:numPr>
        <w:shd w:val="clear" w:color="auto" w:fill="FFFFFF"/>
        <w:spacing w:before="120" w:after="120" w:line="240" w:lineRule="auto"/>
        <w:ind w:left="1680"/>
        <w:rPr>
          <w:rFonts w:ascii="Segoe UI" w:hAnsi="Segoe UI" w:cs="Segoe UI"/>
          <w:sz w:val="21"/>
          <w:szCs w:val="21"/>
        </w:rPr>
      </w:pPr>
      <w:r>
        <w:rPr>
          <w:rFonts w:ascii="Segoe UI" w:hAnsi="Segoe UI" w:cs="Segoe UI"/>
          <w:sz w:val="21"/>
          <w:szCs w:val="21"/>
        </w:rPr>
        <w:t>Industry benchmarks are given only for conversion rates and are visible in the </w:t>
      </w:r>
      <w:r>
        <w:rPr>
          <w:rStyle w:val="Strong"/>
          <w:rFonts w:ascii="Segoe UI" w:hAnsi="Segoe UI" w:cs="Segoe UI"/>
          <w:sz w:val="21"/>
          <w:szCs w:val="21"/>
        </w:rPr>
        <w:t>Conversion rate</w:t>
      </w:r>
      <w:r>
        <w:rPr>
          <w:rFonts w:ascii="Segoe UI" w:hAnsi="Segoe UI" w:cs="Segoe UI"/>
          <w:sz w:val="21"/>
          <w:szCs w:val="21"/>
        </w:rPr>
        <w:t> view.</w:t>
      </w:r>
    </w:p>
    <w:p w14:paraId="13876857" w14:textId="77777777" w:rsidR="004D36E7" w:rsidRDefault="004D36E7" w:rsidP="004D36E7">
      <w:pPr>
        <w:numPr>
          <w:ilvl w:val="1"/>
          <w:numId w:val="7"/>
        </w:numPr>
        <w:shd w:val="clear" w:color="auto" w:fill="FFFFFF"/>
        <w:spacing w:before="120" w:after="60" w:line="240" w:lineRule="auto"/>
        <w:ind w:left="3360"/>
        <w:rPr>
          <w:rFonts w:ascii="Segoe UI" w:hAnsi="Segoe UI" w:cs="Segoe UI"/>
          <w:sz w:val="21"/>
          <w:szCs w:val="21"/>
        </w:rPr>
      </w:pPr>
      <w:r>
        <w:rPr>
          <w:rFonts w:ascii="Segoe UI" w:hAnsi="Segoe UI" w:cs="Segoe UI"/>
          <w:sz w:val="21"/>
          <w:szCs w:val="21"/>
        </w:rPr>
        <w:t>In the </w:t>
      </w:r>
      <w:r>
        <w:rPr>
          <w:rStyle w:val="Strong"/>
          <w:rFonts w:ascii="Segoe UI" w:hAnsi="Segoe UI" w:cs="Segoe UI"/>
          <w:sz w:val="21"/>
          <w:szCs w:val="21"/>
        </w:rPr>
        <w:t>Hiring funnel</w:t>
      </w:r>
      <w:r>
        <w:rPr>
          <w:rFonts w:ascii="Segoe UI" w:hAnsi="Segoe UI" w:cs="Segoe UI"/>
          <w:sz w:val="21"/>
          <w:szCs w:val="21"/>
        </w:rPr>
        <w:t> chart, the bar indicates your company’s rate. Hover over the purple dot on any bar to see the industry benchmark for that metric.</w:t>
      </w:r>
    </w:p>
    <w:p w14:paraId="4CBA8395" w14:textId="77777777" w:rsidR="004D36E7" w:rsidRDefault="004D36E7" w:rsidP="004D36E7">
      <w:pPr>
        <w:numPr>
          <w:ilvl w:val="1"/>
          <w:numId w:val="7"/>
        </w:numPr>
        <w:shd w:val="clear" w:color="auto" w:fill="FFFFFF"/>
        <w:spacing w:before="120" w:after="60" w:line="240" w:lineRule="auto"/>
        <w:ind w:left="3360"/>
        <w:rPr>
          <w:rFonts w:ascii="Segoe UI" w:hAnsi="Segoe UI" w:cs="Segoe UI"/>
          <w:sz w:val="21"/>
          <w:szCs w:val="21"/>
        </w:rPr>
      </w:pPr>
      <w:r>
        <w:rPr>
          <w:rFonts w:ascii="Segoe UI" w:hAnsi="Segoe UI" w:cs="Segoe UI"/>
          <w:sz w:val="21"/>
          <w:szCs w:val="21"/>
        </w:rPr>
        <w:t>Industry benchmarks in the </w:t>
      </w:r>
      <w:r>
        <w:rPr>
          <w:rStyle w:val="Strong"/>
          <w:rFonts w:ascii="Segoe UI" w:hAnsi="Segoe UI" w:cs="Segoe UI"/>
          <w:sz w:val="21"/>
          <w:szCs w:val="21"/>
        </w:rPr>
        <w:t>Metric trend</w:t>
      </w:r>
      <w:r>
        <w:rPr>
          <w:rFonts w:ascii="Segoe UI" w:hAnsi="Segoe UI" w:cs="Segoe UI"/>
          <w:sz w:val="21"/>
          <w:szCs w:val="21"/>
        </w:rPr>
        <w:t xml:space="preserve"> chart </w:t>
      </w:r>
      <w:proofErr w:type="gramStart"/>
      <w:r>
        <w:rPr>
          <w:rFonts w:ascii="Segoe UI" w:hAnsi="Segoe UI" w:cs="Segoe UI"/>
          <w:sz w:val="21"/>
          <w:szCs w:val="21"/>
        </w:rPr>
        <w:t>ignores</w:t>
      </w:r>
      <w:proofErr w:type="gramEnd"/>
      <w:r>
        <w:rPr>
          <w:rFonts w:ascii="Segoe UI" w:hAnsi="Segoe UI" w:cs="Segoe UI"/>
          <w:sz w:val="21"/>
          <w:szCs w:val="21"/>
        </w:rPr>
        <w:t xml:space="preserve"> all </w:t>
      </w:r>
      <w:r>
        <w:rPr>
          <w:rStyle w:val="Strong"/>
          <w:rFonts w:ascii="Segoe UI" w:hAnsi="Segoe UI" w:cs="Segoe UI"/>
          <w:sz w:val="21"/>
          <w:szCs w:val="21"/>
        </w:rPr>
        <w:t>Function</w:t>
      </w:r>
      <w:r>
        <w:rPr>
          <w:rFonts w:ascii="Segoe UI" w:hAnsi="Segoe UI" w:cs="Segoe UI"/>
          <w:sz w:val="21"/>
          <w:szCs w:val="21"/>
        </w:rPr>
        <w:t>, </w:t>
      </w:r>
      <w:r>
        <w:rPr>
          <w:rStyle w:val="Strong"/>
          <w:rFonts w:ascii="Segoe UI" w:hAnsi="Segoe UI" w:cs="Segoe UI"/>
          <w:sz w:val="21"/>
          <w:szCs w:val="21"/>
        </w:rPr>
        <w:t>Seniority</w:t>
      </w:r>
      <w:r>
        <w:rPr>
          <w:rFonts w:ascii="Segoe UI" w:hAnsi="Segoe UI" w:cs="Segoe UI"/>
          <w:sz w:val="21"/>
          <w:szCs w:val="21"/>
        </w:rPr>
        <w:t>, and </w:t>
      </w:r>
      <w:r>
        <w:rPr>
          <w:rStyle w:val="Strong"/>
          <w:rFonts w:ascii="Segoe UI" w:hAnsi="Segoe UI" w:cs="Segoe UI"/>
          <w:sz w:val="21"/>
          <w:szCs w:val="21"/>
        </w:rPr>
        <w:t>Location</w:t>
      </w:r>
      <w:r>
        <w:rPr>
          <w:rFonts w:ascii="Segoe UI" w:hAnsi="Segoe UI" w:cs="Segoe UI"/>
          <w:sz w:val="21"/>
          <w:szCs w:val="21"/>
        </w:rPr>
        <w:t> filters.</w:t>
      </w:r>
    </w:p>
    <w:p w14:paraId="2A56CAE4" w14:textId="77777777" w:rsidR="004D36E7" w:rsidRDefault="004D36E7" w:rsidP="004D36E7">
      <w:pPr>
        <w:numPr>
          <w:ilvl w:val="1"/>
          <w:numId w:val="7"/>
        </w:numPr>
        <w:shd w:val="clear" w:color="auto" w:fill="FFFFFF"/>
        <w:spacing w:before="120" w:after="60" w:line="240" w:lineRule="auto"/>
        <w:ind w:left="3360"/>
        <w:rPr>
          <w:rFonts w:ascii="Segoe UI" w:hAnsi="Segoe UI" w:cs="Segoe UI"/>
          <w:sz w:val="21"/>
          <w:szCs w:val="21"/>
        </w:rPr>
      </w:pPr>
      <w:r>
        <w:rPr>
          <w:rFonts w:ascii="Segoe UI" w:hAnsi="Segoe UI" w:cs="Segoe UI"/>
          <w:sz w:val="21"/>
          <w:szCs w:val="21"/>
        </w:rPr>
        <w:t>When your trend is above the industry trend, that shows your conversion rate is higher compared to the industry trend.</w:t>
      </w:r>
    </w:p>
    <w:p w14:paraId="5EB2458C" w14:textId="77777777" w:rsidR="004D36E7" w:rsidRDefault="004D36E7" w:rsidP="004D36E7">
      <w:pPr>
        <w:numPr>
          <w:ilvl w:val="1"/>
          <w:numId w:val="7"/>
        </w:numPr>
        <w:shd w:val="clear" w:color="auto" w:fill="FFFFFF"/>
        <w:spacing w:before="120" w:after="120" w:line="240" w:lineRule="auto"/>
        <w:ind w:left="3360"/>
        <w:rPr>
          <w:rFonts w:ascii="Segoe UI" w:hAnsi="Segoe UI" w:cs="Segoe UI"/>
          <w:sz w:val="21"/>
          <w:szCs w:val="21"/>
        </w:rPr>
      </w:pPr>
      <w:r>
        <w:rPr>
          <w:rFonts w:ascii="Segoe UI" w:hAnsi="Segoe UI" w:cs="Segoe UI"/>
          <w:sz w:val="21"/>
          <w:szCs w:val="21"/>
        </w:rPr>
        <w:t>When your trend is below the industry trend, that shows your conversion rate is lower compared to the industry trend.</w:t>
      </w:r>
    </w:p>
    <w:p w14:paraId="7822F8F4" w14:textId="77777777" w:rsidR="004D36E7" w:rsidRDefault="004D36E7" w:rsidP="004D36E7">
      <w:pPr>
        <w:pStyle w:val="article-content-collapsible-cardtitle"/>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ATS-enabled Source report</w:t>
      </w:r>
    </w:p>
    <w:p w14:paraId="70B59476" w14:textId="77777777" w:rsidR="004D36E7" w:rsidRDefault="004D36E7" w:rsidP="004D36E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The ATS-enabled Source report leverages LinkedIn standardization and the LinkedIn touch attribution to improve data quality.</w:t>
      </w:r>
    </w:p>
    <w:p w14:paraId="010D5B65" w14:textId="77777777" w:rsidR="004D36E7" w:rsidRDefault="004D36E7" w:rsidP="004D36E7">
      <w:pPr>
        <w:pStyle w:val="Heading4"/>
        <w:shd w:val="clear" w:color="auto" w:fill="FFFFFF"/>
        <w:rPr>
          <w:rFonts w:ascii="Segoe UI" w:hAnsi="Segoe UI" w:cs="Segoe UI"/>
          <w:sz w:val="24"/>
          <w:szCs w:val="24"/>
        </w:rPr>
      </w:pPr>
      <w:r>
        <w:rPr>
          <w:rFonts w:ascii="Segoe UI" w:hAnsi="Segoe UI" w:cs="Segoe UI"/>
        </w:rPr>
        <w:lastRenderedPageBreak/>
        <w:t>Benchmarks in the Source report</w:t>
      </w:r>
    </w:p>
    <w:p w14:paraId="7877F426" w14:textId="77777777" w:rsidR="004D36E7" w:rsidRDefault="004D36E7" w:rsidP="004D36E7">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Benchmarks only support the filters listed in the table below. You can layer the company size, industry, and the filters listed in the "Accepted filters" table below; other filters will be ignored.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24"/>
        <w:gridCol w:w="5736"/>
      </w:tblGrid>
      <w:tr w:rsidR="004D36E7" w14:paraId="5758A213" w14:textId="77777777" w:rsidTr="004D36E7">
        <w:tc>
          <w:tcPr>
            <w:tcW w:w="0" w:type="auto"/>
            <w:shd w:val="clear" w:color="auto" w:fill="FFFFFF"/>
            <w:tcMar>
              <w:top w:w="240" w:type="dxa"/>
              <w:left w:w="360" w:type="dxa"/>
              <w:bottom w:w="240" w:type="dxa"/>
              <w:right w:w="360" w:type="dxa"/>
            </w:tcMar>
            <w:vAlign w:val="center"/>
            <w:hideMark/>
          </w:tcPr>
          <w:p w14:paraId="2CDE5A6E" w14:textId="77777777" w:rsidR="004D36E7" w:rsidRDefault="004D36E7">
            <w:pPr>
              <w:rPr>
                <w:rFonts w:ascii="var(--artdeco-typography-sans)" w:hAnsi="var(--artdeco-typography-sans)" w:cs="Times New Roman"/>
                <w:sz w:val="24"/>
                <w:szCs w:val="24"/>
              </w:rPr>
            </w:pPr>
            <w:r>
              <w:rPr>
                <w:rStyle w:val="Strong"/>
                <w:rFonts w:ascii="var(--artdeco-typography-sans)" w:hAnsi="var(--artdeco-typography-sans)"/>
              </w:rPr>
              <w:t>Accepted filters</w:t>
            </w:r>
          </w:p>
        </w:tc>
        <w:tc>
          <w:tcPr>
            <w:tcW w:w="0" w:type="auto"/>
            <w:shd w:val="clear" w:color="auto" w:fill="FFFFFF"/>
            <w:tcMar>
              <w:top w:w="240" w:type="dxa"/>
              <w:left w:w="360" w:type="dxa"/>
              <w:bottom w:w="240" w:type="dxa"/>
              <w:right w:w="360" w:type="dxa"/>
            </w:tcMar>
            <w:vAlign w:val="center"/>
            <w:hideMark/>
          </w:tcPr>
          <w:p w14:paraId="6940004E" w14:textId="77777777" w:rsidR="004D36E7" w:rsidRDefault="004D36E7">
            <w:pPr>
              <w:rPr>
                <w:rFonts w:ascii="var(--artdeco-typography-sans)" w:hAnsi="var(--artdeco-typography-sans)"/>
              </w:rPr>
            </w:pPr>
            <w:r>
              <w:rPr>
                <w:rStyle w:val="Strong"/>
                <w:rFonts w:ascii="var(--artdeco-typography-sans)" w:hAnsi="var(--artdeco-typography-sans)"/>
              </w:rPr>
              <w:t>Ignored filters</w:t>
            </w:r>
          </w:p>
        </w:tc>
      </w:tr>
      <w:tr w:rsidR="004D36E7" w14:paraId="2ADFE092" w14:textId="77777777" w:rsidTr="004D36E7">
        <w:tc>
          <w:tcPr>
            <w:tcW w:w="0" w:type="auto"/>
            <w:shd w:val="clear" w:color="auto" w:fill="F3F6F8"/>
            <w:tcMar>
              <w:top w:w="240" w:type="dxa"/>
              <w:left w:w="360" w:type="dxa"/>
              <w:bottom w:w="240" w:type="dxa"/>
              <w:right w:w="360" w:type="dxa"/>
            </w:tcMar>
            <w:vAlign w:val="center"/>
            <w:hideMark/>
          </w:tcPr>
          <w:p w14:paraId="7E4EA8C3"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industry + one company size benchmark</w:t>
            </w:r>
          </w:p>
          <w:p w14:paraId="2AAD3654"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industry + one company size benchmark + a single </w:t>
            </w:r>
            <w:r>
              <w:rPr>
                <w:rStyle w:val="Strong"/>
                <w:rFonts w:ascii="var(--artdeco-typography-sans)" w:hAnsi="var(--artdeco-typography-sans)"/>
              </w:rPr>
              <w:t>Geo Country</w:t>
            </w:r>
          </w:p>
          <w:p w14:paraId="520A0729"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industry + one company size benchmark + a single </w:t>
            </w:r>
            <w:r>
              <w:rPr>
                <w:rStyle w:val="Strong"/>
                <w:rFonts w:ascii="var(--artdeco-typography-sans)" w:hAnsi="var(--artdeco-typography-sans)"/>
              </w:rPr>
              <w:t>Function</w:t>
            </w:r>
          </w:p>
          <w:p w14:paraId="65C19725" w14:textId="77777777" w:rsidR="004D36E7" w:rsidRDefault="004D36E7">
            <w:pPr>
              <w:pStyle w:val="NormalWeb"/>
              <w:spacing w:before="360" w:beforeAutospacing="0" w:after="360" w:afterAutospacing="0" w:line="315" w:lineRule="atLeast"/>
              <w:rPr>
                <w:rFonts w:ascii="var(--artdeco-typography-sans)" w:hAnsi="var(--artdeco-typography-sans)"/>
              </w:rPr>
            </w:pPr>
            <w:r>
              <w:rPr>
                <w:rFonts w:ascii="var(--artdeco-typography-sans)" w:hAnsi="var(--artdeco-typography-sans)"/>
              </w:rPr>
              <w:t>one industry + one company size benchmark + a single </w:t>
            </w:r>
            <w:r>
              <w:rPr>
                <w:rStyle w:val="Strong"/>
                <w:rFonts w:ascii="var(--artdeco-typography-sans)" w:hAnsi="var(--artdeco-typography-sans)"/>
              </w:rPr>
              <w:t>Seniority</w:t>
            </w:r>
          </w:p>
        </w:tc>
        <w:tc>
          <w:tcPr>
            <w:tcW w:w="0" w:type="auto"/>
            <w:shd w:val="clear" w:color="auto" w:fill="F3F6F8"/>
            <w:tcMar>
              <w:top w:w="240" w:type="dxa"/>
              <w:left w:w="360" w:type="dxa"/>
              <w:bottom w:w="240" w:type="dxa"/>
              <w:right w:w="360" w:type="dxa"/>
            </w:tcMar>
            <w:vAlign w:val="center"/>
            <w:hideMark/>
          </w:tcPr>
          <w:p w14:paraId="4ED04BD2" w14:textId="77777777" w:rsidR="004D36E7" w:rsidRDefault="004D36E7">
            <w:pPr>
              <w:pStyle w:val="NormalWeb"/>
              <w:spacing w:before="360" w:beforeAutospacing="0" w:after="60" w:afterAutospacing="0" w:line="315" w:lineRule="atLeast"/>
              <w:rPr>
                <w:rFonts w:ascii="var(--artdeco-typography-sans)" w:hAnsi="var(--artdeco-typography-sans)"/>
              </w:rPr>
            </w:pPr>
            <w:r>
              <w:rPr>
                <w:rFonts w:ascii="var(--artdeco-typography-sans)" w:hAnsi="var(--artdeco-typography-sans)"/>
              </w:rPr>
              <w:t>one industry benchmark + two </w:t>
            </w:r>
            <w:r>
              <w:rPr>
                <w:rStyle w:val="Strong"/>
                <w:rFonts w:ascii="var(--artdeco-typography-sans)" w:hAnsi="var(--artdeco-typography-sans)"/>
              </w:rPr>
              <w:t>Functions</w:t>
            </w:r>
            <w:r>
              <w:rPr>
                <w:rFonts w:ascii="var(--artdeco-typography-sans)" w:hAnsi="var(--artdeco-typography-sans)"/>
              </w:rPr>
              <w:t>. </w:t>
            </w:r>
            <w:r>
              <w:rPr>
                <w:rStyle w:val="Strong"/>
                <w:rFonts w:ascii="var(--artdeco-typography-sans)" w:hAnsi="var(--artdeco-typography-sans)"/>
              </w:rPr>
              <w:t>Note:</w:t>
            </w:r>
            <w:r>
              <w:rPr>
                <w:rFonts w:ascii="var(--artdeco-typography-sans)" w:hAnsi="var(--artdeco-typography-sans)"/>
              </w:rPr>
              <w:t xml:space="preserve"> This will be treated as </w:t>
            </w:r>
            <w:proofErr w:type="gramStart"/>
            <w:r>
              <w:rPr>
                <w:rFonts w:ascii="var(--artdeco-typography-sans)" w:hAnsi="var(--artdeco-typography-sans)"/>
              </w:rPr>
              <w:t>one</w:t>
            </w:r>
            <w:proofErr w:type="gramEnd"/>
            <w:r>
              <w:rPr>
                <w:rFonts w:ascii="var(--artdeco-typography-sans)" w:hAnsi="var(--artdeco-typography-sans)"/>
              </w:rPr>
              <w:t xml:space="preserve"> industry benchmark</w:t>
            </w:r>
          </w:p>
          <w:p w14:paraId="27F987EA" w14:textId="77777777" w:rsidR="004D36E7" w:rsidRDefault="004D36E7">
            <w:pPr>
              <w:pStyle w:val="NormalWeb"/>
              <w:spacing w:before="360" w:beforeAutospacing="0" w:after="360" w:afterAutospacing="0" w:line="315" w:lineRule="atLeast"/>
              <w:rPr>
                <w:rFonts w:ascii="var(--artdeco-typography-sans)" w:hAnsi="var(--artdeco-typography-sans)"/>
              </w:rPr>
            </w:pPr>
            <w:r>
              <w:rPr>
                <w:rFonts w:ascii="var(--artdeco-typography-sans)" w:hAnsi="var(--artdeco-typography-sans)"/>
              </w:rPr>
              <w:t>one industry benchmark + a single </w:t>
            </w:r>
            <w:r>
              <w:rPr>
                <w:rStyle w:val="Strong"/>
                <w:rFonts w:ascii="var(--artdeco-typography-sans)" w:hAnsi="var(--artdeco-typography-sans)"/>
              </w:rPr>
              <w:t>Function</w:t>
            </w:r>
            <w:r>
              <w:rPr>
                <w:rFonts w:ascii="var(--artdeco-typography-sans)" w:hAnsi="var(--artdeco-typography-sans)"/>
              </w:rPr>
              <w:t> + a single </w:t>
            </w:r>
            <w:r>
              <w:rPr>
                <w:rStyle w:val="Strong"/>
                <w:rFonts w:ascii="var(--artdeco-typography-sans)" w:hAnsi="var(--artdeco-typography-sans)"/>
              </w:rPr>
              <w:t>Seniority</w:t>
            </w:r>
            <w:r>
              <w:rPr>
                <w:rFonts w:ascii="var(--artdeco-typography-sans)" w:hAnsi="var(--artdeco-typography-sans)"/>
              </w:rPr>
              <w:t>. </w:t>
            </w:r>
            <w:r>
              <w:rPr>
                <w:rStyle w:val="Strong"/>
                <w:rFonts w:ascii="var(--artdeco-typography-sans)" w:hAnsi="var(--artdeco-typography-sans)"/>
              </w:rPr>
              <w:t>Note:</w:t>
            </w:r>
            <w:r>
              <w:rPr>
                <w:rFonts w:ascii="var(--artdeco-typography-sans)" w:hAnsi="var(--artdeco-typography-sans)"/>
              </w:rPr>
              <w:t xml:space="preserve"> This will be treated as </w:t>
            </w:r>
            <w:proofErr w:type="gramStart"/>
            <w:r>
              <w:rPr>
                <w:rFonts w:ascii="var(--artdeco-typography-sans)" w:hAnsi="var(--artdeco-typography-sans)"/>
              </w:rPr>
              <w:t>one</w:t>
            </w:r>
            <w:proofErr w:type="gramEnd"/>
            <w:r>
              <w:rPr>
                <w:rFonts w:ascii="var(--artdeco-typography-sans)" w:hAnsi="var(--artdeco-typography-sans)"/>
              </w:rPr>
              <w:t xml:space="preserve"> industry benchmark</w:t>
            </w:r>
          </w:p>
        </w:tc>
      </w:tr>
    </w:tbl>
    <w:p w14:paraId="69B6FC3B" w14:textId="77777777" w:rsidR="004D36E7" w:rsidRDefault="004D36E7" w:rsidP="004D36E7">
      <w:pPr>
        <w:pStyle w:val="Heading4"/>
        <w:shd w:val="clear" w:color="auto" w:fill="FFFFFF"/>
        <w:rPr>
          <w:rFonts w:ascii="Segoe UI" w:hAnsi="Segoe UI" w:cs="Segoe UI"/>
          <w:sz w:val="24"/>
          <w:szCs w:val="24"/>
        </w:rPr>
      </w:pPr>
      <w:r>
        <w:rPr>
          <w:rFonts w:ascii="Segoe UI" w:hAnsi="Segoe UI" w:cs="Segoe UI"/>
        </w:rPr>
        <w:t xml:space="preserve">Run the Source </w:t>
      </w:r>
      <w:proofErr w:type="gramStart"/>
      <w:r>
        <w:rPr>
          <w:rFonts w:ascii="Segoe UI" w:hAnsi="Segoe UI" w:cs="Segoe UI"/>
        </w:rPr>
        <w:t>report</w:t>
      </w:r>
      <w:proofErr w:type="gramEnd"/>
    </w:p>
    <w:p w14:paraId="2BF7504E"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To run the Source report, review and revise your filters on the left side of the page. When you change the global filters, the report will update accordingly. For example, selecting </w:t>
      </w:r>
      <w:r>
        <w:rPr>
          <w:rStyle w:val="Strong"/>
          <w:rFonts w:ascii="Segoe UI" w:hAnsi="Segoe UI" w:cs="Segoe UI"/>
          <w:sz w:val="21"/>
          <w:szCs w:val="21"/>
        </w:rPr>
        <w:t>Function</w:t>
      </w:r>
      <w:r>
        <w:rPr>
          <w:rFonts w:ascii="Segoe UI" w:hAnsi="Segoe UI" w:cs="Segoe UI"/>
          <w:sz w:val="21"/>
          <w:szCs w:val="21"/>
        </w:rPr>
        <w:t> and </w:t>
      </w:r>
      <w:r>
        <w:rPr>
          <w:rStyle w:val="Strong"/>
          <w:rFonts w:ascii="Segoe UI" w:hAnsi="Segoe UI" w:cs="Segoe UI"/>
          <w:sz w:val="21"/>
          <w:szCs w:val="21"/>
        </w:rPr>
        <w:t>Seniority</w:t>
      </w:r>
      <w:r>
        <w:rPr>
          <w:rFonts w:ascii="Segoe UI" w:hAnsi="Segoe UI" w:cs="Segoe UI"/>
          <w:sz w:val="21"/>
          <w:szCs w:val="21"/>
        </w:rPr>
        <w:t> narrows down performance within these candidate pools.</w:t>
      </w:r>
    </w:p>
    <w:p w14:paraId="49D09741" w14:textId="77777777" w:rsidR="004D36E7" w:rsidRDefault="004D36E7" w:rsidP="004D36E7">
      <w:pPr>
        <w:pStyle w:val="NormalWeb"/>
        <w:shd w:val="clear" w:color="auto" w:fill="FFFFFF"/>
        <w:spacing w:before="360" w:beforeAutospacing="0" w:after="60" w:afterAutospacing="0" w:line="315" w:lineRule="atLeast"/>
        <w:rPr>
          <w:rFonts w:ascii="Segoe UI" w:hAnsi="Segoe UI" w:cs="Segoe UI"/>
          <w:sz w:val="21"/>
          <w:szCs w:val="21"/>
        </w:rPr>
      </w:pPr>
      <w:r>
        <w:rPr>
          <w:rFonts w:ascii="Segoe UI" w:hAnsi="Segoe UI" w:cs="Segoe UI"/>
          <w:sz w:val="21"/>
          <w:szCs w:val="21"/>
        </w:rPr>
        <w:t>When you run your report, keep the following in mind:</w:t>
      </w:r>
    </w:p>
    <w:p w14:paraId="62476710" w14:textId="77777777" w:rsidR="004D36E7" w:rsidRDefault="004D36E7" w:rsidP="004D36E7">
      <w:pPr>
        <w:numPr>
          <w:ilvl w:val="0"/>
          <w:numId w:val="8"/>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t xml:space="preserve">The insights cards show an overview of your sources and their performance. Hover over </w:t>
      </w:r>
      <w:proofErr w:type="gramStart"/>
      <w:r>
        <w:rPr>
          <w:rFonts w:ascii="Segoe UI" w:hAnsi="Segoe UI" w:cs="Segoe UI"/>
          <w:sz w:val="21"/>
          <w:szCs w:val="21"/>
        </w:rPr>
        <w:t>the  </w:t>
      </w:r>
      <w:r>
        <w:rPr>
          <w:rStyle w:val="Strong"/>
          <w:rFonts w:ascii="Segoe UI" w:hAnsi="Segoe UI" w:cs="Segoe UI"/>
          <w:sz w:val="21"/>
          <w:szCs w:val="21"/>
        </w:rPr>
        <w:t>tooltip</w:t>
      </w:r>
      <w:proofErr w:type="gramEnd"/>
      <w:r>
        <w:rPr>
          <w:rFonts w:ascii="Segoe UI" w:hAnsi="Segoe UI" w:cs="Segoe UI"/>
          <w:sz w:val="21"/>
          <w:szCs w:val="21"/>
        </w:rPr>
        <w:t> icon on an insights card to see what filters your industry benchmark is calculated on.</w:t>
      </w:r>
    </w:p>
    <w:p w14:paraId="6849B178" w14:textId="77777777" w:rsidR="004D36E7" w:rsidRDefault="004D36E7" w:rsidP="004D36E7">
      <w:pPr>
        <w:numPr>
          <w:ilvl w:val="0"/>
          <w:numId w:val="8"/>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Source Categories</w:t>
      </w:r>
      <w:r>
        <w:rPr>
          <w:rFonts w:ascii="Segoe UI" w:hAnsi="Segoe UI" w:cs="Segoe UI"/>
          <w:sz w:val="21"/>
          <w:szCs w:val="21"/>
        </w:rPr>
        <w:t> section shows where your candidates are coming from. You can click on any source category to drill down into the individual sources. Hover over the source category chart above </w:t>
      </w:r>
      <w:r>
        <w:rPr>
          <w:rStyle w:val="Strong"/>
          <w:rFonts w:ascii="Segoe UI" w:hAnsi="Segoe UI" w:cs="Segoe UI"/>
          <w:sz w:val="21"/>
          <w:szCs w:val="21"/>
        </w:rPr>
        <w:t>Conversion rate</w:t>
      </w:r>
      <w:r>
        <w:rPr>
          <w:rFonts w:ascii="Segoe UI" w:hAnsi="Segoe UI" w:cs="Segoe UI"/>
          <w:sz w:val="21"/>
          <w:szCs w:val="21"/>
        </w:rPr>
        <w:t>, </w:t>
      </w:r>
      <w:r>
        <w:rPr>
          <w:rStyle w:val="Strong"/>
          <w:rFonts w:ascii="Segoe UI" w:hAnsi="Segoe UI" w:cs="Segoe UI"/>
          <w:sz w:val="21"/>
          <w:szCs w:val="21"/>
        </w:rPr>
        <w:t>Avg. time to hire</w:t>
      </w:r>
      <w:r>
        <w:rPr>
          <w:rFonts w:ascii="Segoe UI" w:hAnsi="Segoe UI" w:cs="Segoe UI"/>
          <w:sz w:val="21"/>
          <w:szCs w:val="21"/>
        </w:rPr>
        <w:t>, or </w:t>
      </w:r>
      <w:r>
        <w:rPr>
          <w:rStyle w:val="Strong"/>
          <w:rFonts w:ascii="Segoe UI" w:hAnsi="Segoe UI" w:cs="Segoe UI"/>
          <w:sz w:val="21"/>
          <w:szCs w:val="21"/>
        </w:rPr>
        <w:t>Source quality</w:t>
      </w:r>
      <w:r>
        <w:rPr>
          <w:rFonts w:ascii="Segoe UI" w:hAnsi="Segoe UI" w:cs="Segoe UI"/>
          <w:sz w:val="21"/>
          <w:szCs w:val="21"/>
        </w:rPr>
        <w:t> to see the industry benchmark.</w:t>
      </w:r>
    </w:p>
    <w:p w14:paraId="6E2A2E92" w14:textId="77777777" w:rsidR="004D36E7" w:rsidRDefault="004D36E7" w:rsidP="004D36E7">
      <w:pPr>
        <w:numPr>
          <w:ilvl w:val="0"/>
          <w:numId w:val="8"/>
        </w:numPr>
        <w:shd w:val="clear" w:color="auto" w:fill="FFFFFF"/>
        <w:spacing w:before="120" w:after="60" w:line="240" w:lineRule="auto"/>
        <w:ind w:left="1680"/>
        <w:rPr>
          <w:rFonts w:ascii="Segoe UI" w:hAnsi="Segoe UI" w:cs="Segoe UI"/>
          <w:sz w:val="21"/>
          <w:szCs w:val="21"/>
        </w:rPr>
      </w:pPr>
      <w:r>
        <w:rPr>
          <w:rFonts w:ascii="Segoe UI" w:hAnsi="Segoe UI" w:cs="Segoe UI"/>
          <w:sz w:val="21"/>
          <w:szCs w:val="21"/>
        </w:rPr>
        <w:lastRenderedPageBreak/>
        <w:t>The </w:t>
      </w:r>
      <w:r>
        <w:rPr>
          <w:rStyle w:val="Strong"/>
          <w:rFonts w:ascii="Segoe UI" w:hAnsi="Segoe UI" w:cs="Segoe UI"/>
          <w:sz w:val="21"/>
          <w:szCs w:val="21"/>
        </w:rPr>
        <w:t>Source Details</w:t>
      </w:r>
      <w:r>
        <w:rPr>
          <w:rFonts w:ascii="Segoe UI" w:hAnsi="Segoe UI" w:cs="Segoe UI"/>
          <w:sz w:val="21"/>
          <w:szCs w:val="21"/>
        </w:rPr>
        <w:t> section provides more information on the sources under each source category.</w:t>
      </w:r>
    </w:p>
    <w:p w14:paraId="6349790B" w14:textId="77777777" w:rsidR="004D36E7" w:rsidRDefault="004D36E7" w:rsidP="004D36E7">
      <w:pPr>
        <w:numPr>
          <w:ilvl w:val="0"/>
          <w:numId w:val="8"/>
        </w:numPr>
        <w:shd w:val="clear" w:color="auto" w:fill="FFFFFF"/>
        <w:spacing w:before="120" w:after="120" w:line="240" w:lineRule="auto"/>
        <w:ind w:left="168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Source Trends</w:t>
      </w:r>
      <w:r>
        <w:rPr>
          <w:rFonts w:ascii="Segoe UI" w:hAnsi="Segoe UI" w:cs="Segoe UI"/>
          <w:sz w:val="21"/>
          <w:szCs w:val="21"/>
        </w:rPr>
        <w:t> section allows you to select a source metric and understand how that metric performs over time.</w:t>
      </w:r>
    </w:p>
    <w:p w14:paraId="30F5794F" w14:textId="14B58B51" w:rsidR="004D36E7" w:rsidRPr="004D36E7" w:rsidRDefault="004D36E7" w:rsidP="004D36E7"/>
    <w:sectPr w:rsidR="004D36E7" w:rsidRPr="004D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62F"/>
    <w:multiLevelType w:val="multilevel"/>
    <w:tmpl w:val="AD8C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75496"/>
    <w:multiLevelType w:val="multilevel"/>
    <w:tmpl w:val="992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40358"/>
    <w:multiLevelType w:val="multilevel"/>
    <w:tmpl w:val="D4F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439BE"/>
    <w:multiLevelType w:val="multilevel"/>
    <w:tmpl w:val="B67C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62D16"/>
    <w:multiLevelType w:val="multilevel"/>
    <w:tmpl w:val="CB82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172FA"/>
    <w:multiLevelType w:val="multilevel"/>
    <w:tmpl w:val="817A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1683F"/>
    <w:multiLevelType w:val="multilevel"/>
    <w:tmpl w:val="FFF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95A80"/>
    <w:multiLevelType w:val="multilevel"/>
    <w:tmpl w:val="724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694814">
    <w:abstractNumId w:val="6"/>
  </w:num>
  <w:num w:numId="2" w16cid:durableId="334572226">
    <w:abstractNumId w:val="3"/>
  </w:num>
  <w:num w:numId="3" w16cid:durableId="390468944">
    <w:abstractNumId w:val="4"/>
  </w:num>
  <w:num w:numId="4" w16cid:durableId="1095513231">
    <w:abstractNumId w:val="0"/>
  </w:num>
  <w:num w:numId="5" w16cid:durableId="586961679">
    <w:abstractNumId w:val="1"/>
  </w:num>
  <w:num w:numId="6" w16cid:durableId="1389110132">
    <w:abstractNumId w:val="2"/>
  </w:num>
  <w:num w:numId="7" w16cid:durableId="1612778672">
    <w:abstractNumId w:val="5"/>
  </w:num>
  <w:num w:numId="8" w16cid:durableId="2147045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E7"/>
    <w:rsid w:val="004D36E7"/>
    <w:rsid w:val="00990AA1"/>
    <w:rsid w:val="00CC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1982"/>
  <w15:chartTrackingRefBased/>
  <w15:docId w15:val="{631AEC8C-B1DF-443B-91C7-EDCC4C37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6E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4D36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content-collapsible-cardtitle">
    <w:name w:val="article-content-collapsible-card__title"/>
    <w:basedOn w:val="Normal"/>
    <w:rsid w:val="004D3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36E7"/>
    <w:rPr>
      <w:b/>
      <w:bCs/>
    </w:rPr>
  </w:style>
  <w:style w:type="paragraph" w:customStyle="1" w:styleId="article-contentunordered-list-item">
    <w:name w:val="article-content__unordered-list-item"/>
    <w:basedOn w:val="Normal"/>
    <w:rsid w:val="004D3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D36E7"/>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4D36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6502">
      <w:bodyDiv w:val="1"/>
      <w:marLeft w:val="0"/>
      <w:marRight w:val="0"/>
      <w:marTop w:val="0"/>
      <w:marBottom w:val="0"/>
      <w:divBdr>
        <w:top w:val="none" w:sz="0" w:space="0" w:color="auto"/>
        <w:left w:val="none" w:sz="0" w:space="0" w:color="auto"/>
        <w:bottom w:val="none" w:sz="0" w:space="0" w:color="auto"/>
        <w:right w:val="none" w:sz="0" w:space="0" w:color="auto"/>
      </w:divBdr>
    </w:div>
    <w:div w:id="1061833628">
      <w:bodyDiv w:val="1"/>
      <w:marLeft w:val="0"/>
      <w:marRight w:val="0"/>
      <w:marTop w:val="0"/>
      <w:marBottom w:val="0"/>
      <w:divBdr>
        <w:top w:val="none" w:sz="0" w:space="0" w:color="auto"/>
        <w:left w:val="none" w:sz="0" w:space="0" w:color="auto"/>
        <w:bottom w:val="none" w:sz="0" w:space="0" w:color="auto"/>
        <w:right w:val="none" w:sz="0" w:space="0" w:color="auto"/>
      </w:divBdr>
      <w:divsChild>
        <w:div w:id="1062677681">
          <w:marLeft w:val="0"/>
          <w:marRight w:val="0"/>
          <w:marTop w:val="360"/>
          <w:marBottom w:val="360"/>
          <w:divBdr>
            <w:top w:val="none" w:sz="0" w:space="0" w:color="auto"/>
            <w:left w:val="none" w:sz="0" w:space="0" w:color="auto"/>
            <w:bottom w:val="none" w:sz="0" w:space="0" w:color="auto"/>
            <w:right w:val="none" w:sz="0" w:space="0" w:color="auto"/>
          </w:divBdr>
        </w:div>
        <w:div w:id="1542548805">
          <w:marLeft w:val="0"/>
          <w:marRight w:val="0"/>
          <w:marTop w:val="0"/>
          <w:marBottom w:val="0"/>
          <w:divBdr>
            <w:top w:val="none" w:sz="0" w:space="0" w:color="auto"/>
            <w:left w:val="none" w:sz="0" w:space="0" w:color="auto"/>
            <w:bottom w:val="none" w:sz="0" w:space="0" w:color="auto"/>
            <w:right w:val="none" w:sz="0" w:space="0" w:color="auto"/>
          </w:divBdr>
          <w:divsChild>
            <w:div w:id="215971454">
              <w:marLeft w:val="0"/>
              <w:marRight w:val="0"/>
              <w:marTop w:val="360"/>
              <w:marBottom w:val="360"/>
              <w:divBdr>
                <w:top w:val="none" w:sz="0" w:space="0" w:color="auto"/>
                <w:left w:val="none" w:sz="0" w:space="0" w:color="auto"/>
                <w:bottom w:val="none" w:sz="0" w:space="0" w:color="auto"/>
                <w:right w:val="none" w:sz="0" w:space="0" w:color="auto"/>
              </w:divBdr>
              <w:divsChild>
                <w:div w:id="178786569">
                  <w:marLeft w:val="0"/>
                  <w:marRight w:val="0"/>
                  <w:marTop w:val="0"/>
                  <w:marBottom w:val="0"/>
                  <w:divBdr>
                    <w:top w:val="none" w:sz="0" w:space="0" w:color="auto"/>
                    <w:left w:val="none" w:sz="0" w:space="0" w:color="auto"/>
                    <w:bottom w:val="none" w:sz="0" w:space="0" w:color="auto"/>
                    <w:right w:val="none" w:sz="0" w:space="0" w:color="auto"/>
                  </w:divBdr>
                  <w:divsChild>
                    <w:div w:id="576718775">
                      <w:marLeft w:val="0"/>
                      <w:marRight w:val="0"/>
                      <w:marTop w:val="0"/>
                      <w:marBottom w:val="0"/>
                      <w:divBdr>
                        <w:top w:val="none" w:sz="0" w:space="0" w:color="auto"/>
                        <w:left w:val="none" w:sz="0" w:space="0" w:color="auto"/>
                        <w:bottom w:val="none" w:sz="0" w:space="0" w:color="auto"/>
                        <w:right w:val="none" w:sz="0" w:space="0" w:color="auto"/>
                      </w:divBdr>
                      <w:divsChild>
                        <w:div w:id="10681180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37421683">
          <w:marLeft w:val="0"/>
          <w:marRight w:val="0"/>
          <w:marTop w:val="0"/>
          <w:marBottom w:val="0"/>
          <w:divBdr>
            <w:top w:val="none" w:sz="0" w:space="0" w:color="auto"/>
            <w:left w:val="none" w:sz="0" w:space="0" w:color="auto"/>
            <w:bottom w:val="none" w:sz="0" w:space="0" w:color="auto"/>
            <w:right w:val="none" w:sz="0" w:space="0" w:color="auto"/>
          </w:divBdr>
          <w:divsChild>
            <w:div w:id="198007452">
              <w:marLeft w:val="0"/>
              <w:marRight w:val="0"/>
              <w:marTop w:val="360"/>
              <w:marBottom w:val="360"/>
              <w:divBdr>
                <w:top w:val="none" w:sz="0" w:space="0" w:color="auto"/>
                <w:left w:val="none" w:sz="0" w:space="0" w:color="auto"/>
                <w:bottom w:val="none" w:sz="0" w:space="0" w:color="auto"/>
                <w:right w:val="none" w:sz="0" w:space="0" w:color="auto"/>
              </w:divBdr>
              <w:divsChild>
                <w:div w:id="634338572">
                  <w:marLeft w:val="0"/>
                  <w:marRight w:val="0"/>
                  <w:marTop w:val="0"/>
                  <w:marBottom w:val="0"/>
                  <w:divBdr>
                    <w:top w:val="none" w:sz="0" w:space="0" w:color="auto"/>
                    <w:left w:val="none" w:sz="0" w:space="0" w:color="auto"/>
                    <w:bottom w:val="none" w:sz="0" w:space="0" w:color="auto"/>
                    <w:right w:val="none" w:sz="0" w:space="0" w:color="auto"/>
                  </w:divBdr>
                  <w:divsChild>
                    <w:div w:id="802111947">
                      <w:marLeft w:val="0"/>
                      <w:marRight w:val="0"/>
                      <w:marTop w:val="0"/>
                      <w:marBottom w:val="0"/>
                      <w:divBdr>
                        <w:top w:val="none" w:sz="0" w:space="0" w:color="auto"/>
                        <w:left w:val="none" w:sz="0" w:space="0" w:color="auto"/>
                        <w:bottom w:val="none" w:sz="0" w:space="0" w:color="auto"/>
                        <w:right w:val="none" w:sz="0" w:space="0" w:color="auto"/>
                      </w:divBdr>
                      <w:divsChild>
                        <w:div w:id="690911094">
                          <w:marLeft w:val="0"/>
                          <w:marRight w:val="0"/>
                          <w:marTop w:val="360"/>
                          <w:marBottom w:val="360"/>
                          <w:divBdr>
                            <w:top w:val="none" w:sz="0" w:space="0" w:color="auto"/>
                            <w:left w:val="none" w:sz="0" w:space="0" w:color="auto"/>
                            <w:bottom w:val="none" w:sz="0" w:space="0" w:color="auto"/>
                            <w:right w:val="none" w:sz="0" w:space="0" w:color="auto"/>
                          </w:divBdr>
                        </w:div>
                        <w:div w:id="170800728">
                          <w:marLeft w:val="0"/>
                          <w:marRight w:val="0"/>
                          <w:marTop w:val="360"/>
                          <w:marBottom w:val="360"/>
                          <w:divBdr>
                            <w:top w:val="none" w:sz="0" w:space="0" w:color="auto"/>
                            <w:left w:val="none" w:sz="0" w:space="0" w:color="auto"/>
                            <w:bottom w:val="none" w:sz="0" w:space="0" w:color="auto"/>
                            <w:right w:val="none" w:sz="0" w:space="0" w:color="auto"/>
                          </w:divBdr>
                        </w:div>
                        <w:div w:id="1695424388">
                          <w:marLeft w:val="0"/>
                          <w:marRight w:val="0"/>
                          <w:marTop w:val="360"/>
                          <w:marBottom w:val="360"/>
                          <w:divBdr>
                            <w:top w:val="none" w:sz="0" w:space="0" w:color="auto"/>
                            <w:left w:val="none" w:sz="0" w:space="0" w:color="auto"/>
                            <w:bottom w:val="none" w:sz="0" w:space="0" w:color="auto"/>
                            <w:right w:val="none" w:sz="0" w:space="0" w:color="auto"/>
                          </w:divBdr>
                        </w:div>
                        <w:div w:id="420681483">
                          <w:marLeft w:val="0"/>
                          <w:marRight w:val="0"/>
                          <w:marTop w:val="360"/>
                          <w:marBottom w:val="360"/>
                          <w:divBdr>
                            <w:top w:val="none" w:sz="0" w:space="0" w:color="auto"/>
                            <w:left w:val="none" w:sz="0" w:space="0" w:color="auto"/>
                            <w:bottom w:val="none" w:sz="0" w:space="0" w:color="auto"/>
                            <w:right w:val="none" w:sz="0" w:space="0" w:color="auto"/>
                          </w:divBdr>
                          <w:divsChild>
                            <w:div w:id="1101488285">
                              <w:marLeft w:val="0"/>
                              <w:marRight w:val="0"/>
                              <w:marTop w:val="0"/>
                              <w:marBottom w:val="0"/>
                              <w:divBdr>
                                <w:top w:val="none" w:sz="0" w:space="0" w:color="auto"/>
                                <w:left w:val="none" w:sz="0" w:space="0" w:color="auto"/>
                                <w:bottom w:val="none" w:sz="0" w:space="0" w:color="auto"/>
                                <w:right w:val="none" w:sz="0" w:space="0" w:color="auto"/>
                              </w:divBdr>
                            </w:div>
                          </w:divsChild>
                        </w:div>
                        <w:div w:id="66146519">
                          <w:marLeft w:val="0"/>
                          <w:marRight w:val="0"/>
                          <w:marTop w:val="360"/>
                          <w:marBottom w:val="360"/>
                          <w:divBdr>
                            <w:top w:val="none" w:sz="0" w:space="0" w:color="auto"/>
                            <w:left w:val="none" w:sz="0" w:space="0" w:color="auto"/>
                            <w:bottom w:val="none" w:sz="0" w:space="0" w:color="auto"/>
                            <w:right w:val="none" w:sz="0" w:space="0" w:color="auto"/>
                          </w:divBdr>
                        </w:div>
                        <w:div w:id="138316912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49937358">
          <w:marLeft w:val="0"/>
          <w:marRight w:val="0"/>
          <w:marTop w:val="0"/>
          <w:marBottom w:val="0"/>
          <w:divBdr>
            <w:top w:val="none" w:sz="0" w:space="0" w:color="auto"/>
            <w:left w:val="none" w:sz="0" w:space="0" w:color="auto"/>
            <w:bottom w:val="none" w:sz="0" w:space="0" w:color="auto"/>
            <w:right w:val="none" w:sz="0" w:space="0" w:color="auto"/>
          </w:divBdr>
          <w:divsChild>
            <w:div w:id="1421755264">
              <w:marLeft w:val="0"/>
              <w:marRight w:val="0"/>
              <w:marTop w:val="360"/>
              <w:marBottom w:val="360"/>
              <w:divBdr>
                <w:top w:val="none" w:sz="0" w:space="0" w:color="auto"/>
                <w:left w:val="none" w:sz="0" w:space="0" w:color="auto"/>
                <w:bottom w:val="none" w:sz="0" w:space="0" w:color="auto"/>
                <w:right w:val="none" w:sz="0" w:space="0" w:color="auto"/>
              </w:divBdr>
              <w:divsChild>
                <w:div w:id="121849816">
                  <w:marLeft w:val="0"/>
                  <w:marRight w:val="0"/>
                  <w:marTop w:val="0"/>
                  <w:marBottom w:val="0"/>
                  <w:divBdr>
                    <w:top w:val="none" w:sz="0" w:space="0" w:color="auto"/>
                    <w:left w:val="none" w:sz="0" w:space="0" w:color="auto"/>
                    <w:bottom w:val="none" w:sz="0" w:space="0" w:color="auto"/>
                    <w:right w:val="none" w:sz="0" w:space="0" w:color="auto"/>
                  </w:divBdr>
                  <w:divsChild>
                    <w:div w:id="1562208270">
                      <w:marLeft w:val="0"/>
                      <w:marRight w:val="0"/>
                      <w:marTop w:val="0"/>
                      <w:marBottom w:val="0"/>
                      <w:divBdr>
                        <w:top w:val="none" w:sz="0" w:space="0" w:color="auto"/>
                        <w:left w:val="none" w:sz="0" w:space="0" w:color="auto"/>
                        <w:bottom w:val="none" w:sz="0" w:space="0" w:color="auto"/>
                        <w:right w:val="none" w:sz="0" w:space="0" w:color="auto"/>
                      </w:divBdr>
                      <w:divsChild>
                        <w:div w:id="2126075068">
                          <w:marLeft w:val="0"/>
                          <w:marRight w:val="0"/>
                          <w:marTop w:val="360"/>
                          <w:marBottom w:val="360"/>
                          <w:divBdr>
                            <w:top w:val="none" w:sz="0" w:space="0" w:color="auto"/>
                            <w:left w:val="none" w:sz="0" w:space="0" w:color="auto"/>
                            <w:bottom w:val="none" w:sz="0" w:space="0" w:color="auto"/>
                            <w:right w:val="none" w:sz="0" w:space="0" w:color="auto"/>
                          </w:divBdr>
                        </w:div>
                        <w:div w:id="1237591791">
                          <w:marLeft w:val="0"/>
                          <w:marRight w:val="0"/>
                          <w:marTop w:val="360"/>
                          <w:marBottom w:val="360"/>
                          <w:divBdr>
                            <w:top w:val="none" w:sz="0" w:space="0" w:color="auto"/>
                            <w:left w:val="none" w:sz="0" w:space="0" w:color="auto"/>
                            <w:bottom w:val="none" w:sz="0" w:space="0" w:color="auto"/>
                            <w:right w:val="none" w:sz="0" w:space="0" w:color="auto"/>
                          </w:divBdr>
                        </w:div>
                        <w:div w:id="878127196">
                          <w:marLeft w:val="0"/>
                          <w:marRight w:val="0"/>
                          <w:marTop w:val="360"/>
                          <w:marBottom w:val="360"/>
                          <w:divBdr>
                            <w:top w:val="none" w:sz="0" w:space="0" w:color="auto"/>
                            <w:left w:val="none" w:sz="0" w:space="0" w:color="auto"/>
                            <w:bottom w:val="none" w:sz="0" w:space="0" w:color="auto"/>
                            <w:right w:val="none" w:sz="0" w:space="0" w:color="auto"/>
                          </w:divBdr>
                        </w:div>
                        <w:div w:id="1496609930">
                          <w:marLeft w:val="0"/>
                          <w:marRight w:val="0"/>
                          <w:marTop w:val="360"/>
                          <w:marBottom w:val="360"/>
                          <w:divBdr>
                            <w:top w:val="none" w:sz="0" w:space="0" w:color="auto"/>
                            <w:left w:val="none" w:sz="0" w:space="0" w:color="auto"/>
                            <w:bottom w:val="none" w:sz="0" w:space="0" w:color="auto"/>
                            <w:right w:val="none" w:sz="0" w:space="0" w:color="auto"/>
                          </w:divBdr>
                          <w:divsChild>
                            <w:div w:id="1080634600">
                              <w:marLeft w:val="0"/>
                              <w:marRight w:val="0"/>
                              <w:marTop w:val="0"/>
                              <w:marBottom w:val="0"/>
                              <w:divBdr>
                                <w:top w:val="none" w:sz="0" w:space="0" w:color="auto"/>
                                <w:left w:val="none" w:sz="0" w:space="0" w:color="auto"/>
                                <w:bottom w:val="none" w:sz="0" w:space="0" w:color="auto"/>
                                <w:right w:val="none" w:sz="0" w:space="0" w:color="auto"/>
                              </w:divBdr>
                            </w:div>
                          </w:divsChild>
                        </w:div>
                        <w:div w:id="127668285">
                          <w:marLeft w:val="0"/>
                          <w:marRight w:val="0"/>
                          <w:marTop w:val="360"/>
                          <w:marBottom w:val="360"/>
                          <w:divBdr>
                            <w:top w:val="none" w:sz="0" w:space="0" w:color="auto"/>
                            <w:left w:val="none" w:sz="0" w:space="0" w:color="auto"/>
                            <w:bottom w:val="none" w:sz="0" w:space="0" w:color="auto"/>
                            <w:right w:val="none" w:sz="0" w:space="0" w:color="auto"/>
                          </w:divBdr>
                        </w:div>
                        <w:div w:id="25240089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615594213">
      <w:bodyDiv w:val="1"/>
      <w:marLeft w:val="0"/>
      <w:marRight w:val="0"/>
      <w:marTop w:val="0"/>
      <w:marBottom w:val="0"/>
      <w:divBdr>
        <w:top w:val="none" w:sz="0" w:space="0" w:color="auto"/>
        <w:left w:val="none" w:sz="0" w:space="0" w:color="auto"/>
        <w:bottom w:val="none" w:sz="0" w:space="0" w:color="auto"/>
        <w:right w:val="none" w:sz="0" w:space="0" w:color="auto"/>
      </w:divBdr>
    </w:div>
    <w:div w:id="1850636955">
      <w:bodyDiv w:val="1"/>
      <w:marLeft w:val="0"/>
      <w:marRight w:val="0"/>
      <w:marTop w:val="0"/>
      <w:marBottom w:val="0"/>
      <w:divBdr>
        <w:top w:val="none" w:sz="0" w:space="0" w:color="auto"/>
        <w:left w:val="none" w:sz="0" w:space="0" w:color="auto"/>
        <w:bottom w:val="none" w:sz="0" w:space="0" w:color="auto"/>
        <w:right w:val="none" w:sz="0" w:space="0" w:color="auto"/>
      </w:divBdr>
      <w:divsChild>
        <w:div w:id="1970434477">
          <w:marLeft w:val="0"/>
          <w:marRight w:val="0"/>
          <w:marTop w:val="360"/>
          <w:marBottom w:val="360"/>
          <w:divBdr>
            <w:top w:val="none" w:sz="0" w:space="0" w:color="auto"/>
            <w:left w:val="none" w:sz="0" w:space="0" w:color="auto"/>
            <w:bottom w:val="none" w:sz="0" w:space="0" w:color="auto"/>
            <w:right w:val="none" w:sz="0" w:space="0" w:color="auto"/>
          </w:divBdr>
        </w:div>
        <w:div w:id="649210348">
          <w:marLeft w:val="0"/>
          <w:marRight w:val="0"/>
          <w:marTop w:val="360"/>
          <w:marBottom w:val="360"/>
          <w:divBdr>
            <w:top w:val="none" w:sz="0" w:space="0" w:color="auto"/>
            <w:left w:val="none" w:sz="0" w:space="0" w:color="auto"/>
            <w:bottom w:val="none" w:sz="0" w:space="0" w:color="auto"/>
            <w:right w:val="none" w:sz="0" w:space="0" w:color="auto"/>
          </w:divBdr>
        </w:div>
        <w:div w:id="982277116">
          <w:marLeft w:val="0"/>
          <w:marRight w:val="0"/>
          <w:marTop w:val="0"/>
          <w:marBottom w:val="0"/>
          <w:divBdr>
            <w:top w:val="none" w:sz="0" w:space="0" w:color="auto"/>
            <w:left w:val="none" w:sz="0" w:space="0" w:color="auto"/>
            <w:bottom w:val="none" w:sz="0" w:space="0" w:color="auto"/>
            <w:right w:val="none" w:sz="0" w:space="0" w:color="auto"/>
          </w:divBdr>
          <w:divsChild>
            <w:div w:id="42026307">
              <w:marLeft w:val="0"/>
              <w:marRight w:val="0"/>
              <w:marTop w:val="360"/>
              <w:marBottom w:val="360"/>
              <w:divBdr>
                <w:top w:val="none" w:sz="0" w:space="0" w:color="auto"/>
                <w:left w:val="none" w:sz="0" w:space="0" w:color="auto"/>
                <w:bottom w:val="none" w:sz="0" w:space="0" w:color="auto"/>
                <w:right w:val="none" w:sz="0" w:space="0" w:color="auto"/>
              </w:divBdr>
              <w:divsChild>
                <w:div w:id="803814304">
                  <w:marLeft w:val="0"/>
                  <w:marRight w:val="0"/>
                  <w:marTop w:val="0"/>
                  <w:marBottom w:val="0"/>
                  <w:divBdr>
                    <w:top w:val="none" w:sz="0" w:space="0" w:color="auto"/>
                    <w:left w:val="none" w:sz="0" w:space="0" w:color="auto"/>
                    <w:bottom w:val="none" w:sz="0" w:space="0" w:color="auto"/>
                    <w:right w:val="none" w:sz="0" w:space="0" w:color="auto"/>
                  </w:divBdr>
                  <w:divsChild>
                    <w:div w:id="1392847069">
                      <w:marLeft w:val="0"/>
                      <w:marRight w:val="0"/>
                      <w:marTop w:val="0"/>
                      <w:marBottom w:val="0"/>
                      <w:divBdr>
                        <w:top w:val="none" w:sz="0" w:space="0" w:color="auto"/>
                        <w:left w:val="none" w:sz="0" w:space="0" w:color="auto"/>
                        <w:bottom w:val="none" w:sz="0" w:space="0" w:color="auto"/>
                        <w:right w:val="none" w:sz="0" w:space="0" w:color="auto"/>
                      </w:divBdr>
                      <w:divsChild>
                        <w:div w:id="1296327363">
                          <w:marLeft w:val="0"/>
                          <w:marRight w:val="0"/>
                          <w:marTop w:val="360"/>
                          <w:marBottom w:val="360"/>
                          <w:divBdr>
                            <w:top w:val="none" w:sz="0" w:space="0" w:color="auto"/>
                            <w:left w:val="none" w:sz="0" w:space="0" w:color="auto"/>
                            <w:bottom w:val="none" w:sz="0" w:space="0" w:color="auto"/>
                            <w:right w:val="none" w:sz="0" w:space="0" w:color="auto"/>
                          </w:divBdr>
                        </w:div>
                        <w:div w:id="1305046358">
                          <w:marLeft w:val="0"/>
                          <w:marRight w:val="0"/>
                          <w:marTop w:val="0"/>
                          <w:marBottom w:val="0"/>
                          <w:divBdr>
                            <w:top w:val="none" w:sz="0" w:space="0" w:color="auto"/>
                            <w:left w:val="none" w:sz="0" w:space="0" w:color="auto"/>
                            <w:bottom w:val="none" w:sz="0" w:space="0" w:color="auto"/>
                            <w:right w:val="none" w:sz="0" w:space="0" w:color="auto"/>
                          </w:divBdr>
                          <w:divsChild>
                            <w:div w:id="1195462768">
                              <w:marLeft w:val="0"/>
                              <w:marRight w:val="0"/>
                              <w:marTop w:val="0"/>
                              <w:marBottom w:val="0"/>
                              <w:divBdr>
                                <w:top w:val="none" w:sz="0" w:space="0" w:color="auto"/>
                                <w:left w:val="none" w:sz="0" w:space="0" w:color="auto"/>
                                <w:bottom w:val="none" w:sz="0" w:space="0" w:color="auto"/>
                                <w:right w:val="none" w:sz="0" w:space="0" w:color="auto"/>
                              </w:divBdr>
                              <w:divsChild>
                                <w:div w:id="1365329576">
                                  <w:marLeft w:val="0"/>
                                  <w:marRight w:val="0"/>
                                  <w:marTop w:val="0"/>
                                  <w:marBottom w:val="0"/>
                                  <w:divBdr>
                                    <w:top w:val="none" w:sz="0" w:space="0" w:color="auto"/>
                                    <w:left w:val="none" w:sz="0" w:space="0" w:color="auto"/>
                                    <w:bottom w:val="none" w:sz="0" w:space="0" w:color="auto"/>
                                    <w:right w:val="none" w:sz="0" w:space="0" w:color="auto"/>
                                  </w:divBdr>
                                </w:div>
                              </w:divsChild>
                            </w:div>
                            <w:div w:id="903834063">
                              <w:marLeft w:val="0"/>
                              <w:marRight w:val="0"/>
                              <w:marTop w:val="0"/>
                              <w:marBottom w:val="0"/>
                              <w:divBdr>
                                <w:top w:val="none" w:sz="0" w:space="0" w:color="auto"/>
                                <w:left w:val="none" w:sz="0" w:space="0" w:color="auto"/>
                                <w:bottom w:val="none" w:sz="0" w:space="0" w:color="auto"/>
                                <w:right w:val="none" w:sz="0" w:space="0" w:color="auto"/>
                              </w:divBdr>
                              <w:divsChild>
                                <w:div w:id="2020889894">
                                  <w:marLeft w:val="0"/>
                                  <w:marRight w:val="0"/>
                                  <w:marTop w:val="0"/>
                                  <w:marBottom w:val="0"/>
                                  <w:divBdr>
                                    <w:top w:val="none" w:sz="0" w:space="0" w:color="auto"/>
                                    <w:left w:val="none" w:sz="0" w:space="0" w:color="auto"/>
                                    <w:bottom w:val="none" w:sz="0" w:space="0" w:color="auto"/>
                                    <w:right w:val="none" w:sz="0" w:space="0" w:color="auto"/>
                                  </w:divBdr>
                                </w:div>
                              </w:divsChild>
                            </w:div>
                            <w:div w:id="972297298">
                              <w:marLeft w:val="0"/>
                              <w:marRight w:val="0"/>
                              <w:marTop w:val="0"/>
                              <w:marBottom w:val="0"/>
                              <w:divBdr>
                                <w:top w:val="none" w:sz="0" w:space="0" w:color="auto"/>
                                <w:left w:val="none" w:sz="0" w:space="0" w:color="auto"/>
                                <w:bottom w:val="none" w:sz="0" w:space="0" w:color="auto"/>
                                <w:right w:val="none" w:sz="0" w:space="0" w:color="auto"/>
                              </w:divBdr>
                              <w:divsChild>
                                <w:div w:id="1681202770">
                                  <w:marLeft w:val="0"/>
                                  <w:marRight w:val="0"/>
                                  <w:marTop w:val="0"/>
                                  <w:marBottom w:val="0"/>
                                  <w:divBdr>
                                    <w:top w:val="none" w:sz="0" w:space="0" w:color="auto"/>
                                    <w:left w:val="none" w:sz="0" w:space="0" w:color="auto"/>
                                    <w:bottom w:val="none" w:sz="0" w:space="0" w:color="auto"/>
                                    <w:right w:val="none" w:sz="0" w:space="0" w:color="auto"/>
                                  </w:divBdr>
                                </w:div>
                              </w:divsChild>
                            </w:div>
                            <w:div w:id="494107507">
                              <w:marLeft w:val="0"/>
                              <w:marRight w:val="0"/>
                              <w:marTop w:val="0"/>
                              <w:marBottom w:val="0"/>
                              <w:divBdr>
                                <w:top w:val="none" w:sz="0" w:space="0" w:color="auto"/>
                                <w:left w:val="none" w:sz="0" w:space="0" w:color="auto"/>
                                <w:bottom w:val="none" w:sz="0" w:space="0" w:color="auto"/>
                                <w:right w:val="none" w:sz="0" w:space="0" w:color="auto"/>
                              </w:divBdr>
                              <w:divsChild>
                                <w:div w:id="535704820">
                                  <w:marLeft w:val="0"/>
                                  <w:marRight w:val="0"/>
                                  <w:marTop w:val="0"/>
                                  <w:marBottom w:val="0"/>
                                  <w:divBdr>
                                    <w:top w:val="none" w:sz="0" w:space="0" w:color="auto"/>
                                    <w:left w:val="none" w:sz="0" w:space="0" w:color="auto"/>
                                    <w:bottom w:val="none" w:sz="0" w:space="0" w:color="auto"/>
                                    <w:right w:val="none" w:sz="0" w:space="0" w:color="auto"/>
                                  </w:divBdr>
                                </w:div>
                              </w:divsChild>
                            </w:div>
                            <w:div w:id="126902573">
                              <w:marLeft w:val="0"/>
                              <w:marRight w:val="0"/>
                              <w:marTop w:val="0"/>
                              <w:marBottom w:val="0"/>
                              <w:divBdr>
                                <w:top w:val="none" w:sz="0" w:space="0" w:color="auto"/>
                                <w:left w:val="none" w:sz="0" w:space="0" w:color="auto"/>
                                <w:bottom w:val="none" w:sz="0" w:space="0" w:color="auto"/>
                                <w:right w:val="none" w:sz="0" w:space="0" w:color="auto"/>
                              </w:divBdr>
                              <w:divsChild>
                                <w:div w:id="686368384">
                                  <w:marLeft w:val="0"/>
                                  <w:marRight w:val="0"/>
                                  <w:marTop w:val="0"/>
                                  <w:marBottom w:val="0"/>
                                  <w:divBdr>
                                    <w:top w:val="none" w:sz="0" w:space="0" w:color="auto"/>
                                    <w:left w:val="none" w:sz="0" w:space="0" w:color="auto"/>
                                    <w:bottom w:val="none" w:sz="0" w:space="0" w:color="auto"/>
                                    <w:right w:val="none" w:sz="0" w:space="0" w:color="auto"/>
                                  </w:divBdr>
                                </w:div>
                              </w:divsChild>
                            </w:div>
                            <w:div w:id="533886405">
                              <w:marLeft w:val="0"/>
                              <w:marRight w:val="0"/>
                              <w:marTop w:val="0"/>
                              <w:marBottom w:val="0"/>
                              <w:divBdr>
                                <w:top w:val="none" w:sz="0" w:space="0" w:color="auto"/>
                                <w:left w:val="none" w:sz="0" w:space="0" w:color="auto"/>
                                <w:bottom w:val="none" w:sz="0" w:space="0" w:color="auto"/>
                                <w:right w:val="none" w:sz="0" w:space="0" w:color="auto"/>
                              </w:divBdr>
                              <w:divsChild>
                                <w:div w:id="852232904">
                                  <w:marLeft w:val="0"/>
                                  <w:marRight w:val="0"/>
                                  <w:marTop w:val="0"/>
                                  <w:marBottom w:val="0"/>
                                  <w:divBdr>
                                    <w:top w:val="none" w:sz="0" w:space="0" w:color="auto"/>
                                    <w:left w:val="none" w:sz="0" w:space="0" w:color="auto"/>
                                    <w:bottom w:val="none" w:sz="0" w:space="0" w:color="auto"/>
                                    <w:right w:val="none" w:sz="0" w:space="0" w:color="auto"/>
                                  </w:divBdr>
                                </w:div>
                              </w:divsChild>
                            </w:div>
                            <w:div w:id="381752884">
                              <w:marLeft w:val="0"/>
                              <w:marRight w:val="0"/>
                              <w:marTop w:val="0"/>
                              <w:marBottom w:val="0"/>
                              <w:divBdr>
                                <w:top w:val="none" w:sz="0" w:space="0" w:color="auto"/>
                                <w:left w:val="none" w:sz="0" w:space="0" w:color="auto"/>
                                <w:bottom w:val="none" w:sz="0" w:space="0" w:color="auto"/>
                                <w:right w:val="none" w:sz="0" w:space="0" w:color="auto"/>
                              </w:divBdr>
                              <w:divsChild>
                                <w:div w:id="1095246347">
                                  <w:marLeft w:val="0"/>
                                  <w:marRight w:val="0"/>
                                  <w:marTop w:val="0"/>
                                  <w:marBottom w:val="0"/>
                                  <w:divBdr>
                                    <w:top w:val="none" w:sz="0" w:space="0" w:color="auto"/>
                                    <w:left w:val="none" w:sz="0" w:space="0" w:color="auto"/>
                                    <w:bottom w:val="none" w:sz="0" w:space="0" w:color="auto"/>
                                    <w:right w:val="none" w:sz="0" w:space="0" w:color="auto"/>
                                  </w:divBdr>
                                </w:div>
                              </w:divsChild>
                            </w:div>
                            <w:div w:id="1319117856">
                              <w:marLeft w:val="0"/>
                              <w:marRight w:val="0"/>
                              <w:marTop w:val="0"/>
                              <w:marBottom w:val="0"/>
                              <w:divBdr>
                                <w:top w:val="none" w:sz="0" w:space="0" w:color="auto"/>
                                <w:left w:val="none" w:sz="0" w:space="0" w:color="auto"/>
                                <w:bottom w:val="none" w:sz="0" w:space="0" w:color="auto"/>
                                <w:right w:val="none" w:sz="0" w:space="0" w:color="auto"/>
                              </w:divBdr>
                              <w:divsChild>
                                <w:div w:id="1573811857">
                                  <w:marLeft w:val="0"/>
                                  <w:marRight w:val="0"/>
                                  <w:marTop w:val="0"/>
                                  <w:marBottom w:val="0"/>
                                  <w:divBdr>
                                    <w:top w:val="none" w:sz="0" w:space="0" w:color="auto"/>
                                    <w:left w:val="none" w:sz="0" w:space="0" w:color="auto"/>
                                    <w:bottom w:val="none" w:sz="0" w:space="0" w:color="auto"/>
                                    <w:right w:val="none" w:sz="0" w:space="0" w:color="auto"/>
                                  </w:divBdr>
                                </w:div>
                              </w:divsChild>
                            </w:div>
                            <w:div w:id="210012">
                              <w:marLeft w:val="0"/>
                              <w:marRight w:val="0"/>
                              <w:marTop w:val="0"/>
                              <w:marBottom w:val="0"/>
                              <w:divBdr>
                                <w:top w:val="none" w:sz="0" w:space="0" w:color="auto"/>
                                <w:left w:val="none" w:sz="0" w:space="0" w:color="auto"/>
                                <w:bottom w:val="none" w:sz="0" w:space="0" w:color="auto"/>
                                <w:right w:val="none" w:sz="0" w:space="0" w:color="auto"/>
                              </w:divBdr>
                              <w:divsChild>
                                <w:div w:id="1718629476">
                                  <w:marLeft w:val="0"/>
                                  <w:marRight w:val="0"/>
                                  <w:marTop w:val="0"/>
                                  <w:marBottom w:val="0"/>
                                  <w:divBdr>
                                    <w:top w:val="none" w:sz="0" w:space="0" w:color="auto"/>
                                    <w:left w:val="none" w:sz="0" w:space="0" w:color="auto"/>
                                    <w:bottom w:val="none" w:sz="0" w:space="0" w:color="auto"/>
                                    <w:right w:val="none" w:sz="0" w:space="0" w:color="auto"/>
                                  </w:divBdr>
                                </w:div>
                              </w:divsChild>
                            </w:div>
                            <w:div w:id="305859223">
                              <w:marLeft w:val="0"/>
                              <w:marRight w:val="0"/>
                              <w:marTop w:val="0"/>
                              <w:marBottom w:val="0"/>
                              <w:divBdr>
                                <w:top w:val="none" w:sz="0" w:space="0" w:color="auto"/>
                                <w:left w:val="none" w:sz="0" w:space="0" w:color="auto"/>
                                <w:bottom w:val="none" w:sz="0" w:space="0" w:color="auto"/>
                                <w:right w:val="none" w:sz="0" w:space="0" w:color="auto"/>
                              </w:divBdr>
                              <w:divsChild>
                                <w:div w:id="10472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2772">
                          <w:marLeft w:val="0"/>
                          <w:marRight w:val="0"/>
                          <w:marTop w:val="360"/>
                          <w:marBottom w:val="360"/>
                          <w:divBdr>
                            <w:top w:val="none" w:sz="0" w:space="0" w:color="auto"/>
                            <w:left w:val="none" w:sz="0" w:space="0" w:color="auto"/>
                            <w:bottom w:val="none" w:sz="0" w:space="0" w:color="auto"/>
                            <w:right w:val="none" w:sz="0" w:space="0" w:color="auto"/>
                          </w:divBdr>
                        </w:div>
                        <w:div w:id="708259427">
                          <w:marLeft w:val="0"/>
                          <w:marRight w:val="0"/>
                          <w:marTop w:val="0"/>
                          <w:marBottom w:val="0"/>
                          <w:divBdr>
                            <w:top w:val="none" w:sz="0" w:space="0" w:color="auto"/>
                            <w:left w:val="none" w:sz="0" w:space="0" w:color="auto"/>
                            <w:bottom w:val="none" w:sz="0" w:space="0" w:color="auto"/>
                            <w:right w:val="none" w:sz="0" w:space="0" w:color="auto"/>
                          </w:divBdr>
                          <w:divsChild>
                            <w:div w:id="1816557766">
                              <w:marLeft w:val="0"/>
                              <w:marRight w:val="0"/>
                              <w:marTop w:val="0"/>
                              <w:marBottom w:val="0"/>
                              <w:divBdr>
                                <w:top w:val="none" w:sz="0" w:space="0" w:color="auto"/>
                                <w:left w:val="none" w:sz="0" w:space="0" w:color="auto"/>
                                <w:bottom w:val="none" w:sz="0" w:space="0" w:color="auto"/>
                                <w:right w:val="none" w:sz="0" w:space="0" w:color="auto"/>
                              </w:divBdr>
                              <w:divsChild>
                                <w:div w:id="20936054">
                                  <w:marLeft w:val="0"/>
                                  <w:marRight w:val="0"/>
                                  <w:marTop w:val="0"/>
                                  <w:marBottom w:val="0"/>
                                  <w:divBdr>
                                    <w:top w:val="none" w:sz="0" w:space="0" w:color="auto"/>
                                    <w:left w:val="none" w:sz="0" w:space="0" w:color="auto"/>
                                    <w:bottom w:val="none" w:sz="0" w:space="0" w:color="auto"/>
                                    <w:right w:val="none" w:sz="0" w:space="0" w:color="auto"/>
                                  </w:divBdr>
                                </w:div>
                              </w:divsChild>
                            </w:div>
                            <w:div w:id="774518559">
                              <w:marLeft w:val="0"/>
                              <w:marRight w:val="0"/>
                              <w:marTop w:val="0"/>
                              <w:marBottom w:val="0"/>
                              <w:divBdr>
                                <w:top w:val="none" w:sz="0" w:space="0" w:color="auto"/>
                                <w:left w:val="none" w:sz="0" w:space="0" w:color="auto"/>
                                <w:bottom w:val="none" w:sz="0" w:space="0" w:color="auto"/>
                                <w:right w:val="none" w:sz="0" w:space="0" w:color="auto"/>
                              </w:divBdr>
                              <w:divsChild>
                                <w:div w:id="1755206126">
                                  <w:marLeft w:val="0"/>
                                  <w:marRight w:val="0"/>
                                  <w:marTop w:val="0"/>
                                  <w:marBottom w:val="0"/>
                                  <w:divBdr>
                                    <w:top w:val="none" w:sz="0" w:space="0" w:color="auto"/>
                                    <w:left w:val="none" w:sz="0" w:space="0" w:color="auto"/>
                                    <w:bottom w:val="none" w:sz="0" w:space="0" w:color="auto"/>
                                    <w:right w:val="none" w:sz="0" w:space="0" w:color="auto"/>
                                  </w:divBdr>
                                </w:div>
                              </w:divsChild>
                            </w:div>
                            <w:div w:id="1013996546">
                              <w:marLeft w:val="0"/>
                              <w:marRight w:val="0"/>
                              <w:marTop w:val="0"/>
                              <w:marBottom w:val="0"/>
                              <w:divBdr>
                                <w:top w:val="none" w:sz="0" w:space="0" w:color="auto"/>
                                <w:left w:val="none" w:sz="0" w:space="0" w:color="auto"/>
                                <w:bottom w:val="none" w:sz="0" w:space="0" w:color="auto"/>
                                <w:right w:val="none" w:sz="0" w:space="0" w:color="auto"/>
                              </w:divBdr>
                              <w:divsChild>
                                <w:div w:id="875585172">
                                  <w:marLeft w:val="0"/>
                                  <w:marRight w:val="0"/>
                                  <w:marTop w:val="0"/>
                                  <w:marBottom w:val="360"/>
                                  <w:divBdr>
                                    <w:top w:val="none" w:sz="0" w:space="0" w:color="auto"/>
                                    <w:left w:val="none" w:sz="0" w:space="0" w:color="auto"/>
                                    <w:bottom w:val="none" w:sz="0" w:space="0" w:color="auto"/>
                                    <w:right w:val="none" w:sz="0" w:space="0" w:color="auto"/>
                                  </w:divBdr>
                                </w:div>
                                <w:div w:id="1781754348">
                                  <w:marLeft w:val="0"/>
                                  <w:marRight w:val="0"/>
                                  <w:marTop w:val="360"/>
                                  <w:marBottom w:val="0"/>
                                  <w:divBdr>
                                    <w:top w:val="none" w:sz="0" w:space="0" w:color="auto"/>
                                    <w:left w:val="none" w:sz="0" w:space="0" w:color="auto"/>
                                    <w:bottom w:val="none" w:sz="0" w:space="0" w:color="auto"/>
                                    <w:right w:val="none" w:sz="0" w:space="0" w:color="auto"/>
                                  </w:divBdr>
                                </w:div>
                              </w:divsChild>
                            </w:div>
                            <w:div w:id="418407161">
                              <w:marLeft w:val="0"/>
                              <w:marRight w:val="0"/>
                              <w:marTop w:val="0"/>
                              <w:marBottom w:val="0"/>
                              <w:divBdr>
                                <w:top w:val="none" w:sz="0" w:space="0" w:color="auto"/>
                                <w:left w:val="none" w:sz="0" w:space="0" w:color="auto"/>
                                <w:bottom w:val="none" w:sz="0" w:space="0" w:color="auto"/>
                                <w:right w:val="none" w:sz="0" w:space="0" w:color="auto"/>
                              </w:divBdr>
                              <w:divsChild>
                                <w:div w:id="1637756201">
                                  <w:marLeft w:val="0"/>
                                  <w:marRight w:val="0"/>
                                  <w:marTop w:val="0"/>
                                  <w:marBottom w:val="0"/>
                                  <w:divBdr>
                                    <w:top w:val="none" w:sz="0" w:space="0" w:color="auto"/>
                                    <w:left w:val="none" w:sz="0" w:space="0" w:color="auto"/>
                                    <w:bottom w:val="none" w:sz="0" w:space="0" w:color="auto"/>
                                    <w:right w:val="none" w:sz="0" w:space="0" w:color="auto"/>
                                  </w:divBdr>
                                </w:div>
                              </w:divsChild>
                            </w:div>
                            <w:div w:id="1276711722">
                              <w:marLeft w:val="0"/>
                              <w:marRight w:val="0"/>
                              <w:marTop w:val="0"/>
                              <w:marBottom w:val="0"/>
                              <w:divBdr>
                                <w:top w:val="none" w:sz="0" w:space="0" w:color="auto"/>
                                <w:left w:val="none" w:sz="0" w:space="0" w:color="auto"/>
                                <w:bottom w:val="none" w:sz="0" w:space="0" w:color="auto"/>
                                <w:right w:val="none" w:sz="0" w:space="0" w:color="auto"/>
                              </w:divBdr>
                              <w:divsChild>
                                <w:div w:id="141970900">
                                  <w:marLeft w:val="0"/>
                                  <w:marRight w:val="0"/>
                                  <w:marTop w:val="0"/>
                                  <w:marBottom w:val="360"/>
                                  <w:divBdr>
                                    <w:top w:val="none" w:sz="0" w:space="0" w:color="auto"/>
                                    <w:left w:val="none" w:sz="0" w:space="0" w:color="auto"/>
                                    <w:bottom w:val="none" w:sz="0" w:space="0" w:color="auto"/>
                                    <w:right w:val="none" w:sz="0" w:space="0" w:color="auto"/>
                                  </w:divBdr>
                                </w:div>
                                <w:div w:id="1738555955">
                                  <w:marLeft w:val="0"/>
                                  <w:marRight w:val="0"/>
                                  <w:marTop w:val="360"/>
                                  <w:marBottom w:val="0"/>
                                  <w:divBdr>
                                    <w:top w:val="none" w:sz="0" w:space="0" w:color="auto"/>
                                    <w:left w:val="none" w:sz="0" w:space="0" w:color="auto"/>
                                    <w:bottom w:val="none" w:sz="0" w:space="0" w:color="auto"/>
                                    <w:right w:val="none" w:sz="0" w:space="0" w:color="auto"/>
                                  </w:divBdr>
                                </w:div>
                              </w:divsChild>
                            </w:div>
                            <w:div w:id="286859804">
                              <w:marLeft w:val="0"/>
                              <w:marRight w:val="0"/>
                              <w:marTop w:val="0"/>
                              <w:marBottom w:val="0"/>
                              <w:divBdr>
                                <w:top w:val="none" w:sz="0" w:space="0" w:color="auto"/>
                                <w:left w:val="none" w:sz="0" w:space="0" w:color="auto"/>
                                <w:bottom w:val="none" w:sz="0" w:space="0" w:color="auto"/>
                                <w:right w:val="none" w:sz="0" w:space="0" w:color="auto"/>
                              </w:divBdr>
                              <w:divsChild>
                                <w:div w:id="1128355020">
                                  <w:marLeft w:val="0"/>
                                  <w:marRight w:val="0"/>
                                  <w:marTop w:val="0"/>
                                  <w:marBottom w:val="360"/>
                                  <w:divBdr>
                                    <w:top w:val="none" w:sz="0" w:space="0" w:color="auto"/>
                                    <w:left w:val="none" w:sz="0" w:space="0" w:color="auto"/>
                                    <w:bottom w:val="none" w:sz="0" w:space="0" w:color="auto"/>
                                    <w:right w:val="none" w:sz="0" w:space="0" w:color="auto"/>
                                  </w:divBdr>
                                </w:div>
                                <w:div w:id="68263289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57538168">
                          <w:marLeft w:val="0"/>
                          <w:marRight w:val="0"/>
                          <w:marTop w:val="360"/>
                          <w:marBottom w:val="360"/>
                          <w:divBdr>
                            <w:top w:val="none" w:sz="0" w:space="0" w:color="auto"/>
                            <w:left w:val="none" w:sz="0" w:space="0" w:color="auto"/>
                            <w:bottom w:val="none" w:sz="0" w:space="0" w:color="auto"/>
                            <w:right w:val="none" w:sz="0" w:space="0" w:color="auto"/>
                          </w:divBdr>
                        </w:div>
                        <w:div w:id="840851228">
                          <w:marLeft w:val="0"/>
                          <w:marRight w:val="0"/>
                          <w:marTop w:val="0"/>
                          <w:marBottom w:val="0"/>
                          <w:divBdr>
                            <w:top w:val="none" w:sz="0" w:space="0" w:color="auto"/>
                            <w:left w:val="none" w:sz="0" w:space="0" w:color="auto"/>
                            <w:bottom w:val="none" w:sz="0" w:space="0" w:color="auto"/>
                            <w:right w:val="none" w:sz="0" w:space="0" w:color="auto"/>
                          </w:divBdr>
                          <w:divsChild>
                            <w:div w:id="1842237606">
                              <w:marLeft w:val="0"/>
                              <w:marRight w:val="0"/>
                              <w:marTop w:val="0"/>
                              <w:marBottom w:val="0"/>
                              <w:divBdr>
                                <w:top w:val="none" w:sz="0" w:space="0" w:color="auto"/>
                                <w:left w:val="none" w:sz="0" w:space="0" w:color="auto"/>
                                <w:bottom w:val="none" w:sz="0" w:space="0" w:color="auto"/>
                                <w:right w:val="none" w:sz="0" w:space="0" w:color="auto"/>
                              </w:divBdr>
                              <w:divsChild>
                                <w:div w:id="708453805">
                                  <w:marLeft w:val="0"/>
                                  <w:marRight w:val="0"/>
                                  <w:marTop w:val="0"/>
                                  <w:marBottom w:val="0"/>
                                  <w:divBdr>
                                    <w:top w:val="none" w:sz="0" w:space="0" w:color="auto"/>
                                    <w:left w:val="none" w:sz="0" w:space="0" w:color="auto"/>
                                    <w:bottom w:val="none" w:sz="0" w:space="0" w:color="auto"/>
                                    <w:right w:val="none" w:sz="0" w:space="0" w:color="auto"/>
                                  </w:divBdr>
                                </w:div>
                              </w:divsChild>
                            </w:div>
                            <w:div w:id="1350452843">
                              <w:marLeft w:val="0"/>
                              <w:marRight w:val="0"/>
                              <w:marTop w:val="0"/>
                              <w:marBottom w:val="0"/>
                              <w:divBdr>
                                <w:top w:val="none" w:sz="0" w:space="0" w:color="auto"/>
                                <w:left w:val="none" w:sz="0" w:space="0" w:color="auto"/>
                                <w:bottom w:val="none" w:sz="0" w:space="0" w:color="auto"/>
                                <w:right w:val="none" w:sz="0" w:space="0" w:color="auto"/>
                              </w:divBdr>
                              <w:divsChild>
                                <w:div w:id="535316427">
                                  <w:marLeft w:val="0"/>
                                  <w:marRight w:val="0"/>
                                  <w:marTop w:val="0"/>
                                  <w:marBottom w:val="0"/>
                                  <w:divBdr>
                                    <w:top w:val="none" w:sz="0" w:space="0" w:color="auto"/>
                                    <w:left w:val="none" w:sz="0" w:space="0" w:color="auto"/>
                                    <w:bottom w:val="none" w:sz="0" w:space="0" w:color="auto"/>
                                    <w:right w:val="none" w:sz="0" w:space="0" w:color="auto"/>
                                  </w:divBdr>
                                </w:div>
                              </w:divsChild>
                            </w:div>
                            <w:div w:id="2146504389">
                              <w:marLeft w:val="0"/>
                              <w:marRight w:val="0"/>
                              <w:marTop w:val="0"/>
                              <w:marBottom w:val="0"/>
                              <w:divBdr>
                                <w:top w:val="none" w:sz="0" w:space="0" w:color="auto"/>
                                <w:left w:val="none" w:sz="0" w:space="0" w:color="auto"/>
                                <w:bottom w:val="none" w:sz="0" w:space="0" w:color="auto"/>
                                <w:right w:val="none" w:sz="0" w:space="0" w:color="auto"/>
                              </w:divBdr>
                              <w:divsChild>
                                <w:div w:id="142433940">
                                  <w:marLeft w:val="0"/>
                                  <w:marRight w:val="0"/>
                                  <w:marTop w:val="0"/>
                                  <w:marBottom w:val="0"/>
                                  <w:divBdr>
                                    <w:top w:val="none" w:sz="0" w:space="0" w:color="auto"/>
                                    <w:left w:val="none" w:sz="0" w:space="0" w:color="auto"/>
                                    <w:bottom w:val="none" w:sz="0" w:space="0" w:color="auto"/>
                                    <w:right w:val="none" w:sz="0" w:space="0" w:color="auto"/>
                                  </w:divBdr>
                                </w:div>
                              </w:divsChild>
                            </w:div>
                            <w:div w:id="1572764097">
                              <w:marLeft w:val="0"/>
                              <w:marRight w:val="0"/>
                              <w:marTop w:val="0"/>
                              <w:marBottom w:val="0"/>
                              <w:divBdr>
                                <w:top w:val="none" w:sz="0" w:space="0" w:color="auto"/>
                                <w:left w:val="none" w:sz="0" w:space="0" w:color="auto"/>
                                <w:bottom w:val="none" w:sz="0" w:space="0" w:color="auto"/>
                                <w:right w:val="none" w:sz="0" w:space="0" w:color="auto"/>
                              </w:divBdr>
                              <w:divsChild>
                                <w:div w:id="464155311">
                                  <w:marLeft w:val="0"/>
                                  <w:marRight w:val="0"/>
                                  <w:marTop w:val="0"/>
                                  <w:marBottom w:val="0"/>
                                  <w:divBdr>
                                    <w:top w:val="none" w:sz="0" w:space="0" w:color="auto"/>
                                    <w:left w:val="none" w:sz="0" w:space="0" w:color="auto"/>
                                    <w:bottom w:val="none" w:sz="0" w:space="0" w:color="auto"/>
                                    <w:right w:val="none" w:sz="0" w:space="0" w:color="auto"/>
                                  </w:divBdr>
                                </w:div>
                              </w:divsChild>
                            </w:div>
                            <w:div w:id="1815104512">
                              <w:marLeft w:val="0"/>
                              <w:marRight w:val="0"/>
                              <w:marTop w:val="0"/>
                              <w:marBottom w:val="0"/>
                              <w:divBdr>
                                <w:top w:val="none" w:sz="0" w:space="0" w:color="auto"/>
                                <w:left w:val="none" w:sz="0" w:space="0" w:color="auto"/>
                                <w:bottom w:val="none" w:sz="0" w:space="0" w:color="auto"/>
                                <w:right w:val="none" w:sz="0" w:space="0" w:color="auto"/>
                              </w:divBdr>
                              <w:divsChild>
                                <w:div w:id="124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692662">
          <w:marLeft w:val="0"/>
          <w:marRight w:val="0"/>
          <w:marTop w:val="0"/>
          <w:marBottom w:val="0"/>
          <w:divBdr>
            <w:top w:val="none" w:sz="0" w:space="0" w:color="auto"/>
            <w:left w:val="none" w:sz="0" w:space="0" w:color="auto"/>
            <w:bottom w:val="none" w:sz="0" w:space="0" w:color="auto"/>
            <w:right w:val="none" w:sz="0" w:space="0" w:color="auto"/>
          </w:divBdr>
          <w:divsChild>
            <w:div w:id="240218779">
              <w:marLeft w:val="0"/>
              <w:marRight w:val="0"/>
              <w:marTop w:val="360"/>
              <w:marBottom w:val="360"/>
              <w:divBdr>
                <w:top w:val="none" w:sz="0" w:space="0" w:color="auto"/>
                <w:left w:val="none" w:sz="0" w:space="0" w:color="auto"/>
                <w:bottom w:val="none" w:sz="0" w:space="0" w:color="auto"/>
                <w:right w:val="none" w:sz="0" w:space="0" w:color="auto"/>
              </w:divBdr>
              <w:divsChild>
                <w:div w:id="830409235">
                  <w:marLeft w:val="0"/>
                  <w:marRight w:val="0"/>
                  <w:marTop w:val="0"/>
                  <w:marBottom w:val="0"/>
                  <w:divBdr>
                    <w:top w:val="none" w:sz="0" w:space="0" w:color="auto"/>
                    <w:left w:val="none" w:sz="0" w:space="0" w:color="auto"/>
                    <w:bottom w:val="none" w:sz="0" w:space="0" w:color="auto"/>
                    <w:right w:val="none" w:sz="0" w:space="0" w:color="auto"/>
                  </w:divBdr>
                  <w:divsChild>
                    <w:div w:id="1589578474">
                      <w:marLeft w:val="0"/>
                      <w:marRight w:val="0"/>
                      <w:marTop w:val="0"/>
                      <w:marBottom w:val="0"/>
                      <w:divBdr>
                        <w:top w:val="none" w:sz="0" w:space="0" w:color="auto"/>
                        <w:left w:val="none" w:sz="0" w:space="0" w:color="auto"/>
                        <w:bottom w:val="none" w:sz="0" w:space="0" w:color="auto"/>
                        <w:right w:val="none" w:sz="0" w:space="0" w:color="auto"/>
                      </w:divBdr>
                      <w:divsChild>
                        <w:div w:id="110126798">
                          <w:marLeft w:val="0"/>
                          <w:marRight w:val="0"/>
                          <w:marTop w:val="360"/>
                          <w:marBottom w:val="360"/>
                          <w:divBdr>
                            <w:top w:val="none" w:sz="0" w:space="0" w:color="auto"/>
                            <w:left w:val="none" w:sz="0" w:space="0" w:color="auto"/>
                            <w:bottom w:val="none" w:sz="0" w:space="0" w:color="auto"/>
                            <w:right w:val="none" w:sz="0" w:space="0" w:color="auto"/>
                          </w:divBdr>
                        </w:div>
                        <w:div w:id="1346787993">
                          <w:marLeft w:val="0"/>
                          <w:marRight w:val="0"/>
                          <w:marTop w:val="0"/>
                          <w:marBottom w:val="0"/>
                          <w:divBdr>
                            <w:top w:val="none" w:sz="0" w:space="0" w:color="auto"/>
                            <w:left w:val="none" w:sz="0" w:space="0" w:color="auto"/>
                            <w:bottom w:val="none" w:sz="0" w:space="0" w:color="auto"/>
                            <w:right w:val="none" w:sz="0" w:space="0" w:color="auto"/>
                          </w:divBdr>
                          <w:divsChild>
                            <w:div w:id="981689347">
                              <w:marLeft w:val="0"/>
                              <w:marRight w:val="0"/>
                              <w:marTop w:val="0"/>
                              <w:marBottom w:val="0"/>
                              <w:divBdr>
                                <w:top w:val="none" w:sz="0" w:space="0" w:color="auto"/>
                                <w:left w:val="none" w:sz="0" w:space="0" w:color="auto"/>
                                <w:bottom w:val="none" w:sz="0" w:space="0" w:color="auto"/>
                                <w:right w:val="none" w:sz="0" w:space="0" w:color="auto"/>
                              </w:divBdr>
                              <w:divsChild>
                                <w:div w:id="2024551769">
                                  <w:marLeft w:val="0"/>
                                  <w:marRight w:val="0"/>
                                  <w:marTop w:val="0"/>
                                  <w:marBottom w:val="0"/>
                                  <w:divBdr>
                                    <w:top w:val="none" w:sz="0" w:space="0" w:color="auto"/>
                                    <w:left w:val="none" w:sz="0" w:space="0" w:color="auto"/>
                                    <w:bottom w:val="none" w:sz="0" w:space="0" w:color="auto"/>
                                    <w:right w:val="none" w:sz="0" w:space="0" w:color="auto"/>
                                  </w:divBdr>
                                </w:div>
                              </w:divsChild>
                            </w:div>
                            <w:div w:id="1209874505">
                              <w:marLeft w:val="0"/>
                              <w:marRight w:val="0"/>
                              <w:marTop w:val="0"/>
                              <w:marBottom w:val="0"/>
                              <w:divBdr>
                                <w:top w:val="none" w:sz="0" w:space="0" w:color="auto"/>
                                <w:left w:val="none" w:sz="0" w:space="0" w:color="auto"/>
                                <w:bottom w:val="none" w:sz="0" w:space="0" w:color="auto"/>
                                <w:right w:val="none" w:sz="0" w:space="0" w:color="auto"/>
                              </w:divBdr>
                              <w:divsChild>
                                <w:div w:id="1714114521">
                                  <w:marLeft w:val="0"/>
                                  <w:marRight w:val="0"/>
                                  <w:marTop w:val="0"/>
                                  <w:marBottom w:val="0"/>
                                  <w:divBdr>
                                    <w:top w:val="none" w:sz="0" w:space="0" w:color="auto"/>
                                    <w:left w:val="none" w:sz="0" w:space="0" w:color="auto"/>
                                    <w:bottom w:val="none" w:sz="0" w:space="0" w:color="auto"/>
                                    <w:right w:val="none" w:sz="0" w:space="0" w:color="auto"/>
                                  </w:divBdr>
                                </w:div>
                              </w:divsChild>
                            </w:div>
                            <w:div w:id="1355812513">
                              <w:marLeft w:val="0"/>
                              <w:marRight w:val="0"/>
                              <w:marTop w:val="0"/>
                              <w:marBottom w:val="0"/>
                              <w:divBdr>
                                <w:top w:val="none" w:sz="0" w:space="0" w:color="auto"/>
                                <w:left w:val="none" w:sz="0" w:space="0" w:color="auto"/>
                                <w:bottom w:val="none" w:sz="0" w:space="0" w:color="auto"/>
                                <w:right w:val="none" w:sz="0" w:space="0" w:color="auto"/>
                              </w:divBdr>
                              <w:divsChild>
                                <w:div w:id="1439325456">
                                  <w:marLeft w:val="0"/>
                                  <w:marRight w:val="0"/>
                                  <w:marTop w:val="0"/>
                                  <w:marBottom w:val="0"/>
                                  <w:divBdr>
                                    <w:top w:val="none" w:sz="0" w:space="0" w:color="auto"/>
                                    <w:left w:val="none" w:sz="0" w:space="0" w:color="auto"/>
                                    <w:bottom w:val="none" w:sz="0" w:space="0" w:color="auto"/>
                                    <w:right w:val="none" w:sz="0" w:space="0" w:color="auto"/>
                                  </w:divBdr>
                                </w:div>
                              </w:divsChild>
                            </w:div>
                            <w:div w:id="1624920858">
                              <w:marLeft w:val="0"/>
                              <w:marRight w:val="0"/>
                              <w:marTop w:val="0"/>
                              <w:marBottom w:val="0"/>
                              <w:divBdr>
                                <w:top w:val="none" w:sz="0" w:space="0" w:color="auto"/>
                                <w:left w:val="none" w:sz="0" w:space="0" w:color="auto"/>
                                <w:bottom w:val="none" w:sz="0" w:space="0" w:color="auto"/>
                                <w:right w:val="none" w:sz="0" w:space="0" w:color="auto"/>
                              </w:divBdr>
                              <w:divsChild>
                                <w:div w:id="1237323436">
                                  <w:marLeft w:val="0"/>
                                  <w:marRight w:val="0"/>
                                  <w:marTop w:val="0"/>
                                  <w:marBottom w:val="0"/>
                                  <w:divBdr>
                                    <w:top w:val="none" w:sz="0" w:space="0" w:color="auto"/>
                                    <w:left w:val="none" w:sz="0" w:space="0" w:color="auto"/>
                                    <w:bottom w:val="none" w:sz="0" w:space="0" w:color="auto"/>
                                    <w:right w:val="none" w:sz="0" w:space="0" w:color="auto"/>
                                  </w:divBdr>
                                </w:div>
                              </w:divsChild>
                            </w:div>
                            <w:div w:id="1658875737">
                              <w:marLeft w:val="0"/>
                              <w:marRight w:val="0"/>
                              <w:marTop w:val="0"/>
                              <w:marBottom w:val="0"/>
                              <w:divBdr>
                                <w:top w:val="none" w:sz="0" w:space="0" w:color="auto"/>
                                <w:left w:val="none" w:sz="0" w:space="0" w:color="auto"/>
                                <w:bottom w:val="none" w:sz="0" w:space="0" w:color="auto"/>
                                <w:right w:val="none" w:sz="0" w:space="0" w:color="auto"/>
                              </w:divBdr>
                              <w:divsChild>
                                <w:div w:id="791021498">
                                  <w:marLeft w:val="0"/>
                                  <w:marRight w:val="0"/>
                                  <w:marTop w:val="0"/>
                                  <w:marBottom w:val="0"/>
                                  <w:divBdr>
                                    <w:top w:val="none" w:sz="0" w:space="0" w:color="auto"/>
                                    <w:left w:val="none" w:sz="0" w:space="0" w:color="auto"/>
                                    <w:bottom w:val="none" w:sz="0" w:space="0" w:color="auto"/>
                                    <w:right w:val="none" w:sz="0" w:space="0" w:color="auto"/>
                                  </w:divBdr>
                                </w:div>
                              </w:divsChild>
                            </w:div>
                            <w:div w:id="2130078524">
                              <w:marLeft w:val="0"/>
                              <w:marRight w:val="0"/>
                              <w:marTop w:val="0"/>
                              <w:marBottom w:val="0"/>
                              <w:divBdr>
                                <w:top w:val="none" w:sz="0" w:space="0" w:color="auto"/>
                                <w:left w:val="none" w:sz="0" w:space="0" w:color="auto"/>
                                <w:bottom w:val="none" w:sz="0" w:space="0" w:color="auto"/>
                                <w:right w:val="none" w:sz="0" w:space="0" w:color="auto"/>
                              </w:divBdr>
                              <w:divsChild>
                                <w:div w:id="1629899209">
                                  <w:marLeft w:val="0"/>
                                  <w:marRight w:val="0"/>
                                  <w:marTop w:val="0"/>
                                  <w:marBottom w:val="360"/>
                                  <w:divBdr>
                                    <w:top w:val="none" w:sz="0" w:space="0" w:color="auto"/>
                                    <w:left w:val="none" w:sz="0" w:space="0" w:color="auto"/>
                                    <w:bottom w:val="none" w:sz="0" w:space="0" w:color="auto"/>
                                    <w:right w:val="none" w:sz="0" w:space="0" w:color="auto"/>
                                  </w:divBdr>
                                </w:div>
                                <w:div w:id="1384602981">
                                  <w:marLeft w:val="0"/>
                                  <w:marRight w:val="0"/>
                                  <w:marTop w:val="360"/>
                                  <w:marBottom w:val="0"/>
                                  <w:divBdr>
                                    <w:top w:val="none" w:sz="0" w:space="0" w:color="auto"/>
                                    <w:left w:val="none" w:sz="0" w:space="0" w:color="auto"/>
                                    <w:bottom w:val="none" w:sz="0" w:space="0" w:color="auto"/>
                                    <w:right w:val="none" w:sz="0" w:space="0" w:color="auto"/>
                                  </w:divBdr>
                                </w:div>
                              </w:divsChild>
                            </w:div>
                            <w:div w:id="18901131">
                              <w:marLeft w:val="0"/>
                              <w:marRight w:val="0"/>
                              <w:marTop w:val="0"/>
                              <w:marBottom w:val="0"/>
                              <w:divBdr>
                                <w:top w:val="none" w:sz="0" w:space="0" w:color="auto"/>
                                <w:left w:val="none" w:sz="0" w:space="0" w:color="auto"/>
                                <w:bottom w:val="none" w:sz="0" w:space="0" w:color="auto"/>
                                <w:right w:val="none" w:sz="0" w:space="0" w:color="auto"/>
                              </w:divBdr>
                              <w:divsChild>
                                <w:div w:id="2842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3213">
                          <w:marLeft w:val="0"/>
                          <w:marRight w:val="0"/>
                          <w:marTop w:val="360"/>
                          <w:marBottom w:val="360"/>
                          <w:divBdr>
                            <w:top w:val="none" w:sz="0" w:space="0" w:color="auto"/>
                            <w:left w:val="none" w:sz="0" w:space="0" w:color="auto"/>
                            <w:bottom w:val="none" w:sz="0" w:space="0" w:color="auto"/>
                            <w:right w:val="none" w:sz="0" w:space="0" w:color="auto"/>
                          </w:divBdr>
                        </w:div>
                        <w:div w:id="1677727318">
                          <w:marLeft w:val="0"/>
                          <w:marRight w:val="0"/>
                          <w:marTop w:val="0"/>
                          <w:marBottom w:val="0"/>
                          <w:divBdr>
                            <w:top w:val="none" w:sz="0" w:space="0" w:color="auto"/>
                            <w:left w:val="none" w:sz="0" w:space="0" w:color="auto"/>
                            <w:bottom w:val="none" w:sz="0" w:space="0" w:color="auto"/>
                            <w:right w:val="none" w:sz="0" w:space="0" w:color="auto"/>
                          </w:divBdr>
                          <w:divsChild>
                            <w:div w:id="493381134">
                              <w:marLeft w:val="0"/>
                              <w:marRight w:val="0"/>
                              <w:marTop w:val="0"/>
                              <w:marBottom w:val="0"/>
                              <w:divBdr>
                                <w:top w:val="none" w:sz="0" w:space="0" w:color="auto"/>
                                <w:left w:val="none" w:sz="0" w:space="0" w:color="auto"/>
                                <w:bottom w:val="none" w:sz="0" w:space="0" w:color="auto"/>
                                <w:right w:val="none" w:sz="0" w:space="0" w:color="auto"/>
                              </w:divBdr>
                              <w:divsChild>
                                <w:div w:id="946279770">
                                  <w:marLeft w:val="0"/>
                                  <w:marRight w:val="0"/>
                                  <w:marTop w:val="0"/>
                                  <w:marBottom w:val="0"/>
                                  <w:divBdr>
                                    <w:top w:val="none" w:sz="0" w:space="0" w:color="auto"/>
                                    <w:left w:val="none" w:sz="0" w:space="0" w:color="auto"/>
                                    <w:bottom w:val="none" w:sz="0" w:space="0" w:color="auto"/>
                                    <w:right w:val="none" w:sz="0" w:space="0" w:color="auto"/>
                                  </w:divBdr>
                                </w:div>
                              </w:divsChild>
                            </w:div>
                            <w:div w:id="2141680240">
                              <w:marLeft w:val="0"/>
                              <w:marRight w:val="0"/>
                              <w:marTop w:val="0"/>
                              <w:marBottom w:val="0"/>
                              <w:divBdr>
                                <w:top w:val="none" w:sz="0" w:space="0" w:color="auto"/>
                                <w:left w:val="none" w:sz="0" w:space="0" w:color="auto"/>
                                <w:bottom w:val="none" w:sz="0" w:space="0" w:color="auto"/>
                                <w:right w:val="none" w:sz="0" w:space="0" w:color="auto"/>
                              </w:divBdr>
                              <w:divsChild>
                                <w:div w:id="1183207296">
                                  <w:marLeft w:val="0"/>
                                  <w:marRight w:val="0"/>
                                  <w:marTop w:val="0"/>
                                  <w:marBottom w:val="0"/>
                                  <w:divBdr>
                                    <w:top w:val="none" w:sz="0" w:space="0" w:color="auto"/>
                                    <w:left w:val="none" w:sz="0" w:space="0" w:color="auto"/>
                                    <w:bottom w:val="none" w:sz="0" w:space="0" w:color="auto"/>
                                    <w:right w:val="none" w:sz="0" w:space="0" w:color="auto"/>
                                  </w:divBdr>
                                </w:div>
                              </w:divsChild>
                            </w:div>
                            <w:div w:id="110518850">
                              <w:marLeft w:val="0"/>
                              <w:marRight w:val="0"/>
                              <w:marTop w:val="0"/>
                              <w:marBottom w:val="0"/>
                              <w:divBdr>
                                <w:top w:val="none" w:sz="0" w:space="0" w:color="auto"/>
                                <w:left w:val="none" w:sz="0" w:space="0" w:color="auto"/>
                                <w:bottom w:val="none" w:sz="0" w:space="0" w:color="auto"/>
                                <w:right w:val="none" w:sz="0" w:space="0" w:color="auto"/>
                              </w:divBdr>
                              <w:divsChild>
                                <w:div w:id="1861238698">
                                  <w:marLeft w:val="0"/>
                                  <w:marRight w:val="0"/>
                                  <w:marTop w:val="0"/>
                                  <w:marBottom w:val="0"/>
                                  <w:divBdr>
                                    <w:top w:val="none" w:sz="0" w:space="0" w:color="auto"/>
                                    <w:left w:val="none" w:sz="0" w:space="0" w:color="auto"/>
                                    <w:bottom w:val="none" w:sz="0" w:space="0" w:color="auto"/>
                                    <w:right w:val="none" w:sz="0" w:space="0" w:color="auto"/>
                                  </w:divBdr>
                                </w:div>
                              </w:divsChild>
                            </w:div>
                            <w:div w:id="1047297734">
                              <w:marLeft w:val="0"/>
                              <w:marRight w:val="0"/>
                              <w:marTop w:val="0"/>
                              <w:marBottom w:val="0"/>
                              <w:divBdr>
                                <w:top w:val="none" w:sz="0" w:space="0" w:color="auto"/>
                                <w:left w:val="none" w:sz="0" w:space="0" w:color="auto"/>
                                <w:bottom w:val="none" w:sz="0" w:space="0" w:color="auto"/>
                                <w:right w:val="none" w:sz="0" w:space="0" w:color="auto"/>
                              </w:divBdr>
                              <w:divsChild>
                                <w:div w:id="606931353">
                                  <w:marLeft w:val="0"/>
                                  <w:marRight w:val="0"/>
                                  <w:marTop w:val="0"/>
                                  <w:marBottom w:val="0"/>
                                  <w:divBdr>
                                    <w:top w:val="none" w:sz="0" w:space="0" w:color="auto"/>
                                    <w:left w:val="none" w:sz="0" w:space="0" w:color="auto"/>
                                    <w:bottom w:val="none" w:sz="0" w:space="0" w:color="auto"/>
                                    <w:right w:val="none" w:sz="0" w:space="0" w:color="auto"/>
                                  </w:divBdr>
                                </w:div>
                              </w:divsChild>
                            </w:div>
                            <w:div w:id="1332835248">
                              <w:marLeft w:val="0"/>
                              <w:marRight w:val="0"/>
                              <w:marTop w:val="0"/>
                              <w:marBottom w:val="0"/>
                              <w:divBdr>
                                <w:top w:val="none" w:sz="0" w:space="0" w:color="auto"/>
                                <w:left w:val="none" w:sz="0" w:space="0" w:color="auto"/>
                                <w:bottom w:val="none" w:sz="0" w:space="0" w:color="auto"/>
                                <w:right w:val="none" w:sz="0" w:space="0" w:color="auto"/>
                              </w:divBdr>
                              <w:divsChild>
                                <w:div w:id="5697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Bhargava</dc:creator>
  <cp:keywords/>
  <dc:description/>
  <cp:lastModifiedBy>Shreya Bhargava</cp:lastModifiedBy>
  <cp:revision>1</cp:revision>
  <dcterms:created xsi:type="dcterms:W3CDTF">2023-02-10T15:17:00Z</dcterms:created>
  <dcterms:modified xsi:type="dcterms:W3CDTF">2023-02-10T15:19:00Z</dcterms:modified>
</cp:coreProperties>
</file>