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w:t>
      </w:r>
      <w:proofErr w:type="gramStart"/>
      <w:r>
        <w:t>By definition, these</w:t>
      </w:r>
      <w:proofErr w:type="gramEnd"/>
      <w:r>
        <w:t xml:space="preserv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1079CA"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6DD5D92C" w:rsidR="005872A2" w:rsidRPr="002F3265" w:rsidRDefault="005872A2" w:rsidP="00FD3A38">
      <w:pPr>
        <w:jc w:val="both"/>
      </w:pPr>
      <w:r>
        <w:rPr>
          <w:i/>
          <w:iCs/>
        </w:rPr>
        <w:t>Number of Topics:</w:t>
      </w:r>
      <w:r w:rsidR="002F3265">
        <w:rPr>
          <w:i/>
          <w:iCs/>
        </w:rPr>
        <w:t xml:space="preserve"> </w:t>
      </w:r>
    </w:p>
    <w:p w14:paraId="71090327" w14:textId="51EE4365" w:rsidR="005872A2" w:rsidRDefault="005872A2" w:rsidP="00FD3A38">
      <w:pPr>
        <w:jc w:val="both"/>
        <w:rPr>
          <w:i/>
          <w:iCs/>
        </w:rPr>
      </w:pPr>
      <w:r>
        <w:rPr>
          <w:i/>
          <w:iCs/>
        </w:rPr>
        <w:t>Alpha:</w:t>
      </w:r>
    </w:p>
    <w:p w14:paraId="2AE2CCEF" w14:textId="2EA660CC" w:rsidR="005872A2" w:rsidRDefault="005872A2" w:rsidP="00FD3A38">
      <w:pPr>
        <w:jc w:val="both"/>
        <w:rPr>
          <w:i/>
          <w:iCs/>
        </w:rPr>
      </w:pPr>
      <w:r>
        <w:rPr>
          <w:i/>
          <w:iCs/>
        </w:rPr>
        <w:t>Solver:</w:t>
      </w:r>
    </w:p>
    <w:p w14:paraId="18A7E854" w14:textId="3C9C4EBC" w:rsidR="005872A2" w:rsidRDefault="005872A2" w:rsidP="00FD3A38">
      <w:pPr>
        <w:jc w:val="both"/>
        <w:rPr>
          <w:i/>
          <w:iCs/>
        </w:rPr>
      </w:pPr>
      <w:r>
        <w:rPr>
          <w:i/>
          <w:iCs/>
        </w:rPr>
        <w:t>Passes:</w:t>
      </w:r>
    </w:p>
    <w:p w14:paraId="3F1B11A7" w14:textId="20486824" w:rsidR="005872A2" w:rsidRDefault="005872A2" w:rsidP="00FD3A38">
      <w:pPr>
        <w:jc w:val="both"/>
        <w:rPr>
          <w:i/>
          <w:iCs/>
        </w:rPr>
      </w:pPr>
      <w:r>
        <w:rPr>
          <w:i/>
          <w:iCs/>
        </w:rPr>
        <w:lastRenderedPageBreak/>
        <w:t>Chunk Size:</w:t>
      </w:r>
    </w:p>
    <w:p w14:paraId="7D49E9C3" w14:textId="42185518" w:rsidR="005872A2" w:rsidRDefault="005872A2" w:rsidP="00FD3A38">
      <w:pPr>
        <w:jc w:val="both"/>
        <w:rPr>
          <w:i/>
          <w:iCs/>
        </w:rPr>
      </w:pPr>
      <w:r>
        <w:rPr>
          <w:i/>
          <w:iCs/>
        </w:rPr>
        <w:t>Solver:</w:t>
      </w:r>
    </w:p>
    <w:p w14:paraId="29B231CD" w14:textId="64F65F49" w:rsidR="005872A2" w:rsidRDefault="005872A2" w:rsidP="00FD3A38">
      <w:pPr>
        <w:jc w:val="both"/>
        <w:rPr>
          <w:i/>
          <w:iCs/>
        </w:rPr>
      </w:pPr>
      <w:r>
        <w:rPr>
          <w:i/>
          <w:iCs/>
        </w:rPr>
        <w:t>Beta Loss:</w:t>
      </w:r>
    </w:p>
    <w:p w14:paraId="080354EE" w14:textId="3BCC6054" w:rsidR="005872A2" w:rsidRDefault="005872A2" w:rsidP="00FD3A38">
      <w:pPr>
        <w:jc w:val="both"/>
        <w:rPr>
          <w:i/>
          <w:iCs/>
        </w:rPr>
      </w:pPr>
      <w:r>
        <w:rPr>
          <w:i/>
          <w:iCs/>
        </w:rPr>
        <w:t>L1 ratio:</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472EC9"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m:t>
                          </m:r>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w:t>
      </w:r>
      <w:r w:rsidR="00887C8A">
        <w:rPr>
          <w:rFonts w:eastAsiaTheme="minorEastAsia"/>
        </w:rPr>
        <w:t>judgement</w:t>
      </w:r>
      <w:r w:rsidR="00887C8A">
        <w:rPr>
          <w:rFonts w:eastAsiaTheme="minorEastAsia"/>
        </w:rPr>
        <w:t>-</w:t>
      </w:r>
      <w:r w:rsidR="00887C8A">
        <w:rPr>
          <w:rFonts w:eastAsiaTheme="minorEastAsia"/>
        </w:rPr>
        <w:t>based assessment was carried out to characterise the interpretability and relevance of the topics generated.</w:t>
      </w:r>
      <w:r w:rsidR="00887C8A">
        <w:rPr>
          <w:rFonts w:eastAsiaTheme="minorEastAsia"/>
        </w:rPr>
        <w:t xml:space="preserve">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7B3810E2" w:rsidR="0018515A" w:rsidRPr="002F3265" w:rsidRDefault="002F3265" w:rsidP="00FD3A38">
      <w:pPr>
        <w:jc w:val="both"/>
      </w:pPr>
      <w:r>
        <w:t>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p>
    <w:p w14:paraId="5E7EBA09" w14:textId="7FF843A7" w:rsidR="002F3265" w:rsidRPr="002F3265" w:rsidRDefault="002F3265" w:rsidP="002F3265">
      <w:pPr>
        <w:jc w:val="center"/>
        <w:rPr>
          <w:sz w:val="18"/>
          <w:szCs w:val="18"/>
        </w:rPr>
      </w:pPr>
      <w:r>
        <w:rPr>
          <w:i/>
          <w:iCs/>
          <w:sz w:val="18"/>
          <w:szCs w:val="18"/>
        </w:rPr>
        <w:lastRenderedPageBreak/>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w:t>
            </w:r>
            <w:proofErr w:type="gramStart"/>
            <w:r>
              <w:t>Anyway</w:t>
            </w:r>
            <w:proofErr w:type="gramEnd"/>
            <w:r>
              <w:t xml:space="preserve">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 xml:space="preserve">Get, Time, </w:t>
            </w:r>
            <w:proofErr w:type="gramStart"/>
            <w:r>
              <w:t>Look</w:t>
            </w:r>
            <w:proofErr w:type="gramEnd"/>
            <w:r>
              <w:t>,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 xml:space="preserve">odel- </w:t>
            </w:r>
            <w:r w:rsidRPr="005530C1">
              <w:rPr>
                <w:b/>
                <w:bCs/>
              </w:rPr>
              <w:t>Sarcastic Subset</w:t>
            </w:r>
            <w:r w:rsidRPr="005530C1">
              <w:rPr>
                <w:b/>
                <w:bCs/>
              </w:rPr>
              <w:t xml:space="preserve"> (Coherence Score=0.</w:t>
            </w:r>
            <w:r w:rsidRPr="005530C1">
              <w:rPr>
                <w:b/>
                <w:bCs/>
              </w:rPr>
              <w:t>560</w:t>
            </w:r>
            <w:r w:rsidRPr="005530C1">
              <w:rPr>
                <w:b/>
                <w:bCs/>
              </w:rPr>
              <w:t>)</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t xml:space="preserve">Casual, Aware, Appropriate, Attire, Croc, Work, Show, </w:t>
            </w:r>
            <w:proofErr w:type="gramStart"/>
            <w:r>
              <w:t>Wow</w:t>
            </w:r>
            <w:proofErr w:type="gramEnd"/>
            <w:r>
              <w:t>,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t xml:space="preserve">Don’t, Think, </w:t>
            </w:r>
            <w:proofErr w:type="gramStart"/>
            <w:r>
              <w:t>There</w:t>
            </w:r>
            <w:proofErr w:type="gramEnd"/>
            <w:r>
              <w:t>,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 xml:space="preserve">Good, Guess, Collect, Change, End, Crime, Highly, Series, Episode, </w:t>
            </w:r>
            <w:proofErr w:type="gramStart"/>
            <w:r>
              <w:t>Usually</w:t>
            </w:r>
            <w:proofErr w:type="gramEnd"/>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 xml:space="preserve">NMF Model- </w:t>
            </w:r>
            <w:r>
              <w:rPr>
                <w:b/>
                <w:bCs/>
              </w:rPr>
              <w:t>Sarcastic Subset</w:t>
            </w:r>
            <w:r>
              <w:rPr>
                <w:b/>
                <w:bCs/>
              </w:rPr>
              <w:t xml:space="preserve"> (Coherence score=0.</w:t>
            </w:r>
            <w:r>
              <w:rPr>
                <w:b/>
                <w:bCs/>
              </w:rPr>
              <w:t>689</w:t>
            </w:r>
            <w:r>
              <w:rPr>
                <w:b/>
                <w:bCs/>
              </w:rPr>
              <w:t>)</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w:t>
            </w:r>
            <w:r>
              <w:t>,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Pr="00887C8A" w:rsidRDefault="0018515A" w:rsidP="0019797F">
      <w:pPr>
        <w:tabs>
          <w:tab w:val="left" w:pos="3943"/>
        </w:tabs>
        <w:jc w:val="both"/>
      </w:pPr>
      <w:r>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lastRenderedPageBreak/>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lastRenderedPageBreak/>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lastRenderedPageBreak/>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w:t>
            </w:r>
            <w:r>
              <w:rPr>
                <w:rFonts w:ascii="Calibri" w:hAnsi="Calibri" w:cs="Calibri"/>
                <w:color w:val="000000"/>
              </w:rPr>
              <w:lastRenderedPageBreak/>
              <w:t>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lastRenderedPageBreak/>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lastRenderedPageBreak/>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lastRenderedPageBreak/>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lastRenderedPageBreak/>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lastRenderedPageBreak/>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lastRenderedPageBreak/>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lastRenderedPageBreak/>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lastRenderedPageBreak/>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lastRenderedPageBreak/>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lastRenderedPageBreak/>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lastRenderedPageBreak/>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lastRenderedPageBreak/>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62547"/>
    <w:rsid w:val="00162E96"/>
    <w:rsid w:val="00167EA3"/>
    <w:rsid w:val="0017023B"/>
    <w:rsid w:val="0018515A"/>
    <w:rsid w:val="00190E5F"/>
    <w:rsid w:val="001919D3"/>
    <w:rsid w:val="001944D6"/>
    <w:rsid w:val="0019797F"/>
    <w:rsid w:val="001C5F93"/>
    <w:rsid w:val="001D038F"/>
    <w:rsid w:val="001D04ED"/>
    <w:rsid w:val="00204F35"/>
    <w:rsid w:val="00213FEF"/>
    <w:rsid w:val="0022270F"/>
    <w:rsid w:val="00227A26"/>
    <w:rsid w:val="00231112"/>
    <w:rsid w:val="00231DF2"/>
    <w:rsid w:val="00235153"/>
    <w:rsid w:val="00250BF7"/>
    <w:rsid w:val="00262180"/>
    <w:rsid w:val="00275043"/>
    <w:rsid w:val="002872DA"/>
    <w:rsid w:val="00287934"/>
    <w:rsid w:val="002C2C2D"/>
    <w:rsid w:val="002D00DC"/>
    <w:rsid w:val="002D0188"/>
    <w:rsid w:val="002E333D"/>
    <w:rsid w:val="002E4F6B"/>
    <w:rsid w:val="002F3265"/>
    <w:rsid w:val="002F4D65"/>
    <w:rsid w:val="0030204E"/>
    <w:rsid w:val="003211B8"/>
    <w:rsid w:val="00323468"/>
    <w:rsid w:val="00343F07"/>
    <w:rsid w:val="00345372"/>
    <w:rsid w:val="0034542F"/>
    <w:rsid w:val="003669DB"/>
    <w:rsid w:val="00371578"/>
    <w:rsid w:val="00382224"/>
    <w:rsid w:val="003941CC"/>
    <w:rsid w:val="003B66A5"/>
    <w:rsid w:val="003B6B6A"/>
    <w:rsid w:val="003C7C64"/>
    <w:rsid w:val="003E3D4E"/>
    <w:rsid w:val="00421361"/>
    <w:rsid w:val="00451229"/>
    <w:rsid w:val="00462D41"/>
    <w:rsid w:val="00472EC9"/>
    <w:rsid w:val="004A11BE"/>
    <w:rsid w:val="004B3A3B"/>
    <w:rsid w:val="004B4122"/>
    <w:rsid w:val="004B4930"/>
    <w:rsid w:val="004C1324"/>
    <w:rsid w:val="004C232E"/>
    <w:rsid w:val="004C62FB"/>
    <w:rsid w:val="004D437A"/>
    <w:rsid w:val="004D658A"/>
    <w:rsid w:val="004D7833"/>
    <w:rsid w:val="00512A74"/>
    <w:rsid w:val="00527FF0"/>
    <w:rsid w:val="0054703E"/>
    <w:rsid w:val="005530C1"/>
    <w:rsid w:val="00571A70"/>
    <w:rsid w:val="0057236F"/>
    <w:rsid w:val="005872A2"/>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473EB"/>
    <w:rsid w:val="00760B6D"/>
    <w:rsid w:val="00793E90"/>
    <w:rsid w:val="00795779"/>
    <w:rsid w:val="007A0342"/>
    <w:rsid w:val="007A06E1"/>
    <w:rsid w:val="007B79B6"/>
    <w:rsid w:val="007C2DC7"/>
    <w:rsid w:val="007F64EF"/>
    <w:rsid w:val="00810113"/>
    <w:rsid w:val="00821CEA"/>
    <w:rsid w:val="00832B06"/>
    <w:rsid w:val="008341DB"/>
    <w:rsid w:val="00856CAF"/>
    <w:rsid w:val="00887C8A"/>
    <w:rsid w:val="00894CA7"/>
    <w:rsid w:val="008A1371"/>
    <w:rsid w:val="008A6424"/>
    <w:rsid w:val="008B37B3"/>
    <w:rsid w:val="008D1763"/>
    <w:rsid w:val="008D71B2"/>
    <w:rsid w:val="008F6D18"/>
    <w:rsid w:val="00907ADC"/>
    <w:rsid w:val="00912E2D"/>
    <w:rsid w:val="0091777E"/>
    <w:rsid w:val="00931FE2"/>
    <w:rsid w:val="00941923"/>
    <w:rsid w:val="00952D8F"/>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12FB"/>
    <w:rsid w:val="00A94237"/>
    <w:rsid w:val="00AB2C83"/>
    <w:rsid w:val="00AB76E3"/>
    <w:rsid w:val="00AC1BE1"/>
    <w:rsid w:val="00AC355A"/>
    <w:rsid w:val="00AF4C0A"/>
    <w:rsid w:val="00B03F94"/>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0194"/>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C24034"/>
    <w:rsid w:val="00DA44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10398</TotalTime>
  <Pages>43</Pages>
  <Words>15136</Words>
  <Characters>86277</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41</cp:revision>
  <dcterms:created xsi:type="dcterms:W3CDTF">2023-08-02T23:35:00Z</dcterms:created>
  <dcterms:modified xsi:type="dcterms:W3CDTF">2023-08-30T17:22:00Z</dcterms:modified>
</cp:coreProperties>
</file>