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10663DB1" w14:textId="72104E13" w:rsidR="007349B7"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confidentiality so that adequate disclosures can be made to potential participants, ensuring their consent to participate is a fully informed decision. </w:t>
      </w:r>
    </w:p>
    <w:p w14:paraId="2A12B101" w14:textId="15058905" w:rsidR="007349B7" w:rsidRPr="007349B7" w:rsidRDefault="007349B7" w:rsidP="007349B7">
      <w:pPr>
        <w:jc w:val="both"/>
      </w:pPr>
      <w:r>
        <w:t xml:space="preserve">By nature, sarcastic content disproportionately contains subject matter and inferences which may cause offence to some. The dataset for which the tweets are sourced for this survey carried </w:t>
      </w:r>
      <w:proofErr w:type="gramStart"/>
      <w:r>
        <w:t>out</w:t>
      </w:r>
      <w:proofErr w:type="gramEnd"/>
      <w:r>
        <w:t xml:space="preserve"> </w:t>
      </w:r>
    </w:p>
    <w:p w14:paraId="2B17762F" w14:textId="409078D3" w:rsidR="0017023B" w:rsidRDefault="0017023B">
      <w:pPr>
        <w:rPr>
          <w:i/>
          <w:iCs/>
        </w:rPr>
      </w:pPr>
      <w:r>
        <w:rPr>
          <w:i/>
          <w:iCs/>
        </w:rPr>
        <w:t>Participant Sampling Strategy</w:t>
      </w:r>
    </w:p>
    <w:p w14:paraId="74A7D441" w14:textId="02EDC8B7" w:rsidR="0017023B"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 and the distribution of the survey in a manner which ensures parental consent for </w:t>
      </w:r>
      <w:proofErr w:type="gramStart"/>
      <w:r w:rsidR="007349B7">
        <w:t>participation</w:t>
      </w:r>
      <w:proofErr w:type="gramEnd"/>
      <w:r w:rsidR="007349B7">
        <w:t xml:space="preserve"> </w:t>
      </w:r>
    </w:p>
    <w:p w14:paraId="55C428CC" w14:textId="77777777" w:rsidR="0017023B" w:rsidRDefault="0017023B"/>
    <w:p w14:paraId="6F3EA219" w14:textId="77777777" w:rsidR="0017023B" w:rsidRPr="0017023B" w:rsidRDefault="0017023B"/>
    <w:p w14:paraId="2656C2B5" w14:textId="520DD189" w:rsidR="005F4C56" w:rsidRDefault="005F4C56">
      <w:pPr>
        <w:rPr>
          <w:i/>
          <w:iCs/>
        </w:rPr>
      </w:pPr>
      <w:r>
        <w:rPr>
          <w:i/>
          <w:iCs/>
        </w:rPr>
        <w:t>Survey Questions</w:t>
      </w:r>
    </w:p>
    <w:p w14:paraId="7B4357A8" w14:textId="2EA2DC6C" w:rsidR="005F4C56" w:rsidRDefault="005F4C56" w:rsidP="005F4C56">
      <w:pPr>
        <w:jc w:val="both"/>
      </w:pPr>
      <w:r>
        <w:t xml:space="preserve">The survey questions can be broken down into several categories: Consent and qualification, demographic, classification, and emoji-usage questions. </w:t>
      </w:r>
    </w:p>
    <w:p w14:paraId="0E78A3B2" w14:textId="32B8E607" w:rsidR="005F4C56" w:rsidRPr="005F4C56" w:rsidRDefault="005F4C56" w:rsidP="005F4C56">
      <w:pPr>
        <w:jc w:val="both"/>
      </w:pPr>
      <w:r w:rsidRPr="005F4C56">
        <w:rPr>
          <w:i/>
          <w:iCs/>
        </w:rPr>
        <w:t>Consent and qualification:</w:t>
      </w:r>
      <w:r>
        <w:rPr>
          <w:i/>
          <w:iCs/>
        </w:rPr>
        <w:t xml:space="preserve"> </w:t>
      </w:r>
      <w:r>
        <w:t xml:space="preserve">The purposes of these questions are to establish the participant consenting and eligible to participate in the survey. </w:t>
      </w:r>
    </w:p>
    <w:p w14:paraId="6196ED5A" w14:textId="77777777" w:rsidR="005F4C56" w:rsidRPr="005F4C56" w:rsidRDefault="005F4C56"/>
    <w:p w14:paraId="401D9E84" w14:textId="77777777" w:rsidR="005F4C56" w:rsidRDefault="005F4C56">
      <w:pPr>
        <w:rPr>
          <w:b/>
          <w:bCs/>
        </w:rPr>
      </w:pPr>
    </w:p>
    <w:p w14:paraId="625784FF" w14:textId="77777777" w:rsidR="005F4C56" w:rsidRPr="006E1FD0" w:rsidRDefault="005F4C56">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77777777"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lastRenderedPageBreak/>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lastRenderedPageBreak/>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lastRenderedPageBreak/>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lastRenderedPageBreak/>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lastRenderedPageBreak/>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lastRenderedPageBreak/>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lastRenderedPageBreak/>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lastRenderedPageBreak/>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lastRenderedPageBreak/>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lastRenderedPageBreak/>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lastRenderedPageBreak/>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lastRenderedPageBreak/>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lastRenderedPageBreak/>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38D2"/>
    <w:rsid w:val="00072FFD"/>
    <w:rsid w:val="000751CE"/>
    <w:rsid w:val="000769CC"/>
    <w:rsid w:val="000878AD"/>
    <w:rsid w:val="000B6372"/>
    <w:rsid w:val="000B7096"/>
    <w:rsid w:val="000C6EA5"/>
    <w:rsid w:val="000D2F98"/>
    <w:rsid w:val="000F12F1"/>
    <w:rsid w:val="00154EA9"/>
    <w:rsid w:val="00156EF2"/>
    <w:rsid w:val="00162547"/>
    <w:rsid w:val="00162E96"/>
    <w:rsid w:val="0017023B"/>
    <w:rsid w:val="001919D3"/>
    <w:rsid w:val="001D038F"/>
    <w:rsid w:val="001D04ED"/>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82224"/>
    <w:rsid w:val="003941CC"/>
    <w:rsid w:val="003B66A5"/>
    <w:rsid w:val="003B6B6A"/>
    <w:rsid w:val="004B3A3B"/>
    <w:rsid w:val="004B4122"/>
    <w:rsid w:val="004B4930"/>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5ADD"/>
    <w:rsid w:val="00695A0D"/>
    <w:rsid w:val="006C6688"/>
    <w:rsid w:val="006C7409"/>
    <w:rsid w:val="006E1FD0"/>
    <w:rsid w:val="007349B7"/>
    <w:rsid w:val="00760B6D"/>
    <w:rsid w:val="007A0342"/>
    <w:rsid w:val="007A06E1"/>
    <w:rsid w:val="007B79B6"/>
    <w:rsid w:val="007C2DC7"/>
    <w:rsid w:val="00810113"/>
    <w:rsid w:val="008341DB"/>
    <w:rsid w:val="00856CAF"/>
    <w:rsid w:val="00894CA7"/>
    <w:rsid w:val="008A1371"/>
    <w:rsid w:val="008A6424"/>
    <w:rsid w:val="008D1763"/>
    <w:rsid w:val="008D71B2"/>
    <w:rsid w:val="008F6D18"/>
    <w:rsid w:val="00907ADC"/>
    <w:rsid w:val="00912E2D"/>
    <w:rsid w:val="00931FE2"/>
    <w:rsid w:val="00941923"/>
    <w:rsid w:val="0096519A"/>
    <w:rsid w:val="009822F7"/>
    <w:rsid w:val="009863DE"/>
    <w:rsid w:val="009F6567"/>
    <w:rsid w:val="00A10FE8"/>
    <w:rsid w:val="00A13A94"/>
    <w:rsid w:val="00A172C0"/>
    <w:rsid w:val="00A47BAE"/>
    <w:rsid w:val="00A60621"/>
    <w:rsid w:val="00A94237"/>
    <w:rsid w:val="00AB2C83"/>
    <w:rsid w:val="00AC355A"/>
    <w:rsid w:val="00AF4C0A"/>
    <w:rsid w:val="00B242B5"/>
    <w:rsid w:val="00B26D2D"/>
    <w:rsid w:val="00B54136"/>
    <w:rsid w:val="00B678A2"/>
    <w:rsid w:val="00B7642F"/>
    <w:rsid w:val="00BE0EA3"/>
    <w:rsid w:val="00BF2D28"/>
    <w:rsid w:val="00BF4A37"/>
    <w:rsid w:val="00C70816"/>
    <w:rsid w:val="00CB66A0"/>
    <w:rsid w:val="00CF0A36"/>
    <w:rsid w:val="00D14D7D"/>
    <w:rsid w:val="00D21109"/>
    <w:rsid w:val="00D32796"/>
    <w:rsid w:val="00D4325F"/>
    <w:rsid w:val="00D9422E"/>
    <w:rsid w:val="00DD427F"/>
    <w:rsid w:val="00E3433B"/>
    <w:rsid w:val="00E41F55"/>
    <w:rsid w:val="00E961F2"/>
    <w:rsid w:val="00EC6FA6"/>
    <w:rsid w:val="00EE12E5"/>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6D53B4"/>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9056</TotalTime>
  <Pages>29</Pages>
  <Words>8787</Words>
  <Characters>50090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23</cp:revision>
  <dcterms:created xsi:type="dcterms:W3CDTF">2023-08-02T23:35:00Z</dcterms:created>
  <dcterms:modified xsi:type="dcterms:W3CDTF">2023-08-25T08:55:00Z</dcterms:modified>
</cp:coreProperties>
</file>