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361D" w14:textId="2EA83AE6"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 xml:space="preserve">The LSTM mechanism of selective memory is made up of a cell state, hidden state, and gates. </w:t>
      </w:r>
      <w:r w:rsidR="000C6EA5">
        <w:t>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C6EA5"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9863DE"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9863DE"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w:t>
      </w:r>
      <w:r w:rsidR="002E4F6B">
        <w:rPr>
          <w:rFonts w:eastAsiaTheme="minorEastAsia"/>
        </w:rPr>
        <w:lastRenderedPageBreak/>
        <w:t xml:space="preserve">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5428889C" w:rsidR="00695A0D" w:rsidRDefault="008341DB" w:rsidP="00250BF7">
      <w:pPr>
        <w:jc w:val="both"/>
      </w:pPr>
      <w:r>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Rectified Linear Units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 xml:space="preserve">These transformations are trainable operations which are adjusted to produce the desired </w:t>
      </w:r>
      <w:r w:rsidR="00912E2D">
        <w:lastRenderedPageBreak/>
        <w:t>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61E76495" w14:textId="3340C32D" w:rsidR="00A60621" w:rsidRDefault="007A06E1" w:rsidP="00250BF7">
      <w:pPr>
        <w:jc w:val="both"/>
      </w:pPr>
      <w:r>
        <w:t xml:space="preserve">Given such a mechanism which learns based on similarities and differences in the input words, the architecture is aligned with the previous methodology for word vector transformation which yielded 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20F17555" w14:textId="628BCC18" w:rsidR="008D1763" w:rsidRPr="006E1FD0" w:rsidRDefault="008D1763" w:rsidP="008D1763">
      <w:pPr>
        <w:rPr>
          <w:b/>
          <w:bCs/>
        </w:rPr>
      </w:pPr>
      <w:r w:rsidRPr="006E1FD0">
        <w:rPr>
          <w:b/>
          <w:bCs/>
        </w:rPr>
        <w:t>Survey Results</w:t>
      </w:r>
    </w:p>
    <w:p w14:paraId="1E4CF9F0" w14:textId="77777777" w:rsidR="008D1763" w:rsidRDefault="008D1763"/>
    <w:sectPr w:rsidR="008D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0794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30AD5"/>
    <w:rsid w:val="000878AD"/>
    <w:rsid w:val="000C6EA5"/>
    <w:rsid w:val="00250BF7"/>
    <w:rsid w:val="002E4F6B"/>
    <w:rsid w:val="0034542F"/>
    <w:rsid w:val="003941CC"/>
    <w:rsid w:val="003B66A5"/>
    <w:rsid w:val="003B6B6A"/>
    <w:rsid w:val="004B4122"/>
    <w:rsid w:val="004C62FB"/>
    <w:rsid w:val="005A118A"/>
    <w:rsid w:val="005A4839"/>
    <w:rsid w:val="00695A0D"/>
    <w:rsid w:val="006E1FD0"/>
    <w:rsid w:val="007A0342"/>
    <w:rsid w:val="007A06E1"/>
    <w:rsid w:val="008341DB"/>
    <w:rsid w:val="00856CAF"/>
    <w:rsid w:val="008D1763"/>
    <w:rsid w:val="008D71B2"/>
    <w:rsid w:val="00912E2D"/>
    <w:rsid w:val="009822F7"/>
    <w:rsid w:val="009863DE"/>
    <w:rsid w:val="00A10FE8"/>
    <w:rsid w:val="00A60621"/>
    <w:rsid w:val="00AC355A"/>
    <w:rsid w:val="00B54136"/>
    <w:rsid w:val="00BF2D28"/>
    <w:rsid w:val="00C70816"/>
    <w:rsid w:val="00D14D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2611</TotalTime>
  <Pages>3</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6</cp:revision>
  <dcterms:created xsi:type="dcterms:W3CDTF">2023-08-02T23:35:00Z</dcterms:created>
  <dcterms:modified xsi:type="dcterms:W3CDTF">2023-08-17T16:54:00Z</dcterms:modified>
</cp:coreProperties>
</file>