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(e.g.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 xml:space="preserve">This can be letters or numbers (e.g.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Single select radio buttons</w:t>
            </w:r>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Single select radio buttons</w:t>
            </w:r>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I don’t want to say/ Other</w:t>
            </w:r>
          </w:p>
          <w:p w14:paraId="2F97934E" w14:textId="77777777" w:rsidR="00A36EBF" w:rsidRDefault="00A36EBF" w:rsidP="00A36EBF">
            <w:r>
              <w:t>Single select radio buttons</w:t>
            </w:r>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45-64/ 65+/ I don’t want to say</w:t>
            </w:r>
          </w:p>
          <w:p w14:paraId="07D01D86" w14:textId="77777777" w:rsidR="00A36EBF" w:rsidRDefault="00A36EBF" w:rsidP="00A36EBF">
            <w:r>
              <w:t>Single select radio buttons</w:t>
            </w:r>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a number of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I don’t know</w:t>
            </w:r>
          </w:p>
          <w:p w14:paraId="31456E86" w14:textId="77777777" w:rsidR="00685A9D" w:rsidRDefault="00685A9D" w:rsidP="00685A9D">
            <w:r>
              <w:t>Single select radio buttons</w:t>
            </w:r>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w:t>
      </w:r>
      <w:r>
        <w:rPr>
          <w:i/>
          <w:iCs/>
        </w:rPr>
        <w:t>Skew</w:t>
      </w:r>
      <w:r>
        <w:rPr>
          <w:i/>
          <w:iCs/>
        </w:rPr>
        <w:t>:</w:t>
      </w:r>
      <w:r>
        <w:rPr>
          <w:i/>
          <w:iCs/>
        </w:rPr>
        <w:t xml:space="preserve">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1A59C372" w14:textId="17A0314B" w:rsidR="001C5F93" w:rsidRPr="001C5F93"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proofErr w:type="spellStart"/>
      <w:r>
        <w:rPr>
          <w:i/>
          <w:iCs/>
        </w:rPr>
        <w:t>Stopwords</w:t>
      </w:r>
      <w:proofErr w:type="spellEnd"/>
      <w:r>
        <w:rPr>
          <w:i/>
          <w:iCs/>
        </w:rPr>
        <w:t xml:space="preserve">: </w:t>
      </w:r>
      <w:proofErr w:type="spellStart"/>
      <w:r>
        <w:t>Stopwords</w:t>
      </w:r>
      <w:proofErr w:type="spellEnd"/>
      <w:r>
        <w:t xml:space="preserve"> can be defined as words which do not provide any information to determine the underlying message within language. By definition, these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w:t>
      </w:r>
      <w:r w:rsidR="00571A70">
        <w:lastRenderedPageBreak/>
        <w:t xml:space="preserve">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P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0E31A7E2" w14:textId="2CCFCA1A" w:rsidR="007F64EF" w:rsidRDefault="007F64EF" w:rsidP="00FD3A38">
      <w:pPr>
        <w:jc w:val="both"/>
        <w:rPr>
          <w:i/>
          <w:iCs/>
        </w:rPr>
      </w:pPr>
      <w:r>
        <w:rPr>
          <w:i/>
          <w:iCs/>
        </w:rPr>
        <w:t>Model Selection</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1C1A6AFA" w:rsidR="00AC1BE1" w:rsidRDefault="00AC1BE1" w:rsidP="00FD3A38">
      <w:pPr>
        <w:jc w:val="both"/>
      </w:pPr>
      <w:r>
        <w:rPr>
          <w:i/>
          <w:iCs/>
        </w:rPr>
        <w:t xml:space="preserve">LDA model: </w:t>
      </w:r>
      <w:r>
        <w:t xml:space="preserve">A Bayesian hierarchical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w:t>
      </w:r>
      <w:proofErr w:type="spellStart"/>
      <w:r w:rsidR="00D42FE8">
        <w:t>corpa</w:t>
      </w:r>
      <w:proofErr w:type="spellEnd"/>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p>
    <w:p w14:paraId="19FEFE12" w14:textId="12D8747A" w:rsidR="00D42FE8" w:rsidRPr="00AC1BE1" w:rsidRDefault="00D42FE8" w:rsidP="00FD3A38">
      <w:pPr>
        <w:jc w:val="both"/>
      </w:pPr>
      <w:r>
        <w:t xml:space="preserve">Sentence-BERT model: </w:t>
      </w:r>
    </w:p>
    <w:p w14:paraId="3608EAA5" w14:textId="1C11A896" w:rsidR="007F64EF" w:rsidRDefault="007F64EF" w:rsidP="00FD3A38">
      <w:pPr>
        <w:jc w:val="both"/>
        <w:rPr>
          <w:i/>
          <w:iCs/>
        </w:rPr>
      </w:pPr>
      <w:r>
        <w:rPr>
          <w:i/>
          <w:iCs/>
        </w:rPr>
        <w:t>Model Tuning</w:t>
      </w:r>
    </w:p>
    <w:p w14:paraId="1AD139AA" w14:textId="4EC4B1DF" w:rsidR="007F64EF" w:rsidRDefault="007F64EF" w:rsidP="00FD3A38">
      <w:pPr>
        <w:jc w:val="both"/>
        <w:rPr>
          <w:i/>
          <w:iCs/>
        </w:rPr>
      </w:pPr>
      <w:r>
        <w:rPr>
          <w:i/>
          <w:iCs/>
        </w:rPr>
        <w:t>Model Evaluation</w:t>
      </w:r>
    </w:p>
    <w:p w14:paraId="6C6A1BD6" w14:textId="2657E3C0" w:rsidR="00DF7919" w:rsidRPr="00DF7919" w:rsidRDefault="00DF7919" w:rsidP="00FD3A38">
      <w:pPr>
        <w:jc w:val="both"/>
      </w:pPr>
      <w:r>
        <w:lastRenderedPageBreak/>
        <w:t xml:space="preserve">N-grams evaluated did not perform very well, with the most obvious being the likelihood of out of vocabulary words within the corpus. </w:t>
      </w:r>
    </w:p>
    <w:p w14:paraId="753EE03D" w14:textId="3BE8E1CD" w:rsidR="007F64EF" w:rsidRDefault="007F64EF" w:rsidP="00FD3A38">
      <w:pPr>
        <w:jc w:val="both"/>
        <w:rPr>
          <w:i/>
          <w:iCs/>
        </w:rPr>
      </w:pPr>
      <w:r>
        <w:rPr>
          <w:i/>
          <w:iCs/>
        </w:rPr>
        <w:t>Results</w:t>
      </w:r>
    </w:p>
    <w:p w14:paraId="52C911B9" w14:textId="77777777" w:rsidR="007F64EF" w:rsidRPr="007F64EF" w:rsidRDefault="007F64EF" w:rsidP="00FD3A38">
      <w:pPr>
        <w:jc w:val="both"/>
        <w:rPr>
          <w:i/>
          <w:iCs/>
        </w:rPr>
      </w:pP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r>
              <w:rPr>
                <w:rFonts w:ascii="Calibri" w:hAnsi="Calibri" w:cs="Calibri"/>
                <w:color w:val="000000"/>
              </w:rPr>
              <w:t>grimey</w:t>
            </w:r>
            <w:proofErr w:type="spell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lastRenderedPageBreak/>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lastRenderedPageBreak/>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lastRenderedPageBreak/>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lastRenderedPageBreak/>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lastRenderedPageBreak/>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lastRenderedPageBreak/>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lastRenderedPageBreak/>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lastRenderedPageBreak/>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lastRenderedPageBreak/>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lastRenderedPageBreak/>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lastRenderedPageBreak/>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lastRenderedPageBreak/>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lastRenderedPageBreak/>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lastRenderedPageBreak/>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lastRenderedPageBreak/>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lastRenderedPageBreak/>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B6372"/>
    <w:rsid w:val="000B7096"/>
    <w:rsid w:val="000C6EA5"/>
    <w:rsid w:val="000D2F98"/>
    <w:rsid w:val="000F12F1"/>
    <w:rsid w:val="00131C15"/>
    <w:rsid w:val="00137370"/>
    <w:rsid w:val="00154EA9"/>
    <w:rsid w:val="00156EF2"/>
    <w:rsid w:val="00162547"/>
    <w:rsid w:val="00162E96"/>
    <w:rsid w:val="00167EA3"/>
    <w:rsid w:val="0017023B"/>
    <w:rsid w:val="00190E5F"/>
    <w:rsid w:val="001919D3"/>
    <w:rsid w:val="001C5F93"/>
    <w:rsid w:val="001D038F"/>
    <w:rsid w:val="001D04ED"/>
    <w:rsid w:val="00204F35"/>
    <w:rsid w:val="00213FEF"/>
    <w:rsid w:val="0022270F"/>
    <w:rsid w:val="00227A26"/>
    <w:rsid w:val="00231112"/>
    <w:rsid w:val="00231DF2"/>
    <w:rsid w:val="00250BF7"/>
    <w:rsid w:val="00262180"/>
    <w:rsid w:val="00275043"/>
    <w:rsid w:val="002872DA"/>
    <w:rsid w:val="00287934"/>
    <w:rsid w:val="002C2C2D"/>
    <w:rsid w:val="002D00DC"/>
    <w:rsid w:val="002D0188"/>
    <w:rsid w:val="002E4F6B"/>
    <w:rsid w:val="002F4D65"/>
    <w:rsid w:val="0030204E"/>
    <w:rsid w:val="00323468"/>
    <w:rsid w:val="00343F07"/>
    <w:rsid w:val="00345372"/>
    <w:rsid w:val="0034542F"/>
    <w:rsid w:val="003669DB"/>
    <w:rsid w:val="00371578"/>
    <w:rsid w:val="00382224"/>
    <w:rsid w:val="003941CC"/>
    <w:rsid w:val="003B66A5"/>
    <w:rsid w:val="003B6B6A"/>
    <w:rsid w:val="003E3D4E"/>
    <w:rsid w:val="00421361"/>
    <w:rsid w:val="00451229"/>
    <w:rsid w:val="00462D41"/>
    <w:rsid w:val="004A11BE"/>
    <w:rsid w:val="004B3A3B"/>
    <w:rsid w:val="004B4122"/>
    <w:rsid w:val="004B4930"/>
    <w:rsid w:val="004C1324"/>
    <w:rsid w:val="004C232E"/>
    <w:rsid w:val="004C62FB"/>
    <w:rsid w:val="004D658A"/>
    <w:rsid w:val="004D7833"/>
    <w:rsid w:val="00512A74"/>
    <w:rsid w:val="0054703E"/>
    <w:rsid w:val="00571A70"/>
    <w:rsid w:val="0057236F"/>
    <w:rsid w:val="00593FF5"/>
    <w:rsid w:val="005A118A"/>
    <w:rsid w:val="005A4839"/>
    <w:rsid w:val="005A6FFE"/>
    <w:rsid w:val="005E03D4"/>
    <w:rsid w:val="005F3365"/>
    <w:rsid w:val="005F4C56"/>
    <w:rsid w:val="0063405D"/>
    <w:rsid w:val="00643D26"/>
    <w:rsid w:val="006618D7"/>
    <w:rsid w:val="0066545B"/>
    <w:rsid w:val="0067106C"/>
    <w:rsid w:val="0067123C"/>
    <w:rsid w:val="0068289D"/>
    <w:rsid w:val="00685254"/>
    <w:rsid w:val="00685A9D"/>
    <w:rsid w:val="00685ADD"/>
    <w:rsid w:val="00695A0D"/>
    <w:rsid w:val="006A0F49"/>
    <w:rsid w:val="006C6688"/>
    <w:rsid w:val="006C7409"/>
    <w:rsid w:val="006E1FD0"/>
    <w:rsid w:val="006F647B"/>
    <w:rsid w:val="007153C7"/>
    <w:rsid w:val="007277A6"/>
    <w:rsid w:val="007349B7"/>
    <w:rsid w:val="00737DED"/>
    <w:rsid w:val="00745B4C"/>
    <w:rsid w:val="00760B6D"/>
    <w:rsid w:val="00793E90"/>
    <w:rsid w:val="007A0342"/>
    <w:rsid w:val="007A06E1"/>
    <w:rsid w:val="007B79B6"/>
    <w:rsid w:val="007C2DC7"/>
    <w:rsid w:val="007F64EF"/>
    <w:rsid w:val="00810113"/>
    <w:rsid w:val="00821CEA"/>
    <w:rsid w:val="00832B06"/>
    <w:rsid w:val="008341DB"/>
    <w:rsid w:val="00856CAF"/>
    <w:rsid w:val="00894CA7"/>
    <w:rsid w:val="008A1371"/>
    <w:rsid w:val="008A6424"/>
    <w:rsid w:val="008D1763"/>
    <w:rsid w:val="008D71B2"/>
    <w:rsid w:val="008F6D18"/>
    <w:rsid w:val="00907ADC"/>
    <w:rsid w:val="00912E2D"/>
    <w:rsid w:val="0091777E"/>
    <w:rsid w:val="00931FE2"/>
    <w:rsid w:val="00941923"/>
    <w:rsid w:val="00960A08"/>
    <w:rsid w:val="0096519A"/>
    <w:rsid w:val="009822F7"/>
    <w:rsid w:val="009863DE"/>
    <w:rsid w:val="009A5B4B"/>
    <w:rsid w:val="009B089D"/>
    <w:rsid w:val="009F6567"/>
    <w:rsid w:val="00A07F73"/>
    <w:rsid w:val="00A10FE8"/>
    <w:rsid w:val="00A13A94"/>
    <w:rsid w:val="00A172C0"/>
    <w:rsid w:val="00A36EBF"/>
    <w:rsid w:val="00A47BAE"/>
    <w:rsid w:val="00A60621"/>
    <w:rsid w:val="00A94237"/>
    <w:rsid w:val="00AB2C83"/>
    <w:rsid w:val="00AB76E3"/>
    <w:rsid w:val="00AC1BE1"/>
    <w:rsid w:val="00AC355A"/>
    <w:rsid w:val="00AF4C0A"/>
    <w:rsid w:val="00B03F94"/>
    <w:rsid w:val="00B21B9B"/>
    <w:rsid w:val="00B242B5"/>
    <w:rsid w:val="00B26D2D"/>
    <w:rsid w:val="00B54136"/>
    <w:rsid w:val="00B645B7"/>
    <w:rsid w:val="00B678A2"/>
    <w:rsid w:val="00B7642F"/>
    <w:rsid w:val="00B82633"/>
    <w:rsid w:val="00B9387A"/>
    <w:rsid w:val="00BD4CB7"/>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2796"/>
    <w:rsid w:val="00D42FE8"/>
    <w:rsid w:val="00D4325F"/>
    <w:rsid w:val="00D4517E"/>
    <w:rsid w:val="00D52890"/>
    <w:rsid w:val="00D572CB"/>
    <w:rsid w:val="00D75A67"/>
    <w:rsid w:val="00D9422E"/>
    <w:rsid w:val="00DD3487"/>
    <w:rsid w:val="00DD427F"/>
    <w:rsid w:val="00DF4D23"/>
    <w:rsid w:val="00DF7919"/>
    <w:rsid w:val="00E3433B"/>
    <w:rsid w:val="00E41F55"/>
    <w:rsid w:val="00E67E92"/>
    <w:rsid w:val="00E70770"/>
    <w:rsid w:val="00E961F2"/>
    <w:rsid w:val="00EB08E7"/>
    <w:rsid w:val="00EC6FA6"/>
    <w:rsid w:val="00EE12E5"/>
    <w:rsid w:val="00EE5630"/>
    <w:rsid w:val="00F14707"/>
    <w:rsid w:val="00F2175E"/>
    <w:rsid w:val="00F26571"/>
    <w:rsid w:val="00F77EF7"/>
    <w:rsid w:val="00F9074E"/>
    <w:rsid w:val="00F955A9"/>
    <w:rsid w:val="00FA6966"/>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0EE1"/>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9995</TotalTime>
  <Pages>40</Pages>
  <Words>13942</Words>
  <Characters>79470</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37</cp:revision>
  <dcterms:created xsi:type="dcterms:W3CDTF">2023-08-02T23:35:00Z</dcterms:created>
  <dcterms:modified xsi:type="dcterms:W3CDTF">2023-08-29T23:41:00Z</dcterms:modified>
</cp:coreProperties>
</file>