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538B408D" w:rsidR="006D115E" w:rsidRDefault="006D115E" w:rsidP="006D115E">
      <w:pPr>
        <w:jc w:val="center"/>
        <w:rPr>
          <w:sz w:val="18"/>
          <w:szCs w:val="18"/>
        </w:rPr>
      </w:pPr>
      <w:r>
        <w:rPr>
          <w:i/>
          <w:iCs/>
          <w:sz w:val="18"/>
          <w:szCs w:val="18"/>
        </w:rPr>
        <w:t xml:space="preserve">Table X </w:t>
      </w:r>
      <w:r w:rsidR="00B25627">
        <w:rPr>
          <w:sz w:val="18"/>
          <w:szCs w:val="18"/>
        </w:rPr>
        <w:t>Topics Identified During Topic Modelling.</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5B84D439" w:rsidR="00C760D8" w:rsidRPr="00C760D8" w:rsidRDefault="00C760D8" w:rsidP="00C760D8">
            <w:r w:rsidRPr="00C760D8">
              <w:t xml:space="preserve">Expression of </w:t>
            </w:r>
            <w:r w:rsidR="009F1C12">
              <w:t>P</w:t>
            </w:r>
            <w:r w:rsidRPr="00C760D8">
              <w:t>reference</w:t>
            </w:r>
          </w:p>
        </w:tc>
        <w:tc>
          <w:tcPr>
            <w:tcW w:w="4508" w:type="dxa"/>
          </w:tcPr>
          <w:p w14:paraId="43DAEC4D" w14:textId="79390957" w:rsidR="00C760D8" w:rsidRPr="00C760D8" w:rsidRDefault="009F1C12" w:rsidP="00C760D8">
            <w:r>
              <w:t>Leisure Activities</w:t>
            </w:r>
          </w:p>
        </w:tc>
      </w:tr>
      <w:tr w:rsidR="00C760D8" w14:paraId="6106A2B7" w14:textId="77777777" w:rsidTr="00C760D8">
        <w:tc>
          <w:tcPr>
            <w:tcW w:w="4508" w:type="dxa"/>
          </w:tcPr>
          <w:p w14:paraId="0AA2F9B7" w14:textId="743552E2" w:rsidR="00C760D8" w:rsidRPr="00C760D8" w:rsidRDefault="009F1C12" w:rsidP="00C760D8">
            <w:r>
              <w:t>Reflection or Contemplation of Past Events</w:t>
            </w:r>
          </w:p>
        </w:tc>
        <w:tc>
          <w:tcPr>
            <w:tcW w:w="4508" w:type="dxa"/>
          </w:tcPr>
          <w:p w14:paraId="29529ABA" w14:textId="133E7C5C" w:rsidR="00C760D8" w:rsidRPr="00C760D8" w:rsidRDefault="009F1C12" w:rsidP="00C760D8">
            <w:r>
              <w:t>Opinions of Others (In the Media)</w:t>
            </w:r>
          </w:p>
        </w:tc>
      </w:tr>
      <w:tr w:rsidR="00C760D8" w14:paraId="262F4522" w14:textId="77777777" w:rsidTr="00C760D8">
        <w:tc>
          <w:tcPr>
            <w:tcW w:w="4508" w:type="dxa"/>
          </w:tcPr>
          <w:p w14:paraId="569D3BD1" w14:textId="401DF7EB" w:rsidR="00C760D8" w:rsidRPr="00C760D8" w:rsidRDefault="000E7683" w:rsidP="00C760D8">
            <w:r>
              <w:t xml:space="preserve">Personal </w:t>
            </w:r>
            <w:r w:rsidR="00C760D8">
              <w:t>Experiences</w:t>
            </w:r>
            <w:r>
              <w:t xml:space="preserve"> </w:t>
            </w:r>
            <w:r w:rsidR="009F1C12">
              <w:t>OR</w:t>
            </w:r>
            <w:r>
              <w:t xml:space="preserve"> Expectations</w:t>
            </w:r>
          </w:p>
        </w:tc>
        <w:tc>
          <w:tcPr>
            <w:tcW w:w="4508" w:type="dxa"/>
          </w:tcPr>
          <w:p w14:paraId="690CABFF" w14:textId="049691FA" w:rsidR="00C760D8" w:rsidRPr="00C760D8" w:rsidRDefault="009F1C12" w:rsidP="00C760D8">
            <w:r>
              <w:t>Appearance and Clothing</w:t>
            </w:r>
          </w:p>
        </w:tc>
      </w:tr>
      <w:tr w:rsidR="00C760D8" w14:paraId="04E503BC" w14:textId="77777777" w:rsidTr="00C760D8">
        <w:tc>
          <w:tcPr>
            <w:tcW w:w="4508" w:type="dxa"/>
          </w:tcPr>
          <w:p w14:paraId="7E7BE79D" w14:textId="1AD9255D" w:rsidR="00C760D8" w:rsidRPr="00C760D8" w:rsidRDefault="009F1C12" w:rsidP="00C760D8">
            <w:r>
              <w:t>Routine Life</w:t>
            </w:r>
          </w:p>
        </w:tc>
        <w:tc>
          <w:tcPr>
            <w:tcW w:w="4508" w:type="dxa"/>
          </w:tcPr>
          <w:p w14:paraId="72717010" w14:textId="5B3E3C15" w:rsidR="00C760D8" w:rsidRPr="00C760D8" w:rsidRDefault="00C760D8" w:rsidP="00C760D8">
            <w:r>
              <w:t xml:space="preserve">Opinions and </w:t>
            </w:r>
            <w:r w:rsidR="009F1C12">
              <w:t>T</w:t>
            </w:r>
            <w:r>
              <w: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 xml:space="preserve">Average Text-Emoji Sentiment Incongruence </w:t>
            </w:r>
            <w:r>
              <w:rPr>
                <w:b/>
                <w:bCs/>
              </w:rPr>
              <w:t>–</w:t>
            </w:r>
            <w:r>
              <w:rPr>
                <w:b/>
                <w:bCs/>
              </w:rPr>
              <w:t xml:space="preserve"> </w:t>
            </w:r>
            <w:r>
              <w:rPr>
                <w:b/>
                <w:bCs/>
              </w:rPr>
              <w:t>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 xml:space="preserve">Average Text-Emoji Sentiment Incongruence – </w:t>
            </w:r>
            <w:r>
              <w:rPr>
                <w:b/>
                <w:bCs/>
              </w:rPr>
              <w:t>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 xml:space="preserve">Average Text-Emoji Sentiment Incongruence – </w:t>
            </w:r>
            <w:r>
              <w:rPr>
                <w:b/>
                <w:bCs/>
              </w:rPr>
              <w:t>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 xml:space="preserve">Average Text </w:t>
            </w:r>
            <w:r>
              <w:rPr>
                <w:b/>
                <w:bCs/>
              </w:rPr>
              <w:t xml:space="preserve">Neutrality </w:t>
            </w:r>
            <w:r>
              <w:rPr>
                <w:b/>
                <w:bCs/>
              </w:rPr>
              <w:t>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 xml:space="preserve">Average Instances of </w:t>
            </w:r>
            <w:r>
              <w:rPr>
                <w:b/>
                <w:bCs/>
              </w:rPr>
              <w:t>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 xml:space="preserve">Average Instances of </w:t>
            </w:r>
            <w:r>
              <w:rPr>
                <w:b/>
                <w:bCs/>
              </w:rPr>
              <w:t>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w:t>
            </w:r>
            <w:r>
              <w:rPr>
                <w:b/>
                <w:bCs/>
              </w:rPr>
              <w:t>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w:t>
            </w:r>
            <w:r>
              <w:rPr>
                <w:b/>
                <w:bCs/>
              </w:rPr>
              <w:t xml:space="preserve">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 xml:space="preserve">Topic </w:t>
            </w:r>
            <w:r>
              <w:rPr>
                <w:b/>
                <w:bCs/>
              </w:rPr>
              <w:t>2</w:t>
            </w:r>
            <w:r>
              <w:rPr>
                <w:b/>
                <w:bCs/>
              </w:rPr>
              <w:t xml:space="preserve">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 xml:space="preserve">Topic </w:t>
            </w:r>
            <w:r w:rsidRPr="004D4376">
              <w:rPr>
                <w:b/>
                <w:bCs/>
              </w:rPr>
              <w:t>3</w:t>
            </w:r>
            <w:r w:rsidRPr="004D4376">
              <w:rPr>
                <w:b/>
                <w:bCs/>
              </w:rPr>
              <w:t xml:space="preserve">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 xml:space="preserve">Topic </w:t>
            </w:r>
            <w:r>
              <w:rPr>
                <w:b/>
                <w:bCs/>
              </w:rPr>
              <w:t>4</w:t>
            </w:r>
            <w:r>
              <w:rPr>
                <w:b/>
                <w:bCs/>
              </w:rPr>
              <w:t>–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w:t>
      </w:r>
      <w:r w:rsidR="006B7FBE">
        <w:t xml:space="preserve">This observation similarly applies to any future human-annotated data which is collected using the </w:t>
      </w:r>
      <w:proofErr w:type="spellStart"/>
      <w:r w:rsidR="006B7FBE">
        <w:t>iSarcasm</w:t>
      </w:r>
      <w:proofErr w:type="spellEnd"/>
      <w:r w:rsidR="006B7FBE">
        <w:t xml:space="preserve">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w:t>
            </w:r>
            <w:r>
              <w:rPr>
                <w:b/>
                <w:bCs/>
              </w:rPr>
              <w:t>ticipation</w:t>
            </w:r>
            <w:r>
              <w:rPr>
                <w:b/>
                <w:bCs/>
              </w:rPr>
              <w:t xml:space="preserve">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 xml:space="preserve">Degree of </w:t>
            </w:r>
            <w:r>
              <w:rPr>
                <w:b/>
                <w:bCs/>
              </w:rPr>
              <w:t>Fear</w:t>
            </w:r>
            <w:r>
              <w:rPr>
                <w:b/>
                <w:bCs/>
              </w:rPr>
              <w:t xml:space="preserve">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 xml:space="preserve">Degree of </w:t>
            </w:r>
            <w:r>
              <w:rPr>
                <w:b/>
                <w:bCs/>
              </w:rPr>
              <w:t>Joy</w:t>
            </w:r>
            <w:r>
              <w:rPr>
                <w:b/>
                <w:bCs/>
              </w:rPr>
              <w:t xml:space="preserve">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w:t>
            </w:r>
            <w:r>
              <w:rPr>
                <w:b/>
                <w:bCs/>
              </w:rPr>
              <w:t>urprise</w:t>
            </w:r>
            <w:r>
              <w:rPr>
                <w:b/>
                <w:bCs/>
              </w:rPr>
              <w:t xml:space="preserv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 xml:space="preserve">Degree of </w:t>
            </w:r>
            <w:r>
              <w:rPr>
                <w:b/>
                <w:bCs/>
              </w:rPr>
              <w:t>Trust</w:t>
            </w:r>
            <w:r>
              <w:rPr>
                <w:b/>
                <w:bCs/>
              </w:rPr>
              <w:t xml:space="preserve">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 xml:space="preserve">Average Text-Emoji Sentiment Incongruence – </w:t>
            </w:r>
            <w:r>
              <w:rPr>
                <w:b/>
                <w:bCs/>
              </w:rPr>
              <w:t>Negativity</w:t>
            </w:r>
            <w:r>
              <w:rPr>
                <w:b/>
                <w:bCs/>
              </w:rPr>
              <w:t xml:space="preserve">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 xml:space="preserve">Average Text-Emoji Sentiment Incongruence – </w:t>
            </w:r>
            <w:r>
              <w:rPr>
                <w:b/>
                <w:bCs/>
              </w:rPr>
              <w:t>Neutrality</w:t>
            </w:r>
            <w:r>
              <w:rPr>
                <w:b/>
                <w:bCs/>
              </w:rPr>
              <w:t xml:space="preserve">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lastRenderedPageBreak/>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 xml:space="preserve">Average Text </w:t>
            </w:r>
            <w:r>
              <w:rPr>
                <w:b/>
                <w:bCs/>
              </w:rPr>
              <w:t>Neutrality</w:t>
            </w:r>
            <w:r>
              <w:rPr>
                <w:b/>
                <w:bCs/>
              </w:rPr>
              <w:t xml:space="preserve">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 xml:space="preserve">Average Text </w:t>
            </w:r>
            <w:r>
              <w:rPr>
                <w:b/>
                <w:bCs/>
              </w:rPr>
              <w:t>Negativity</w:t>
            </w:r>
            <w:r>
              <w:rPr>
                <w:b/>
                <w:bCs/>
              </w:rPr>
              <w:t xml:space="preserve">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319628A9" w:rsidR="006B7FBE" w:rsidRDefault="006B7FBE" w:rsidP="00430C0F">
      <w:pPr>
        <w:jc w:val="both"/>
        <w:rPr>
          <w:b/>
          <w:bCs/>
        </w:rPr>
      </w:pPr>
      <w:r>
        <w:rPr>
          <w:b/>
          <w:bCs/>
        </w:rPr>
        <w:t>Evaluation</w:t>
      </w:r>
    </w:p>
    <w:p w14:paraId="0DDFE44A" w14:textId="77777777" w:rsidR="00080C41"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w:t>
      </w:r>
      <w:r w:rsidR="00CC30B6">
        <w:t xml:space="preserve">implemented </w:t>
      </w:r>
      <w:r w:rsidR="00A8421B">
        <w:t>a method to integrate emojis into sarcastic and non-sarcastic content</w:t>
      </w:r>
      <w:r w:rsidR="00CC30B6">
        <w:t xml:space="preserve"> which aimed to capture data more representative of organically occurring sarcasm on Twitter than previous convention of annotation using keyword hashtags and was less labour intensive for participants than previous works which use manual identification of sarcasm in Twitter users previously published tweets, based on author classification. </w:t>
      </w:r>
    </w:p>
    <w:p w14:paraId="4394218A" w14:textId="24348505" w:rsidR="006B7FBE" w:rsidRDefault="00CC30B6" w:rsidP="00430C0F">
      <w:pPr>
        <w:jc w:val="both"/>
      </w:pPr>
      <w:r>
        <w:lastRenderedPageBreak/>
        <w:t xml:space="preserve">Statistical analysis found survey responses to be sufficiently representative of the relevant population on Twitter and evaluated a range of structural, sentiment and contextual features in the survey results to identify features with significant differences in sarcastic and non-sarcastic content. The identified differences </w:t>
      </w:r>
      <w:r w:rsidR="00080C41">
        <w:t xml:space="preserve">were consistent with intuitive outcomes and indicate that such markers may provide value in subsequent sarcasm detection. This work additionally identified the importance of context on the presentation of sarcasm; where its presentation is notably different in positive and negative content and more likely to be expressed in topics which are polarising. </w:t>
      </w:r>
    </w:p>
    <w:p w14:paraId="48D8AA13" w14:textId="22EADDE1" w:rsidR="00080C41" w:rsidRDefault="00080C41" w:rsidP="00430C0F">
      <w:pPr>
        <w:jc w:val="both"/>
      </w:pPr>
      <w:r>
        <w:t xml:space="preserve">Where good alignment was found in patterns in data between content in the survey results and the </w:t>
      </w:r>
      <w:proofErr w:type="spellStart"/>
      <w:r>
        <w:t>iSarcasm</w:t>
      </w:r>
      <w:proofErr w:type="spellEnd"/>
      <w:r>
        <w:t xml:space="preserve"> data, the evaluated dataset which implemented a keyword hashtag strategy to identify sarcastic content showed significantly different features across all categories assessed, providing strong indicators that this method does not yield content which is representative of sarcasm on Twitter.</w:t>
      </w:r>
    </w:p>
    <w:p w14:paraId="155E05E0" w14:textId="2CE1A742" w:rsidR="00080C41" w:rsidRPr="006B7FBE" w:rsidRDefault="00080C41" w:rsidP="00430C0F">
      <w:pPr>
        <w:jc w:val="both"/>
      </w:pPr>
      <w:r>
        <w:t xml:space="preserve">This chapter has established an understanding of trends in features which may aid in the identification of sarcasm in addition to insights into the impacts of differing annotation practices. Such work provides a framework to </w:t>
      </w:r>
      <w:r w:rsidR="000F6345">
        <w:t xml:space="preserve">collect additional data for training and provides insights relevant to feature extraction for sarcasm detection. </w:t>
      </w:r>
    </w:p>
    <w:sectPr w:rsidR="00080C41"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80C41"/>
    <w:rsid w:val="000969B4"/>
    <w:rsid w:val="000D5D6B"/>
    <w:rsid w:val="000E7683"/>
    <w:rsid w:val="000F1DBD"/>
    <w:rsid w:val="000F5139"/>
    <w:rsid w:val="000F6345"/>
    <w:rsid w:val="00115C9E"/>
    <w:rsid w:val="00147A77"/>
    <w:rsid w:val="00157A47"/>
    <w:rsid w:val="00162D75"/>
    <w:rsid w:val="0018278E"/>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C4A0B"/>
    <w:rsid w:val="003D3163"/>
    <w:rsid w:val="00430C0F"/>
    <w:rsid w:val="00455533"/>
    <w:rsid w:val="0046699A"/>
    <w:rsid w:val="004C01B6"/>
    <w:rsid w:val="004D4376"/>
    <w:rsid w:val="004D49BC"/>
    <w:rsid w:val="004D5C35"/>
    <w:rsid w:val="004F310C"/>
    <w:rsid w:val="005168D2"/>
    <w:rsid w:val="0053667E"/>
    <w:rsid w:val="0058035C"/>
    <w:rsid w:val="005A72F6"/>
    <w:rsid w:val="00603F40"/>
    <w:rsid w:val="006103F8"/>
    <w:rsid w:val="006602E3"/>
    <w:rsid w:val="006A4153"/>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9F1C12"/>
    <w:rsid w:val="00A122D6"/>
    <w:rsid w:val="00A15A32"/>
    <w:rsid w:val="00A21FAC"/>
    <w:rsid w:val="00A313D5"/>
    <w:rsid w:val="00A64189"/>
    <w:rsid w:val="00A66018"/>
    <w:rsid w:val="00A8421B"/>
    <w:rsid w:val="00AA0161"/>
    <w:rsid w:val="00AC72C5"/>
    <w:rsid w:val="00AD02F9"/>
    <w:rsid w:val="00B25627"/>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CC30B6"/>
    <w:rsid w:val="00D07E86"/>
    <w:rsid w:val="00D108B6"/>
    <w:rsid w:val="00D652DE"/>
    <w:rsid w:val="00D73B8C"/>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12</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22</cp:revision>
  <dcterms:created xsi:type="dcterms:W3CDTF">2023-08-25T07:20:00Z</dcterms:created>
  <dcterms:modified xsi:type="dcterms:W3CDTF">2023-08-30T15:50:00Z</dcterms:modified>
</cp:coreProperties>
</file>