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2A08470D" w:rsidR="00BD7504" w:rsidRDefault="00F86EDF" w:rsidP="00287FCB">
      <w:pPr>
        <w:pStyle w:val="ListParagraph"/>
        <w:numPr>
          <w:ilvl w:val="0"/>
          <w:numId w:val="5"/>
        </w:numPr>
        <w:jc w:val="both"/>
      </w:pPr>
      <w:r>
        <w:t>Annotation strategy based on the presence of key words.</w:t>
      </w:r>
    </w:p>
    <w:p w14:paraId="3357134B" w14:textId="77777777" w:rsidR="00F86EDF" w:rsidRDefault="00F86EDF" w:rsidP="00F86EDF">
      <w:pPr>
        <w:pStyle w:val="ListParagraph"/>
        <w:numPr>
          <w:ilvl w:val="0"/>
          <w:numId w:val="5"/>
        </w:numPr>
        <w:jc w:val="both"/>
      </w:pPr>
      <w:r>
        <w:t>Annotation strategy based on the presence of key words.</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0E9A25B9" w14:textId="16D83CDC" w:rsidR="00916376" w:rsidRDefault="00916376" w:rsidP="00BE6637">
      <w:pPr>
        <w:jc w:val="both"/>
      </w:pPr>
      <w:r>
        <w:t xml:space="preserve">Baselines for relevant features were established using the survey data in combination with the iSarcasm dataset, given previous work has </w:t>
      </w:r>
      <w:r w:rsidR="00BE6637">
        <w:t>validated both sampling strategies. Note that where measuring instances of a feature, the minimum value for the lower limit of the range at 95% confidence was defined as zero to align with what is possible. Rounding of the results to the nearest integer will be utilised in cases where metrics represent the counting of features</w:t>
      </w:r>
      <w:r w:rsidR="00DE7F89">
        <w:t>. Justification is understandable based upon the example of the hashtags per tweet parameter, which defines the range at 95% confidence as 0.00 &lt; x &lt; 0.967. Such an assertion results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06AF45B5" w14:textId="79DFB218" w:rsidR="00287FCB" w:rsidRDefault="00F86EDF" w:rsidP="00F86EDF">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86EDF">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822DD9">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1B33D7" w14:paraId="13B743AF" w14:textId="77777777" w:rsidTr="00DD22B7">
        <w:tc>
          <w:tcPr>
            <w:tcW w:w="9016" w:type="dxa"/>
            <w:gridSpan w:val="7"/>
          </w:tcPr>
          <w:p w14:paraId="2A33790A" w14:textId="0AB81A30" w:rsidR="001B33D7" w:rsidRPr="001B33D7" w:rsidRDefault="001B33D7" w:rsidP="00F86EDF">
            <w:pPr>
              <w:rPr>
                <w:b/>
                <w:bCs/>
              </w:rPr>
            </w:pPr>
            <w:r w:rsidRPr="001B33D7">
              <w:rPr>
                <w:b/>
                <w:bCs/>
              </w:rPr>
              <w:t>Emoji-Based Features</w:t>
            </w:r>
          </w:p>
        </w:tc>
      </w:tr>
      <w:tr w:rsidR="00F86EDF" w14:paraId="432A0F26" w14:textId="77777777" w:rsidTr="00822DD9">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822DD9">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lastRenderedPageBreak/>
              <w:t>LL: -0.500</w:t>
            </w:r>
          </w:p>
        </w:tc>
        <w:tc>
          <w:tcPr>
            <w:tcW w:w="1127" w:type="dxa"/>
          </w:tcPr>
          <w:p w14:paraId="0B140591" w14:textId="77777777" w:rsidR="00F86EDF" w:rsidRDefault="001B33D7" w:rsidP="00F86EDF">
            <w:r>
              <w:lastRenderedPageBreak/>
              <w:t>UL: 0.775</w:t>
            </w:r>
          </w:p>
          <w:p w14:paraId="3673628A" w14:textId="51593775" w:rsidR="001B33D7" w:rsidRDefault="001B33D7" w:rsidP="00F86EDF">
            <w:r>
              <w:lastRenderedPageBreak/>
              <w:t>LL: -0.878</w:t>
            </w:r>
          </w:p>
        </w:tc>
      </w:tr>
      <w:tr w:rsidR="00F86EDF" w14:paraId="3E639D8F" w14:textId="77777777" w:rsidTr="00822DD9">
        <w:tc>
          <w:tcPr>
            <w:tcW w:w="2254" w:type="dxa"/>
          </w:tcPr>
          <w:p w14:paraId="7BD27C5A" w14:textId="08E1350C" w:rsidR="00F86EDF" w:rsidRPr="001B33D7" w:rsidRDefault="001B33D7" w:rsidP="00F86EDF">
            <w:pPr>
              <w:rPr>
                <w:b/>
                <w:bCs/>
              </w:rPr>
            </w:pPr>
            <w:r w:rsidRPr="001B33D7">
              <w:rPr>
                <w:b/>
                <w:bCs/>
              </w:rPr>
              <w:lastRenderedPageBreak/>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822DD9">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822DD9">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1B33D7" w14:paraId="6015C8B1" w14:textId="77777777" w:rsidTr="00256352">
        <w:tc>
          <w:tcPr>
            <w:tcW w:w="9016" w:type="dxa"/>
            <w:gridSpan w:val="7"/>
          </w:tcPr>
          <w:p w14:paraId="3CD55B21" w14:textId="37F794AE" w:rsidR="001B33D7" w:rsidRPr="001B33D7" w:rsidRDefault="001B33D7" w:rsidP="00F86EDF">
            <w:pPr>
              <w:rPr>
                <w:b/>
                <w:bCs/>
              </w:rPr>
            </w:pPr>
            <w:r>
              <w:rPr>
                <w:b/>
                <w:bCs/>
              </w:rPr>
              <w:t>Text-Based Features</w:t>
            </w:r>
          </w:p>
        </w:tc>
      </w:tr>
      <w:tr w:rsidR="001B33D7" w14:paraId="50502E63" w14:textId="77777777" w:rsidTr="00822DD9">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822DD9">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822DD9">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822DD9">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822DD9">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822DD9">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822DD9">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822DD9">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822DD9">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822DD9">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822DD9">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822DD9">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822DD9">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8B7ED62" w14:textId="77777777" w:rsidR="00F86EDF" w:rsidRPr="00F86EDF" w:rsidRDefault="00F86EDF" w:rsidP="00F86EDF">
      <w:pPr>
        <w:jc w:val="center"/>
      </w:pPr>
    </w:p>
    <w:p w14:paraId="04C1F246" w14:textId="77777777" w:rsidR="00287FCB" w:rsidRDefault="00287FCB" w:rsidP="00C9575B">
      <w:pPr>
        <w:jc w:val="both"/>
      </w:pPr>
    </w:p>
    <w:p w14:paraId="5ED0CAD3" w14:textId="77777777" w:rsidR="00287FCB" w:rsidRDefault="00287FCB" w:rsidP="00C9575B">
      <w:pPr>
        <w:jc w:val="both"/>
      </w:pPr>
    </w:p>
    <w:p w14:paraId="6484CEBF" w14:textId="77777777" w:rsidR="00287FCB" w:rsidRDefault="00287FCB"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Start using dimensional data- more simple (can expand to include basic theory also if I have time)</w:t>
      </w:r>
    </w:p>
    <w:p w14:paraId="1B44319E" w14:textId="562B82B7" w:rsidR="006A04F7" w:rsidRDefault="006A04F7" w:rsidP="00C9575B">
      <w:pPr>
        <w:jc w:val="both"/>
      </w:pPr>
      <w:r>
        <w:t>I have positive and negative scores for all the emojis from previous work</w:t>
      </w:r>
    </w:p>
    <w:p w14:paraId="37AC2230" w14:textId="29B085C3" w:rsidR="006A04F7" w:rsidRDefault="006A04F7" w:rsidP="00C9575B">
      <w:pPr>
        <w:jc w:val="both"/>
      </w:pPr>
      <w:r>
        <w:t>Combine this with sentiwordnet and I will have a full set of info for emoji and words</w:t>
      </w:r>
    </w:p>
    <w:p w14:paraId="7FBFA912" w14:textId="343C2158" w:rsidR="006A04F7" w:rsidRDefault="006A04F7" w:rsidP="00C9575B">
      <w:pPr>
        <w:jc w:val="both"/>
      </w:pPr>
      <w:r>
        <w:lastRenderedPageBreak/>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Make a positive and a negative sentiment matrix</w:t>
      </w:r>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Alternative option-&gt; emsemble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Discuss that this is to some degree accounted for using the sentiment aware attention mechanism as incongruence/congruence between text and emoji sentiment can be identified this way- which was one marker</w:t>
      </w: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lastRenderedPageBreak/>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11C40"/>
    <w:rsid w:val="001B33D7"/>
    <w:rsid w:val="001F77FA"/>
    <w:rsid w:val="00260552"/>
    <w:rsid w:val="00287FCB"/>
    <w:rsid w:val="00392DA2"/>
    <w:rsid w:val="003B32A4"/>
    <w:rsid w:val="00417A3D"/>
    <w:rsid w:val="005D3F77"/>
    <w:rsid w:val="006077C5"/>
    <w:rsid w:val="006502D3"/>
    <w:rsid w:val="006A04F7"/>
    <w:rsid w:val="006C54FB"/>
    <w:rsid w:val="00784D1C"/>
    <w:rsid w:val="00817B0C"/>
    <w:rsid w:val="008D6D09"/>
    <w:rsid w:val="00916376"/>
    <w:rsid w:val="00987E2D"/>
    <w:rsid w:val="009B0FD4"/>
    <w:rsid w:val="00A40F16"/>
    <w:rsid w:val="00A87D59"/>
    <w:rsid w:val="00B067E2"/>
    <w:rsid w:val="00BD7504"/>
    <w:rsid w:val="00BE6637"/>
    <w:rsid w:val="00C9575B"/>
    <w:rsid w:val="00DE7F89"/>
    <w:rsid w:val="00DF7FF2"/>
    <w:rsid w:val="00E53CE8"/>
    <w:rsid w:val="00F86EDF"/>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cp:revision>
  <dcterms:created xsi:type="dcterms:W3CDTF">2023-08-30T18:24:00Z</dcterms:created>
  <dcterms:modified xsi:type="dcterms:W3CDTF">2023-09-03T16:32:00Z</dcterms:modified>
</cp:coreProperties>
</file>