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lastRenderedPageBreak/>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w:t>
      </w:r>
      <w:r w:rsidR="001A7896">
        <w:lastRenderedPageBreak/>
        <w:t xml:space="preserve">incongruent characteristics compared to the present gold-standard collection strategy used in the </w:t>
      </w:r>
      <w:proofErr w:type="spellStart"/>
      <w:r w:rsidR="001A7896">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19F51235"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 xml:space="preserve">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 </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265E2262" w:rsidR="00287FCB" w:rsidRPr="005C4ACD" w:rsidRDefault="005C4ACD" w:rsidP="00C9575B">
      <w:pPr>
        <w:jc w:val="both"/>
        <w:rPr>
          <w:b/>
          <w:bCs/>
        </w:rPr>
      </w:pPr>
      <w:r w:rsidRPr="005C4ACD">
        <w:rPr>
          <w:b/>
          <w:bCs/>
        </w:rPr>
        <w:t>Model Selection</w:t>
      </w:r>
      <w:r>
        <w:rPr>
          <w:b/>
          <w:bCs/>
        </w:rPr>
        <w:t xml:space="preserve"> and Evaluation</w:t>
      </w:r>
    </w:p>
    <w:p w14:paraId="3D66687B" w14:textId="7FB6FA86" w:rsidR="005C4ACD" w:rsidRDefault="005C4ACD" w:rsidP="00C9575B">
      <w:pPr>
        <w:jc w:val="both"/>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 xml:space="preserve">Each identified model was hyperparameter tuned using a similar methodology to that which was described previously in section X, with the goal of identifying the most optimal model with regards to accuracy and generalisation capabilities. The assessment metrics were adjusted to account for the nature of the task, binary classification. </w:t>
      </w:r>
    </w:p>
    <w:p w14:paraId="60F88D23" w14:textId="2D36A777" w:rsidR="004F393A" w:rsidRDefault="004F393A" w:rsidP="00C9575B">
      <w:pPr>
        <w:jc w:val="both"/>
      </w:pPr>
      <w:r>
        <w:lastRenderedPageBreak/>
        <w:t xml:space="preserve">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2183B999" w14:textId="77777777" w:rsidR="004C2374" w:rsidRPr="004C2374" w:rsidRDefault="004C2374" w:rsidP="004C2374">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613DF8EE" w14:textId="77777777" w:rsidR="004C2374" w:rsidRDefault="004C2374" w:rsidP="00C9575B">
      <w:pPr>
        <w:jc w:val="both"/>
      </w:pPr>
    </w:p>
    <w:p w14:paraId="75A2735D" w14:textId="262F5D7C" w:rsidR="004F393A" w:rsidRDefault="004F393A" w:rsidP="00C9575B">
      <w:pPr>
        <w:jc w:val="both"/>
      </w:pPr>
      <w:r>
        <w:t xml:space="preserve">Following initial tuning, during the assessment of models with varying data input, F1 score was additionally considered which </w:t>
      </w:r>
      <w:r w:rsidR="004C2374">
        <w:t xml:space="preserve">provides insight into the precision and recall of the model. </w:t>
      </w:r>
    </w:p>
    <w:p w14:paraId="11906327" w14:textId="6D555733" w:rsidR="004C2374" w:rsidRPr="004C2374" w:rsidRDefault="004C2374" w:rsidP="00C9575B">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4520EA88" w14:textId="2490CC42" w:rsidR="004C2374" w:rsidRPr="004C2374" w:rsidRDefault="004C2374" w:rsidP="00C9575B">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1F819E5D" w14:textId="77BD0600" w:rsidR="004C2374" w:rsidRPr="004C2374" w:rsidRDefault="004C2374" w:rsidP="00C9575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78D87314" w14:textId="6F9B6D5E" w:rsidR="00952344" w:rsidRDefault="004C2374" w:rsidP="00C9575B">
      <w:pPr>
        <w:jc w:val="both"/>
      </w:pPr>
      <w:r>
        <w:rPr>
          <w:b/>
          <w:bCs/>
        </w:rPr>
        <w:t>Results</w:t>
      </w:r>
    </w:p>
    <w:p w14:paraId="2D5D99F1" w14:textId="77777777" w:rsidR="004C2374" w:rsidRDefault="004C2374" w:rsidP="00C9575B">
      <w:pPr>
        <w:jc w:val="both"/>
      </w:pPr>
    </w:p>
    <w:p w14:paraId="1FA88E03" w14:textId="77777777" w:rsidR="004C2374" w:rsidRDefault="004C2374" w:rsidP="00C9575B">
      <w:pPr>
        <w:jc w:val="both"/>
      </w:pPr>
    </w:p>
    <w:p w14:paraId="22924324" w14:textId="77777777" w:rsidR="004C2374" w:rsidRPr="004C2374" w:rsidRDefault="004C237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247B"/>
    <w:rsid w:val="00005E8D"/>
    <w:rsid w:val="00011C40"/>
    <w:rsid w:val="0002331E"/>
    <w:rsid w:val="000336E6"/>
    <w:rsid w:val="00036654"/>
    <w:rsid w:val="0003759F"/>
    <w:rsid w:val="000533C6"/>
    <w:rsid w:val="0006284D"/>
    <w:rsid w:val="0006287A"/>
    <w:rsid w:val="00072302"/>
    <w:rsid w:val="00075C40"/>
    <w:rsid w:val="0007614D"/>
    <w:rsid w:val="00092582"/>
    <w:rsid w:val="00097E6D"/>
    <w:rsid w:val="000C1FE9"/>
    <w:rsid w:val="000E6170"/>
    <w:rsid w:val="000F4DBB"/>
    <w:rsid w:val="00111A92"/>
    <w:rsid w:val="00135AFF"/>
    <w:rsid w:val="00151F09"/>
    <w:rsid w:val="00157DA3"/>
    <w:rsid w:val="00161226"/>
    <w:rsid w:val="001620EB"/>
    <w:rsid w:val="001747B4"/>
    <w:rsid w:val="001845AD"/>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60552"/>
    <w:rsid w:val="002753E4"/>
    <w:rsid w:val="002825ED"/>
    <w:rsid w:val="00287FCB"/>
    <w:rsid w:val="00293771"/>
    <w:rsid w:val="00294882"/>
    <w:rsid w:val="00297865"/>
    <w:rsid w:val="002A2078"/>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E00B5"/>
    <w:rsid w:val="003F006A"/>
    <w:rsid w:val="003F20C5"/>
    <w:rsid w:val="00406144"/>
    <w:rsid w:val="004073A0"/>
    <w:rsid w:val="00415C3F"/>
    <w:rsid w:val="00417A3D"/>
    <w:rsid w:val="004218A0"/>
    <w:rsid w:val="0042205E"/>
    <w:rsid w:val="004240B4"/>
    <w:rsid w:val="00447F8E"/>
    <w:rsid w:val="004531FA"/>
    <w:rsid w:val="00453EB9"/>
    <w:rsid w:val="00481A89"/>
    <w:rsid w:val="0048513B"/>
    <w:rsid w:val="004874C7"/>
    <w:rsid w:val="00492333"/>
    <w:rsid w:val="004945D8"/>
    <w:rsid w:val="004B579E"/>
    <w:rsid w:val="004C03AF"/>
    <w:rsid w:val="004C2374"/>
    <w:rsid w:val="004D298C"/>
    <w:rsid w:val="004E41D3"/>
    <w:rsid w:val="004F393A"/>
    <w:rsid w:val="005035B6"/>
    <w:rsid w:val="00503B0B"/>
    <w:rsid w:val="0050675E"/>
    <w:rsid w:val="00532FDD"/>
    <w:rsid w:val="005532DD"/>
    <w:rsid w:val="00583C9C"/>
    <w:rsid w:val="005A229F"/>
    <w:rsid w:val="005A415A"/>
    <w:rsid w:val="005B4B2F"/>
    <w:rsid w:val="005C4ACD"/>
    <w:rsid w:val="005C545E"/>
    <w:rsid w:val="005C7873"/>
    <w:rsid w:val="005D3F77"/>
    <w:rsid w:val="005E1493"/>
    <w:rsid w:val="005E61DD"/>
    <w:rsid w:val="005F10F1"/>
    <w:rsid w:val="006077C5"/>
    <w:rsid w:val="00612102"/>
    <w:rsid w:val="0061284D"/>
    <w:rsid w:val="00615ADB"/>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6452D"/>
    <w:rsid w:val="00772789"/>
    <w:rsid w:val="007754F9"/>
    <w:rsid w:val="00784D1C"/>
    <w:rsid w:val="0079626B"/>
    <w:rsid w:val="007A0389"/>
    <w:rsid w:val="007A4E12"/>
    <w:rsid w:val="007B3712"/>
    <w:rsid w:val="007E198B"/>
    <w:rsid w:val="0080415E"/>
    <w:rsid w:val="0081589E"/>
    <w:rsid w:val="00817B0C"/>
    <w:rsid w:val="00832E2C"/>
    <w:rsid w:val="008415B0"/>
    <w:rsid w:val="008418C4"/>
    <w:rsid w:val="008421D3"/>
    <w:rsid w:val="0084678E"/>
    <w:rsid w:val="0085261D"/>
    <w:rsid w:val="008527AA"/>
    <w:rsid w:val="00866A1C"/>
    <w:rsid w:val="0087652D"/>
    <w:rsid w:val="00876825"/>
    <w:rsid w:val="008840D9"/>
    <w:rsid w:val="00896B55"/>
    <w:rsid w:val="008A6450"/>
    <w:rsid w:val="008C3029"/>
    <w:rsid w:val="008D6D09"/>
    <w:rsid w:val="008D7A26"/>
    <w:rsid w:val="008E6B1D"/>
    <w:rsid w:val="00916376"/>
    <w:rsid w:val="0092057A"/>
    <w:rsid w:val="0092400B"/>
    <w:rsid w:val="00936A38"/>
    <w:rsid w:val="009402B0"/>
    <w:rsid w:val="009504FF"/>
    <w:rsid w:val="00952344"/>
    <w:rsid w:val="00965812"/>
    <w:rsid w:val="009879F9"/>
    <w:rsid w:val="00987E2D"/>
    <w:rsid w:val="00991CB2"/>
    <w:rsid w:val="00992D38"/>
    <w:rsid w:val="009945A9"/>
    <w:rsid w:val="0099579A"/>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2F2A"/>
    <w:rsid w:val="00B41AE7"/>
    <w:rsid w:val="00B43194"/>
    <w:rsid w:val="00B47D30"/>
    <w:rsid w:val="00B94FDE"/>
    <w:rsid w:val="00BA2272"/>
    <w:rsid w:val="00BB081D"/>
    <w:rsid w:val="00BB1470"/>
    <w:rsid w:val="00BB3BAF"/>
    <w:rsid w:val="00BC75CA"/>
    <w:rsid w:val="00BD7504"/>
    <w:rsid w:val="00BE6637"/>
    <w:rsid w:val="00BF11F6"/>
    <w:rsid w:val="00BF478F"/>
    <w:rsid w:val="00C1023D"/>
    <w:rsid w:val="00C12CA8"/>
    <w:rsid w:val="00C16631"/>
    <w:rsid w:val="00C420FF"/>
    <w:rsid w:val="00C423E9"/>
    <w:rsid w:val="00C45684"/>
    <w:rsid w:val="00C54AE4"/>
    <w:rsid w:val="00C636FC"/>
    <w:rsid w:val="00C6724C"/>
    <w:rsid w:val="00C7313C"/>
    <w:rsid w:val="00C9575B"/>
    <w:rsid w:val="00CB094A"/>
    <w:rsid w:val="00CB6EF7"/>
    <w:rsid w:val="00CC6338"/>
    <w:rsid w:val="00CD1EFC"/>
    <w:rsid w:val="00CE0596"/>
    <w:rsid w:val="00CF221B"/>
    <w:rsid w:val="00CF3629"/>
    <w:rsid w:val="00D14BD1"/>
    <w:rsid w:val="00D2308D"/>
    <w:rsid w:val="00D43315"/>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7AA8"/>
    <w:rsid w:val="00E30D4D"/>
    <w:rsid w:val="00E45B97"/>
    <w:rsid w:val="00E53CE8"/>
    <w:rsid w:val="00E577B5"/>
    <w:rsid w:val="00E6306A"/>
    <w:rsid w:val="00E6696F"/>
    <w:rsid w:val="00E734AB"/>
    <w:rsid w:val="00E746FB"/>
    <w:rsid w:val="00E86E15"/>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53EAB"/>
    <w:rsid w:val="00F621A6"/>
    <w:rsid w:val="00F76F2A"/>
    <w:rsid w:val="00F82C37"/>
    <w:rsid w:val="00F86EDF"/>
    <w:rsid w:val="00F9214D"/>
    <w:rsid w:val="00FA3F27"/>
    <w:rsid w:val="00FB0F0A"/>
    <w:rsid w:val="00FB24D1"/>
    <w:rsid w:val="00FC27DD"/>
    <w:rsid w:val="00FC335A"/>
    <w:rsid w:val="00FC3F07"/>
    <w:rsid w:val="00FD678C"/>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11</cp:revision>
  <dcterms:created xsi:type="dcterms:W3CDTF">2023-08-30T18:24:00Z</dcterms:created>
  <dcterms:modified xsi:type="dcterms:W3CDTF">2023-09-06T13:58:00Z</dcterms:modified>
</cp:coreProperties>
</file>