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2D46547F"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s disproportionately to reduce perceived negativity. The converse was true to some extent for positive sarcastic content; however, the effect was</w:t>
      </w:r>
      <w:r w:rsidR="005B2FFC">
        <w:t xml:space="preserve"> </w:t>
      </w:r>
      <w:r w:rsidR="006502D3">
        <w:t xml:space="preserve">less universal. </w:t>
      </w:r>
    </w:p>
    <w:p w14:paraId="5804337B" w14:textId="204CD450" w:rsidR="00417A3D" w:rsidRDefault="00417A3D" w:rsidP="00417A3D">
      <w:pPr>
        <w:rPr>
          <w:b/>
          <w:bCs/>
        </w:rPr>
      </w:pPr>
      <w:r w:rsidRPr="00417A3D">
        <w:rPr>
          <w:b/>
          <w:bCs/>
        </w:rPr>
        <w:t>Proposed Architecture</w:t>
      </w:r>
    </w:p>
    <w:p w14:paraId="2D49D983" w14:textId="56A56693" w:rsidR="005628EB" w:rsidRDefault="005628EB" w:rsidP="00417A3D">
      <w:pPr>
        <w:rPr>
          <w:i/>
          <w:iCs/>
        </w:rPr>
      </w:pPr>
      <w:r>
        <w:rPr>
          <w:i/>
          <w:iCs/>
        </w:rPr>
        <w:t>Model Selection</w:t>
      </w:r>
    </w:p>
    <w:p w14:paraId="65440D4F" w14:textId="64545DDA" w:rsidR="005628EB" w:rsidRPr="005628EB" w:rsidRDefault="005628EB" w:rsidP="005628EB">
      <w:pPr>
        <w:jc w:val="both"/>
      </w:pPr>
      <w:r>
        <w:t xml:space="preserve">Given the complexity of the task and prevalence of similar architectures identified in literature, neural networks will be the model class evaluated for the task. Selection Criteria will consider the architectural features with respect to the task in addition to observations from literature on </w:t>
      </w:r>
      <w:r w:rsidR="007D2AE8">
        <w:t>their suitability.</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7EC5EF7D" w:rsidR="004040D8" w:rsidRDefault="00011C40" w:rsidP="00C9575B">
      <w:pPr>
        <w:jc w:val="both"/>
      </w:pPr>
      <w:r>
        <w:lastRenderedPageBreak/>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w:t>
      </w:r>
      <w:r w:rsidR="007D2AE8">
        <w:t>traditional</w:t>
      </w:r>
      <w:r w:rsidR="00DF7FF2">
        <w:t xml:space="preserve"> attention mechanism will be modified to </w:t>
      </w:r>
      <w:r w:rsidR="004040D8">
        <w:t xml:space="preserve">weight word importance with regards to their polar sentiment. </w:t>
      </w: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w:t>
      </w:r>
      <w:r w:rsidR="00DE7F89">
        <w:lastRenderedPageBreak/>
        <w:t>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498E2064" w14:textId="0A81822E" w:rsidR="000C1FE9"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w:t>
      </w:r>
      <w:r>
        <w:lastRenderedPageBreak/>
        <w:t>subsets for a more granular approach to the task.</w:t>
      </w:r>
      <w:r w:rsidR="00936A38">
        <w:t xml:space="preserve"> Figures X and X show results of the analysis for each dataset. </w:t>
      </w:r>
    </w:p>
    <w:p w14:paraId="2522562C" w14:textId="5AF87D21" w:rsidR="000C1FE9" w:rsidRDefault="006C7C7D" w:rsidP="006C7C7D">
      <w:pPr>
        <w:jc w:val="center"/>
      </w:pPr>
      <w:r>
        <w:rPr>
          <w:noProof/>
        </w:rPr>
        <w:drawing>
          <wp:inline distT="0" distB="0" distL="0" distR="0" wp14:anchorId="19989D73" wp14:editId="0CC8A32A">
            <wp:extent cx="4765473" cy="8006316"/>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618" cy="8021680"/>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r w:rsidR="001A7896">
        <w:lastRenderedPageBreak/>
        <w:t xml:space="preserve">iSarcasm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0828386F"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3B75638F" w:rsidR="00287FCB" w:rsidRDefault="000F6F4A" w:rsidP="00C9575B">
      <w:pPr>
        <w:jc w:val="both"/>
        <w:rPr>
          <w:b/>
          <w:bCs/>
        </w:rPr>
      </w:pPr>
      <w:r>
        <w:rPr>
          <w:b/>
          <w:bCs/>
        </w:rPr>
        <w:t>Baseline Model Evaluation</w:t>
      </w:r>
    </w:p>
    <w:p w14:paraId="323D6D8C" w14:textId="021BBF59" w:rsidR="007D2AE8" w:rsidRPr="007D2AE8" w:rsidRDefault="007D2AE8" w:rsidP="00C9575B">
      <w:pPr>
        <w:jc w:val="both"/>
        <w:rPr>
          <w:i/>
          <w:iCs/>
        </w:rPr>
      </w:pPr>
      <w:r>
        <w:rPr>
          <w:i/>
          <w:iCs/>
        </w:rPr>
        <w:t>Neural Network Selection</w:t>
      </w:r>
    </w:p>
    <w:p w14:paraId="1F819E5D" w14:textId="6BA8103A" w:rsidR="004C2374" w:rsidRPr="00B035CF" w:rsidRDefault="005C4ACD" w:rsidP="00B035CF">
      <w:pPr>
        <w:jc w:val="both"/>
        <w:rPr>
          <w:rFonts w:eastAsiaTheme="minorEastAsia"/>
        </w:rPr>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Each identified model was hyperparameter tuned using a similar methodology to that which was described previously in section X, with the goal of identifying the most optimal model with regards to accuracy and generalisation capabilities.</w:t>
      </w:r>
      <w:r w:rsidR="00B035CF">
        <w:t xml:space="preserve"> </w:t>
      </w:r>
    </w:p>
    <w:p w14:paraId="12F0E03F" w14:textId="40524D88" w:rsidR="00B035CF" w:rsidRPr="004C2374" w:rsidRDefault="00B035CF" w:rsidP="00C9575B">
      <w:pPr>
        <w:jc w:val="both"/>
        <w:rPr>
          <w:rFonts w:eastAsiaTheme="minorEastAsia"/>
        </w:rPr>
      </w:pPr>
      <w:r>
        <w:rPr>
          <w:rFonts w:eastAsiaTheme="minorEastAsia"/>
        </w:rPr>
        <w:t>Following hyperparameter tuning, three models with the greatest performance metrics were re-trained using 5-fold cross validation to evaluate their robustness to varied data. The results were used to identify the optimal model.</w:t>
      </w:r>
    </w:p>
    <w:p w14:paraId="45630FF9" w14:textId="1B1AA777" w:rsidR="00B035CF" w:rsidRDefault="00B035CF" w:rsidP="00C9575B">
      <w:pPr>
        <w:jc w:val="both"/>
        <w:rPr>
          <w:b/>
          <w:bCs/>
        </w:rPr>
      </w:pPr>
      <w:r>
        <w:rPr>
          <w:b/>
          <w:bCs/>
        </w:rPr>
        <w:lastRenderedPageBreak/>
        <w:t>Evaluation Metrics</w:t>
      </w:r>
    </w:p>
    <w:p w14:paraId="7902D76D" w14:textId="7AB66356" w:rsidR="00B035CF" w:rsidRDefault="00B035CF" w:rsidP="00B035CF">
      <w:pPr>
        <w:jc w:val="both"/>
      </w:pPr>
      <w:r>
        <w:t xml:space="preserve">The assessment metrics were adjusted to account for the nature of the task, binary classification. 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7D0F76DE" w14:textId="77777777" w:rsidR="00B035CF" w:rsidRPr="007D2AE8" w:rsidRDefault="00B035CF" w:rsidP="00B035CF">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55500FAB" w14:textId="77777777" w:rsidR="00B035CF" w:rsidRDefault="00B035CF" w:rsidP="00B035CF">
      <w:pPr>
        <w:jc w:val="both"/>
      </w:pPr>
      <w:r>
        <w:t xml:space="preserve">Following initial tuning, during the assessment of models with varying data input, F1 score was additionally considered which provides insight into the precision and recall of the model. </w:t>
      </w:r>
    </w:p>
    <w:p w14:paraId="7B75F80C" w14:textId="77777777" w:rsidR="00B035CF" w:rsidRPr="004C2374" w:rsidRDefault="00B035CF" w:rsidP="00B035CF">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77B9D7E5" w14:textId="77777777" w:rsidR="00B035CF" w:rsidRPr="004C2374" w:rsidRDefault="00B035CF" w:rsidP="00B035CF">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2F9C6FFE" w14:textId="77777777" w:rsidR="00B035CF" w:rsidRPr="00B035CF" w:rsidRDefault="00B035CF" w:rsidP="00B035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111594C3" w14:textId="405578B4" w:rsidR="00BF2C85" w:rsidRPr="00BF2C85" w:rsidRDefault="00BF2C85" w:rsidP="00C9575B">
      <w:pPr>
        <w:jc w:val="both"/>
      </w:pPr>
      <w:r>
        <w:t>Initial evaluation during the hyperparameter tuning process identified the GRU model as achieving maximum accuracy while minimizing loss. To balance computational cost with assessment of as many iterations of the model as possible during hyperparameter tuning cross validation was performed on the three models identified with the greatest performance</w:t>
      </w:r>
      <w:r>
        <w:t xml:space="preserve"> and the final optimal results was selected from this pool.</w:t>
      </w:r>
    </w:p>
    <w:p w14:paraId="78D87314" w14:textId="63D58329" w:rsidR="00952344" w:rsidRDefault="00345656" w:rsidP="00C9575B">
      <w:pPr>
        <w:jc w:val="both"/>
      </w:pPr>
      <w:r>
        <w:rPr>
          <w:b/>
          <w:bCs/>
        </w:rPr>
        <w:t>Performance Evaluation</w:t>
      </w:r>
    </w:p>
    <w:p w14:paraId="2D5D99F1" w14:textId="4B0499AB" w:rsidR="004C2374" w:rsidRDefault="007D2AE8" w:rsidP="00C9575B">
      <w:pPr>
        <w:jc w:val="both"/>
      </w:pPr>
      <w:r>
        <w:t>Initial evaluation during the hyperparameter tuning process identified the GRU model</w:t>
      </w:r>
      <w:r w:rsidR="00BF2C85">
        <w:t xml:space="preserve">s as the greatest performing, which is aligned with expectations with respect to their architectural features and literature assessment discussed previously. </w:t>
      </w:r>
    </w:p>
    <w:p w14:paraId="7925B23B" w14:textId="77777777" w:rsidR="000F6F4A" w:rsidRDefault="000F6F4A" w:rsidP="00C9575B">
      <w:pPr>
        <w:jc w:val="both"/>
      </w:pPr>
    </w:p>
    <w:p w14:paraId="5C8BE085" w14:textId="7D314779" w:rsidR="000F6F4A" w:rsidRPr="000F6F4A" w:rsidRDefault="000F6F4A" w:rsidP="000F6F4A">
      <w:pPr>
        <w:jc w:val="center"/>
        <w:rPr>
          <w:sz w:val="18"/>
          <w:szCs w:val="18"/>
        </w:rPr>
      </w:pPr>
      <w:r>
        <w:rPr>
          <w:i/>
          <w:iCs/>
          <w:sz w:val="18"/>
          <w:szCs w:val="18"/>
        </w:rPr>
        <w:t xml:space="preserve">Figure X </w:t>
      </w:r>
      <w:r>
        <w:rPr>
          <w:sz w:val="18"/>
          <w:szCs w:val="18"/>
        </w:rPr>
        <w:t>Optimal GRU Model for Sarcasm Detection.</w:t>
      </w:r>
    </w:p>
    <w:p w14:paraId="1FA88E03" w14:textId="5C7E9E9F" w:rsidR="004C2374" w:rsidRDefault="000F6F4A" w:rsidP="00C9575B">
      <w:pPr>
        <w:jc w:val="both"/>
      </w:pPr>
      <w:r>
        <w:t>While the model yielded the greatest performance with respect to accuracy, f1 score and loss compared, the discrepancy between training metrics compared to test and validation subsets provide strong evidence of overfitting. Such an effect is consolidated by the inconsistencies in results from each fold during cross-validation, however this effect was present in all evaluated models.</w:t>
      </w:r>
    </w:p>
    <w:p w14:paraId="22924324" w14:textId="138FB009" w:rsidR="004C2374" w:rsidRDefault="000F6F4A" w:rsidP="000F6F4A">
      <w:pPr>
        <w:jc w:val="center"/>
        <w:rPr>
          <w:sz w:val="18"/>
          <w:szCs w:val="18"/>
        </w:rPr>
      </w:pPr>
      <w:r>
        <w:rPr>
          <w:i/>
          <w:iCs/>
          <w:sz w:val="18"/>
          <w:szCs w:val="18"/>
        </w:rPr>
        <w:t xml:space="preserve">Table X </w:t>
      </w:r>
      <w:r>
        <w:rPr>
          <w:sz w:val="18"/>
          <w:szCs w:val="18"/>
        </w:rPr>
        <w:t>Performance Metrics of Optimal GRU Model for Sarcasm Detection.</w:t>
      </w:r>
    </w:p>
    <w:p w14:paraId="444EAE42" w14:textId="77777777" w:rsidR="000F6F4A" w:rsidRDefault="000F6F4A" w:rsidP="000F6F4A">
      <w:pPr>
        <w:jc w:val="center"/>
        <w:rPr>
          <w:sz w:val="18"/>
          <w:szCs w:val="18"/>
        </w:rPr>
      </w:pPr>
    </w:p>
    <w:p w14:paraId="5E4EB85C" w14:textId="1D959EF8" w:rsidR="000F6F4A" w:rsidRDefault="000F6F4A" w:rsidP="000F6F4A">
      <w:pPr>
        <w:jc w:val="both"/>
      </w:pPr>
      <w:r>
        <w:t xml:space="preserve">Given this approach utilised the word vectors as the sole source of information to train the model, </w:t>
      </w:r>
      <w:r w:rsidR="00D05693">
        <w:t>this result may be related to the over-reliance of the model on semantic information, where sentiment has also been evidenced to be relevant. Further adaptations to the model which enable the consideration of sentiment to a greater extent may be of value for the task. Section X discusses the implementation of a strategy to provide enhanced sentiment awareness to the model.</w:t>
      </w:r>
    </w:p>
    <w:p w14:paraId="754408AC" w14:textId="23CFE217" w:rsidR="00D05693" w:rsidRDefault="00D05693" w:rsidP="000F6F4A">
      <w:pPr>
        <w:jc w:val="both"/>
        <w:rPr>
          <w:b/>
          <w:bCs/>
        </w:rPr>
      </w:pPr>
      <w:r>
        <w:rPr>
          <w:b/>
          <w:bCs/>
        </w:rPr>
        <w:t>Attention Mechanism</w:t>
      </w:r>
    </w:p>
    <w:p w14:paraId="105D6938" w14:textId="44B1C58F" w:rsidR="00D05693" w:rsidRDefault="00D05693" w:rsidP="000F6F4A">
      <w:pPr>
        <w:jc w:val="both"/>
        <w:rPr>
          <w:b/>
          <w:bCs/>
        </w:rPr>
      </w:pPr>
      <w:r>
        <w:rPr>
          <w:b/>
          <w:bCs/>
        </w:rPr>
        <w:t>Architecture</w:t>
      </w:r>
    </w:p>
    <w:p w14:paraId="33E6094F" w14:textId="35F6D5BA" w:rsidR="00D05693" w:rsidRDefault="00D05693" w:rsidP="000F6F4A">
      <w:pPr>
        <w:jc w:val="both"/>
      </w:pPr>
      <w:r>
        <w:lastRenderedPageBreak/>
        <w:t xml:space="preserve">To integrate sentiment awareness into the model in the most computationally efficient manner, which minimising the addition of noise which may arise from vectors with overlapping information, </w:t>
      </w:r>
      <w:r w:rsidR="00F93F44">
        <w:t>an attention mechanism which weights the semantic and contextual information gleaned from the word vectors alongside sentiment embeddings.</w:t>
      </w:r>
    </w:p>
    <w:p w14:paraId="1EE07CB7" w14:textId="5F8A004F" w:rsidR="00EE0C16" w:rsidRDefault="00F93F44" w:rsidP="000F6F4A">
      <w:pPr>
        <w:jc w:val="both"/>
      </w:pPr>
      <w:r>
        <w:t xml:space="preserve">Sentiment </w:t>
      </w:r>
      <w:r w:rsidR="005B7FB7">
        <w:t xml:space="preserve">metrics selected for use in this layer were limited to degree of positivity and negativity. Such a selection </w:t>
      </w:r>
      <w:r w:rsidR="005B2FFC">
        <w:t xml:space="preserve">directly </w:t>
      </w:r>
      <w:r w:rsidR="005B7FB7">
        <w:t>addresse</w:t>
      </w:r>
      <w:r w:rsidR="005B2FFC">
        <w:t>s</w:t>
      </w:r>
      <w:r w:rsidR="005B7FB7">
        <w:t xml:space="preserve"> the limitations of adjacent semantics and opposing sentiment</w:t>
      </w:r>
      <w:r w:rsidR="005B2FFC">
        <w:t xml:space="preserve">, in addition to providing means to learn patterns relating to sentiment incongruency, differing presentation of sarcasm in positive and negative contexts which have each been observed to contribute to what makes sarcasm. This work was limited to the evaluation of the effects of dimensional theory centric </w:t>
      </w:r>
      <w:r w:rsidR="004C613D">
        <w:t>embeddings as these parameters were shown to have statistically significant differences in sarcastic text compared to non-sarcastic te</w:t>
      </w:r>
      <w:r w:rsidR="00EE0C16">
        <w:t>xt. The evidence for parameters generated from basic theory data was more limited. Given this observation, the trade off between increasing computational complexity and likelihood of noise against the increased granularity of the data which enhance learning of subtle patterns indicated that the results were not likely to yield favourable results from their inclusion.</w:t>
      </w:r>
      <w:r w:rsidR="00825E4C">
        <w:t xml:space="preserve"> The values previously generated in chapter X were limited to emojis only; </w:t>
      </w:r>
      <w:r w:rsidR="005263F5">
        <w:t>no dataset could be identified which contains predictions for the up-to-date corpus therefore this resource is of significant value for such a task. W</w:t>
      </w:r>
      <w:r w:rsidR="00825E4C">
        <w:t xml:space="preserve">ord values were </w:t>
      </w:r>
      <w:r w:rsidR="00631482">
        <w:t>obtained from the</w:t>
      </w:r>
      <w:r w:rsidR="00825E4C">
        <w:t xml:space="preserve"> SentiWordNet </w:t>
      </w:r>
      <w:r w:rsidR="00631482">
        <w:t>dictionary which provides polar information for</w:t>
      </w:r>
      <w:r w:rsidR="005263F5">
        <w:t xml:space="preserve"> degree of positivity and negativity for a large set of words. </w:t>
      </w:r>
      <w:r w:rsidR="00EE0C16">
        <w:t>The sentiment data was converted to embeddings and scaled to integer values</w:t>
      </w:r>
      <w:r w:rsidR="00825E4C">
        <w:t xml:space="preserve"> </w:t>
      </w:r>
      <w:r w:rsidR="00EE0C16">
        <w:t>for ease of interpretation:</w:t>
      </w:r>
    </w:p>
    <w:p w14:paraId="2030E644" w14:textId="0A5408FD" w:rsidR="00D05693" w:rsidRPr="00825E4C" w:rsidRDefault="00825E4C" w:rsidP="000F6F4A">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50×x</m:t>
                      </m:r>
                    </m:e>
                  </m:d>
                  <m:r>
                    <w:rPr>
                      <w:rFonts w:ascii="Cambria Math" w:hAnsi="Cambria Math"/>
                    </w:rPr>
                    <m:t xml:space="preserve">+1     </m:t>
                  </m:r>
                  <m:r>
                    <m:rPr>
                      <m:sty m:val="p"/>
                    </m:rPr>
                    <w:rPr>
                      <w:rFonts w:ascii="Cambria Math" w:hAnsi="Cambria Math"/>
                    </w:rPr>
                    <m:t>if</m:t>
                  </m:r>
                  <m:r>
                    <w:rPr>
                      <w:rFonts w:ascii="Cambria Math" w:hAnsi="Cambria Math"/>
                    </w:rPr>
                    <m:t xml:space="preserve"> x ≠1</m:t>
                  </m:r>
                </m:e>
                <m:e>
                  <m:r>
                    <w:rPr>
                      <w:rFonts w:ascii="Cambria Math" w:hAnsi="Cambria Math"/>
                    </w:rPr>
                    <m:t xml:space="preserve">50                        </m:t>
                  </m:r>
                  <m:r>
                    <m:rPr>
                      <m:sty m:val="p"/>
                    </m:rPr>
                    <w:rPr>
                      <w:rFonts w:ascii="Cambria Math" w:hAnsi="Cambria Math"/>
                    </w:rPr>
                    <m:t>if</m:t>
                  </m:r>
                  <m:r>
                    <w:rPr>
                      <w:rFonts w:ascii="Cambria Math" w:hAnsi="Cambria Math"/>
                    </w:rPr>
                    <m:t xml:space="preserve"> x =1</m:t>
                  </m:r>
                </m:e>
              </m:eqArr>
            </m:e>
          </m:d>
        </m:oMath>
      </m:oMathPara>
    </w:p>
    <w:p w14:paraId="03091B07" w14:textId="075A661F" w:rsidR="00825E4C" w:rsidRDefault="00825E4C" w:rsidP="000F6F4A">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eastAsiaTheme="minorEastAsia"/>
        </w:rPr>
        <w:t xml:space="preserve"> represent the </w:t>
      </w:r>
      <w:r w:rsidR="00631482">
        <w:rPr>
          <w:rFonts w:eastAsiaTheme="minorEastAsia"/>
        </w:rPr>
        <w:t>positive and negative sentiment intensity of the words respectively</w:t>
      </w:r>
      <w:r w:rsidR="005263F5">
        <w:rPr>
          <w:rFonts w:eastAsiaTheme="minorEastAsia"/>
        </w:rPr>
        <w:t xml:space="preserve"> where large values indicate greater intensity towards the given polarity and the converse for lesser values. Out of vocabulary words were represented by 0, indicating an objective word. Given an input string:</w:t>
      </w:r>
    </w:p>
    <w:p w14:paraId="20021B84" w14:textId="7A4B7927" w:rsidR="005263F5" w:rsidRPr="00D05693" w:rsidRDefault="00FE37D5" w:rsidP="000F6F4A">
      <w:pPr>
        <w:jc w:val="both"/>
      </w:pPr>
      <m:oMathPara>
        <m:oMath>
          <m:r>
            <w:rPr>
              <w:rFonts w:ascii="Cambria Math" w:hAnsi="Cambria Math"/>
            </w:rPr>
            <m:t>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02AE976A" w14:textId="77C2075E" w:rsidR="005E07CC" w:rsidRDefault="005E07CC" w:rsidP="00C9575B">
      <w:pPr>
        <w:jc w:val="both"/>
        <w:rPr>
          <w:b/>
          <w:bCs/>
        </w:rPr>
      </w:pPr>
      <w:r>
        <w:t>Sentiment embeddings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p</m:t>
            </m:r>
          </m:sup>
        </m:sSubSup>
      </m:oMath>
      <w:r>
        <w:rPr>
          <w:rFonts w:eastAsiaTheme="minorEastAsia"/>
        </w:rPr>
        <w:t>,</w:t>
      </w:r>
      <w:r w:rsidRPr="005E07CC">
        <w:rPr>
          <w:rFonts w:ascii="Cambria Math" w:eastAsiaTheme="minorEastAsia" w:hAnsi="Cambria Math"/>
          <w:i/>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n</m:t>
            </m:r>
          </m:sup>
        </m:sSubSup>
      </m:oMath>
      <w:r>
        <w:t xml:space="preserve">) containing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eastAsiaTheme="minorEastAsia"/>
        </w:rPr>
        <w:t xml:space="preserve"> respectively can be constructed for string</w:t>
      </w:r>
      <w:r w:rsidR="00FE37D5">
        <w:rPr>
          <w:rFonts w:eastAsiaTheme="minorEastAsia"/>
        </w:rPr>
        <w:t xml:space="preserve"> </w:t>
      </w:r>
      <w:r w:rsidR="00FE37D5">
        <w:rPr>
          <w:rFonts w:eastAsiaTheme="minorEastAsia"/>
          <w:i/>
          <w:iCs/>
        </w:rPr>
        <w:t>t</w:t>
      </w:r>
      <w:r>
        <w:rPr>
          <w:rFonts w:eastAsiaTheme="minorEastAsia"/>
        </w:rPr>
        <w:t>:</w:t>
      </w:r>
    </w:p>
    <w:p w14:paraId="6B798777" w14:textId="41A8E68A" w:rsidR="005E07CC" w:rsidRPr="005E07CC" w:rsidRDefault="00FE37D5" w:rsidP="005E07CC">
      <w:pPr>
        <w:jc w:val="center"/>
        <w:rPr>
          <w:rFonts w:eastAsiaTheme="minorEastAsia"/>
        </w:rPr>
      </w:pPr>
      <m:oMathPara>
        <m:oMath>
          <m:r>
            <w:rPr>
              <w:rFonts w:ascii="Cambria Math" w:hAnsi="Cambria Math"/>
            </w:rPr>
            <m:t>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p</m:t>
                      </m:r>
                    </m:sup>
                  </m:sSubSup>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p</m:t>
                          </m:r>
                        </m:sup>
                      </m:sSubSup>
                    </m:e>
                  </m:d>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n</m:t>
                      </m:r>
                    </m:sup>
                  </m:sSubSup>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e>
                  </m:d>
                </m:e>
              </m:eqArr>
            </m:e>
          </m:d>
        </m:oMath>
      </m:oMathPara>
    </w:p>
    <w:p w14:paraId="09A27A63" w14:textId="5D614905" w:rsidR="005E07CC" w:rsidRDefault="005E07CC" w:rsidP="005E07CC">
      <w:pPr>
        <w:jc w:val="both"/>
        <w:rPr>
          <w:rFonts w:eastAsiaTheme="minorEastAsia"/>
        </w:rPr>
      </w:pPr>
      <w:r>
        <w:rPr>
          <w:rFonts w:eastAsiaTheme="minorEastAsia"/>
        </w:rPr>
        <w:t xml:space="preserve">The embeddings are introduced into the attention layer of the optimised GRU model </w:t>
      </w:r>
      <w:r w:rsidR="002745B3">
        <w:rPr>
          <w:rFonts w:eastAsiaTheme="minorEastAsia"/>
        </w:rPr>
        <w:t>and the weighted contribution of the sentiment of each word is determined via a matrix multiplication between the sentiment values and the weight matrix</w:t>
      </w:r>
      <w:r w:rsidR="000A2E4A">
        <w:rPr>
          <w:rFonts w:eastAsiaTheme="minorEastAsia"/>
        </w:rPr>
        <w:t>:</w:t>
      </w:r>
    </w:p>
    <w:p w14:paraId="532C593E" w14:textId="4B71D04F" w:rsidR="00C74C71" w:rsidRPr="00C74C71" w:rsidRDefault="000A2E4A"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mr>
                    </m:m>
                  </m:e>
                </m:mr>
                <m:mr>
                  <m:e>
                    <m:r>
                      <w:rPr>
                        <w:rFonts w:ascii="Cambria Math" w:eastAsiaTheme="minorEastAsia" w:hAnsi="Cambria Math"/>
                      </w:rPr>
                      <m:t>→</m:t>
                    </m: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AE+BG</m:t>
                    </m:r>
                  </m:e>
                  <m:e>
                    <m:r>
                      <w:rPr>
                        <w:rFonts w:ascii="Cambria Math" w:eastAsiaTheme="minorEastAsia" w:hAnsi="Cambria Math"/>
                      </w:rPr>
                      <m:t>AF+BH</m:t>
                    </m:r>
                  </m:e>
                </m:mr>
                <m:mr>
                  <m:e>
                    <m:r>
                      <w:rPr>
                        <w:rFonts w:ascii="Cambria Math" w:eastAsiaTheme="minorEastAsia" w:hAnsi="Cambria Math"/>
                      </w:rPr>
                      <m:t>CE+DG</m:t>
                    </m:r>
                  </m:e>
                  <m:e>
                    <m:r>
                      <w:rPr>
                        <w:rFonts w:ascii="Cambria Math" w:eastAsiaTheme="minorEastAsia" w:hAnsi="Cambria Math"/>
                      </w:rPr>
                      <m:t>CF+DH</m:t>
                    </m:r>
                  </m:e>
                </m:mr>
              </m:m>
            </m:e>
          </m:d>
        </m:oMath>
      </m:oMathPara>
    </w:p>
    <w:p w14:paraId="04360501" w14:textId="387382C7" w:rsidR="002745B3" w:rsidRDefault="000A2E4A" w:rsidP="005E07CC">
      <w:pPr>
        <w:jc w:val="both"/>
        <w:rPr>
          <w:rFonts w:eastAsiaTheme="minorEastAsia"/>
        </w:rPr>
      </w:pPr>
      <w:r>
        <w:rPr>
          <w:rFonts w:eastAsiaTheme="minorEastAsia"/>
        </w:rPr>
        <w:t>W</w:t>
      </w:r>
      <w:r>
        <w:rPr>
          <w:rFonts w:eastAsiaTheme="minorEastAsia"/>
        </w:rPr>
        <w:t>hich is subsequently adjusted by a bias term:</w:t>
      </w:r>
    </w:p>
    <w:p w14:paraId="672453C1" w14:textId="56D5B706" w:rsidR="000A2E4A" w:rsidRPr="000A2E4A" w:rsidRDefault="000A2E4A" w:rsidP="005E07CC">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x</m:t>
              </m:r>
            </m:sub>
            <m:sup>
              <m:r>
                <w:rPr>
                  <w:rFonts w:ascii="Cambria Math" w:eastAsiaTheme="minorEastAsia" w:hAnsi="Cambria Math"/>
                </w:rPr>
                <m:t>c</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m:oMathPara>
    </w:p>
    <w:p w14:paraId="3DDD5837" w14:textId="2E397079" w:rsidR="000A2E4A" w:rsidRDefault="000A2E4A" w:rsidP="005E07CC">
      <w:pPr>
        <w:jc w:val="both"/>
        <w:rPr>
          <w:rFonts w:eastAsiaTheme="minorEastAsia"/>
        </w:rPr>
      </w:pPr>
      <w:r>
        <w:rPr>
          <w:rFonts w:eastAsiaTheme="minorEastAsia"/>
        </w:rPr>
        <w:t>Where:</w:t>
      </w:r>
    </w:p>
    <w:p w14:paraId="4CC03919" w14:textId="29B00272" w:rsidR="000A2E4A" w:rsidRPr="000A2E4A" w:rsidRDefault="00FE37D5" w:rsidP="005E07CC">
      <w:pPr>
        <w:jc w:val="both"/>
        <w:rPr>
          <w:rFonts w:eastAsiaTheme="minorEastAsia"/>
        </w:rPr>
      </w:pPr>
      <m:oMathPara>
        <m:oMath>
          <m:r>
            <w:rPr>
              <w:rFonts w:ascii="Cambria Math" w:eastAsiaTheme="minorEastAsia" w:hAnsi="Cambria Math"/>
            </w:rPr>
            <m:t>x</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o,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m:oMathPara>
    </w:p>
    <w:p w14:paraId="1B380635" w14:textId="14483CB2" w:rsidR="008F7AF8" w:rsidRDefault="000A2E4A" w:rsidP="005E07CC">
      <w:pPr>
        <w:jc w:val="both"/>
        <w:rPr>
          <w:rFonts w:eastAsiaTheme="minorEastAsia"/>
        </w:rPr>
      </w:pPr>
      <w:r>
        <w:rPr>
          <w:rFonts w:eastAsiaTheme="minorEastAsia"/>
        </w:rPr>
        <w:lastRenderedPageBreak/>
        <w:t xml:space="preserve">Where </w:t>
      </w:r>
      <w:r w:rsidRPr="000A2E4A">
        <w:rPr>
          <w:rFonts w:eastAsiaTheme="minorEastAsia"/>
          <w:i/>
          <w:iCs/>
        </w:rPr>
        <w:t>o</w:t>
      </w:r>
      <w:r>
        <w:rPr>
          <w:rFonts w:eastAsiaTheme="minorEastAsia"/>
        </w:rPr>
        <w:t xml:space="preserve"> represents the output of the GRU layer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represent positive and negative sentiment intensity embeddings respectively. </w:t>
      </w:r>
      <w:r w:rsidR="001D17F8">
        <w:rPr>
          <w:rFonts w:eastAsiaTheme="minorEastAsia"/>
        </w:rPr>
        <w:t xml:space="preserve">Each respective transformation is calculated using independent weight and bias to enable varying importance to be assigned to each data type, providing a more flexible framework for optimisation during model training. The summation of these weights </w:t>
      </w:r>
      <w:r w:rsidR="006115B5">
        <w:rPr>
          <w:rFonts w:eastAsiaTheme="minorEastAsia"/>
        </w:rPr>
        <w:t xml:space="preserve">is </w:t>
      </w:r>
      <w:r w:rsidR="008F7AF8">
        <w:rPr>
          <w:rFonts w:eastAsiaTheme="minorEastAsia"/>
        </w:rPr>
        <w:t>obtained,</w:t>
      </w:r>
      <w:r w:rsidR="006115B5">
        <w:rPr>
          <w:rFonts w:eastAsiaTheme="minorEastAsia"/>
        </w:rPr>
        <w:t xml:space="preserve"> and </w:t>
      </w:r>
      <w:r w:rsidR="008F7AF8">
        <w:rPr>
          <w:rFonts w:eastAsiaTheme="minorEastAsia"/>
        </w:rPr>
        <w:t>a hyperbolic tangent function is applied:</w:t>
      </w:r>
    </w:p>
    <w:p w14:paraId="0D081810" w14:textId="7B008321" w:rsidR="000A2E4A" w:rsidRPr="006A225A" w:rsidRDefault="000A2B45" w:rsidP="008F7AF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tanh⁡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sn</m:t>
                  </m:r>
                </m:sub>
              </m:sSub>
            </m:e>
          </m:d>
        </m:oMath>
      </m:oMathPara>
    </w:p>
    <w:p w14:paraId="38D2AD7B" w14:textId="19CE3AF4" w:rsidR="006A225A" w:rsidRDefault="006A225A" w:rsidP="006A225A">
      <w:pPr>
        <w:rPr>
          <w:rFonts w:eastAsiaTheme="minorEastAsia"/>
        </w:rPr>
      </w:pPr>
      <w:r>
        <w:rPr>
          <w:rFonts w:eastAsiaTheme="minorEastAsia"/>
        </w:rPr>
        <w:t>Where:</w:t>
      </w:r>
    </w:p>
    <w:p w14:paraId="1556B3E0" w14:textId="721835F8" w:rsidR="006A225A" w:rsidRPr="008F7AF8" w:rsidRDefault="006A225A" w:rsidP="006A225A">
      <w:pPr>
        <w:rPr>
          <w:rFonts w:eastAsiaTheme="minorEastAsia"/>
        </w:rPr>
      </w:pPr>
      <m:oMathPara>
        <m:oMath>
          <m:r>
            <w:rPr>
              <w:rFonts w:ascii="Cambria Math" w:eastAsiaTheme="minorEastAsia" w:hAnsi="Cambria Math"/>
            </w:rPr>
            <m:t>tanh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sinh</m:t>
                  </m:r>
                </m:fName>
                <m:e>
                  <m:d>
                    <m:dPr>
                      <m:ctrlPr>
                        <w:rPr>
                          <w:rFonts w:ascii="Cambria Math" w:eastAsiaTheme="minorEastAsia" w:hAnsi="Cambria Math"/>
                          <w:i/>
                        </w:rPr>
                      </m:ctrlPr>
                    </m:dPr>
                    <m:e>
                      <m:r>
                        <w:rPr>
                          <w:rFonts w:ascii="Cambria Math" w:eastAsiaTheme="minorEastAsia" w:hAnsi="Cambria Math"/>
                        </w:rPr>
                        <m:t>z</m:t>
                      </m:r>
                    </m:e>
                  </m:d>
                </m:e>
              </m:func>
            </m:num>
            <m:den>
              <m:func>
                <m:funcPr>
                  <m:ctrlPr>
                    <w:rPr>
                      <w:rFonts w:ascii="Cambria Math" w:eastAsiaTheme="minorEastAsia" w:hAnsi="Cambria Math"/>
                      <w:i/>
                    </w:rPr>
                  </m:ctrlPr>
                </m:funcPr>
                <m:fName>
                  <m:r>
                    <m:rPr>
                      <m:sty m:val="p"/>
                    </m:rPr>
                    <w:rPr>
                      <w:rFonts w:ascii="Cambria Math" w:hAnsi="Cambria Math"/>
                    </w:rPr>
                    <m:t>cosh</m:t>
                  </m:r>
                </m:fName>
                <m:e>
                  <m:d>
                    <m:dPr>
                      <m:ctrlPr>
                        <w:rPr>
                          <w:rFonts w:ascii="Cambria Math" w:eastAsiaTheme="minorEastAsia" w:hAnsi="Cambria Math"/>
                          <w:i/>
                        </w:rPr>
                      </m:ctrlPr>
                    </m:dPr>
                    <m:e>
                      <m:r>
                        <w:rPr>
                          <w:rFonts w:ascii="Cambria Math" w:eastAsiaTheme="minorEastAsia" w:hAnsi="Cambria Math"/>
                        </w:rPr>
                        <m:t>z</m:t>
                      </m:r>
                    </m:e>
                  </m:d>
                </m:e>
              </m:func>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z</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z</m:t>
                  </m:r>
                </m:sup>
              </m:sSup>
            </m:den>
          </m:f>
        </m:oMath>
      </m:oMathPara>
    </w:p>
    <w:p w14:paraId="7C06885F" w14:textId="4FFCB85E" w:rsidR="008F7AF8" w:rsidRDefault="008F7AF8" w:rsidP="008F7AF8">
      <w:pPr>
        <w:jc w:val="both"/>
        <w:rPr>
          <w:rFonts w:eastAsiaTheme="minorEastAsia"/>
        </w:rPr>
      </w:pPr>
      <w:r>
        <w:rPr>
          <w:rFonts w:eastAsiaTheme="minorEastAsia"/>
        </w:rPr>
        <w:t>This introduces non-linearity to the model, increasing its capacity to learn complex patterns which cannot be entirely represented by linear relationships. Without the use of an activation</w:t>
      </w:r>
      <w:r w:rsidR="00D52B2E">
        <w:rPr>
          <w:rFonts w:eastAsiaTheme="minorEastAsia"/>
        </w:rPr>
        <w:t xml:space="preserve"> </w:t>
      </w:r>
      <w:r w:rsidR="00D52B2E">
        <w:rPr>
          <w:rFonts w:eastAsiaTheme="minorEastAsia"/>
          <w:i/>
          <w:iCs/>
        </w:rPr>
        <w:t>n</w:t>
      </w:r>
      <w:r w:rsidR="00D52B2E">
        <w:rPr>
          <w:rFonts w:eastAsiaTheme="minorEastAsia"/>
        </w:rPr>
        <w:t xml:space="preserve"> layers</w:t>
      </w:r>
      <w:r>
        <w:rPr>
          <w:rFonts w:eastAsiaTheme="minorEastAsia"/>
        </w:rPr>
        <w:t xml:space="preserve"> </w:t>
      </w:r>
      <w:r w:rsidR="00D52B2E">
        <w:rPr>
          <w:rFonts w:eastAsiaTheme="minorEastAsia"/>
        </w:rPr>
        <w:t>in a model</w:t>
      </w:r>
      <w:r>
        <w:rPr>
          <w:rFonts w:eastAsiaTheme="minorEastAsia"/>
        </w:rPr>
        <w:t xml:space="preserve"> can be reduced to a single linear layer,</w:t>
      </w:r>
      <w:r w:rsidR="00D52B2E">
        <w:rPr>
          <w:rFonts w:eastAsiaTheme="minorEastAsia"/>
        </w:rPr>
        <w:t xml:space="preserve"> which mirrors linear regression thus is only capable of learning linear functions within the feature space.</w:t>
      </w:r>
    </w:p>
    <w:p w14:paraId="0423CCB1" w14:textId="2AB0A93D" w:rsidR="00D52B2E" w:rsidRDefault="00D52B2E" w:rsidP="008F7AF8">
      <w:pPr>
        <w:jc w:val="both"/>
        <w:rPr>
          <w:rFonts w:eastAsiaTheme="minorEastAsia"/>
        </w:rPr>
      </w:pPr>
      <w:r>
        <w:rPr>
          <w:rFonts w:eastAsiaTheme="minorEastAsia"/>
        </w:rPr>
        <w:t>Given a definition of linear regression as follows:</w:t>
      </w:r>
    </w:p>
    <w:p w14:paraId="3E182A18" w14:textId="32F26FBA" w:rsidR="00D52B2E" w:rsidRPr="00D52B2E" w:rsidRDefault="00D52B2E" w:rsidP="008F7AF8">
      <w:pPr>
        <w:jc w:val="both"/>
        <w:rPr>
          <w:rFonts w:eastAsiaTheme="minorEastAsia"/>
        </w:rPr>
      </w:pPr>
      <m:oMathPara>
        <m:oMath>
          <m:r>
            <w:rPr>
              <w:rFonts w:ascii="Cambria Math" w:eastAsiaTheme="minorEastAsia" w:hAnsi="Cambria Math"/>
            </w:rPr>
            <m:t>y=mx+c</m:t>
          </m:r>
        </m:oMath>
      </m:oMathPara>
    </w:p>
    <w:p w14:paraId="2D639DA1" w14:textId="78322962" w:rsidR="00D52B2E" w:rsidRDefault="00D52B2E" w:rsidP="008F7AF8">
      <w:pPr>
        <w:jc w:val="both"/>
        <w:rPr>
          <w:rFonts w:eastAsiaTheme="minorEastAsia"/>
        </w:rPr>
      </w:pPr>
      <w:r>
        <w:rPr>
          <w:rFonts w:eastAsiaTheme="minorEastAsia"/>
        </w:rPr>
        <w:t>Two linear layers can be reduced to a single linear layer as follows:</w:t>
      </w:r>
    </w:p>
    <w:p w14:paraId="381767BA" w14:textId="433DC5BF" w:rsidR="008F7AF8" w:rsidRPr="00D52B2E" w:rsidRDefault="008F7AF8" w:rsidP="008F7AF8">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=xW'+b'</m:t>
          </m:r>
        </m:oMath>
      </m:oMathPara>
    </w:p>
    <w:p w14:paraId="579AFBDA" w14:textId="1930F8BF" w:rsidR="005E07CC" w:rsidRDefault="00D52B2E" w:rsidP="005E07CC">
      <w:pPr>
        <w:jc w:val="both"/>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Such a definition can be extended to </w:t>
      </w:r>
      <w:r>
        <w:rPr>
          <w:rFonts w:eastAsiaTheme="minorEastAsia"/>
          <w:i/>
          <w:iCs/>
        </w:rPr>
        <w:t>n</w:t>
      </w:r>
      <w:r>
        <w:rPr>
          <w:rFonts w:eastAsiaTheme="minorEastAsia"/>
        </w:rPr>
        <w:t xml:space="preserve"> layers by induction.</w:t>
      </w:r>
      <w:r w:rsidR="006D2261">
        <w:rPr>
          <w:rFonts w:eastAsiaTheme="minorEastAsia"/>
        </w:rPr>
        <w:t xml:space="preserve"> The hyperbolic tangent activation specifically was selected for the introduction of non-linearity due to its mapping of values to a range of -1 to 1 which mitigates instability and exploding gradients, which is not achieved by alternatives such as the sigmoid function. The function was additionally widely documented within literature for similar implementations within neural network and attention architectures. </w:t>
      </w:r>
    </w:p>
    <w:p w14:paraId="11495913" w14:textId="3D165B8A" w:rsidR="006D2261" w:rsidRDefault="006D2261" w:rsidP="005E07CC">
      <w:pPr>
        <w:jc w:val="both"/>
        <w:rPr>
          <w:rFonts w:eastAsiaTheme="minorEastAsia"/>
        </w:rPr>
      </w:pPr>
      <w:r>
        <w:rPr>
          <w:rFonts w:eastAsiaTheme="minorEastAsia"/>
        </w:rPr>
        <w:t xml:space="preserve">A softmax function is </w:t>
      </w:r>
      <w:r w:rsidR="000A2B45">
        <w:rPr>
          <w:rFonts w:eastAsiaTheme="minorEastAsia"/>
        </w:rPr>
        <w:t>applied to the output of the tanh function to convert unnormalized attention scores into interpretable probability distributions, which can be added to a total of 1 where greater probability is assigned to higher scores:</w:t>
      </w:r>
    </w:p>
    <w:p w14:paraId="6887D32F" w14:textId="3B6BECE1" w:rsidR="000A2B45" w:rsidRPr="00FE37D5" w:rsidRDefault="00FE37D5"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e>
              </m:nary>
            </m:den>
          </m:f>
        </m:oMath>
      </m:oMathPara>
    </w:p>
    <w:p w14:paraId="4E7A8DB4" w14:textId="3AB52E49" w:rsidR="00FE37D5" w:rsidRDefault="00FE37D5" w:rsidP="005E07CC">
      <w:pPr>
        <w:jc w:val="both"/>
        <w:rPr>
          <w:rFonts w:eastAsiaTheme="minorEastAsia"/>
        </w:rPr>
      </w:pPr>
      <w:r>
        <w:rPr>
          <w:rFonts w:eastAsiaTheme="minorEastAsia"/>
        </w:rPr>
        <w:t xml:space="preserve">Where attention weights,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represent the contribution of each token in the string to the final text representation. Finally, the attention weights are applied to the input word vectors:</w:t>
      </w:r>
    </w:p>
    <w:p w14:paraId="4058298A" w14:textId="1E8DB122" w:rsidR="00FE37D5" w:rsidRPr="005649B2" w:rsidRDefault="00FE37D5"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nary>
        </m:oMath>
      </m:oMathPara>
    </w:p>
    <w:p w14:paraId="45FF2812" w14:textId="76F50E89" w:rsidR="005D3F77" w:rsidRPr="005649B2" w:rsidRDefault="005649B2" w:rsidP="005D3F77">
      <w:pPr>
        <w:jc w:val="both"/>
        <w:rPr>
          <w:rFonts w:eastAsiaTheme="minorEastAsia"/>
        </w:rPr>
      </w:pPr>
      <w:r>
        <w:rPr>
          <w:rFonts w:eastAsiaTheme="minorEastAsia"/>
        </w:rPr>
        <w:t>This approach allows the model to learn the most relevant semantic information from the vectors in addition to considering the sentiment information for its prediction. The use of sentiment determined externally to the model enables the model to learn based off prior knowledge learned from word tokens previously, while also considering the most computationally efficient method to introduce sentiment information.</w:t>
      </w: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33C6"/>
    <w:rsid w:val="0006284D"/>
    <w:rsid w:val="0006287A"/>
    <w:rsid w:val="00072302"/>
    <w:rsid w:val="00075C40"/>
    <w:rsid w:val="0007614D"/>
    <w:rsid w:val="00092582"/>
    <w:rsid w:val="00097E6D"/>
    <w:rsid w:val="000A2B45"/>
    <w:rsid w:val="000A2E4A"/>
    <w:rsid w:val="000C1FE9"/>
    <w:rsid w:val="000E6170"/>
    <w:rsid w:val="000F4DBB"/>
    <w:rsid w:val="000F6F4A"/>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D17F8"/>
    <w:rsid w:val="001E1C72"/>
    <w:rsid w:val="001E3082"/>
    <w:rsid w:val="001F77FA"/>
    <w:rsid w:val="00207F11"/>
    <w:rsid w:val="00210613"/>
    <w:rsid w:val="0021631E"/>
    <w:rsid w:val="002316E3"/>
    <w:rsid w:val="002339E9"/>
    <w:rsid w:val="002404A5"/>
    <w:rsid w:val="00245BC5"/>
    <w:rsid w:val="00246EEA"/>
    <w:rsid w:val="0025412D"/>
    <w:rsid w:val="00260552"/>
    <w:rsid w:val="002745B3"/>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45656"/>
    <w:rsid w:val="00352205"/>
    <w:rsid w:val="00373094"/>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C613D"/>
    <w:rsid w:val="004D298C"/>
    <w:rsid w:val="004E41D3"/>
    <w:rsid w:val="004F393A"/>
    <w:rsid w:val="005035B6"/>
    <w:rsid w:val="00503B0B"/>
    <w:rsid w:val="0050675E"/>
    <w:rsid w:val="005263F5"/>
    <w:rsid w:val="00532FDD"/>
    <w:rsid w:val="005532DD"/>
    <w:rsid w:val="00560E5E"/>
    <w:rsid w:val="005628EB"/>
    <w:rsid w:val="005634D3"/>
    <w:rsid w:val="005649B2"/>
    <w:rsid w:val="00583C9C"/>
    <w:rsid w:val="00594A6F"/>
    <w:rsid w:val="005A229F"/>
    <w:rsid w:val="005A3F49"/>
    <w:rsid w:val="005A415A"/>
    <w:rsid w:val="005B2FFC"/>
    <w:rsid w:val="005B4B2F"/>
    <w:rsid w:val="005B7FB7"/>
    <w:rsid w:val="005C4ACD"/>
    <w:rsid w:val="005C545E"/>
    <w:rsid w:val="005C7873"/>
    <w:rsid w:val="005D3F77"/>
    <w:rsid w:val="005D4F43"/>
    <w:rsid w:val="005E07CC"/>
    <w:rsid w:val="005E1493"/>
    <w:rsid w:val="005E61DD"/>
    <w:rsid w:val="005F10F1"/>
    <w:rsid w:val="006077C5"/>
    <w:rsid w:val="006115B5"/>
    <w:rsid w:val="00612102"/>
    <w:rsid w:val="0061284D"/>
    <w:rsid w:val="00615ADB"/>
    <w:rsid w:val="00631482"/>
    <w:rsid w:val="00632362"/>
    <w:rsid w:val="00632B8A"/>
    <w:rsid w:val="00637DC8"/>
    <w:rsid w:val="0064384A"/>
    <w:rsid w:val="006502D3"/>
    <w:rsid w:val="00666AF4"/>
    <w:rsid w:val="00667408"/>
    <w:rsid w:val="00680567"/>
    <w:rsid w:val="0068253F"/>
    <w:rsid w:val="00685698"/>
    <w:rsid w:val="006914A2"/>
    <w:rsid w:val="006A04F7"/>
    <w:rsid w:val="006A225A"/>
    <w:rsid w:val="006A540E"/>
    <w:rsid w:val="006A7FFC"/>
    <w:rsid w:val="006B2B9B"/>
    <w:rsid w:val="006B3A95"/>
    <w:rsid w:val="006C14B0"/>
    <w:rsid w:val="006C54FB"/>
    <w:rsid w:val="006C7C7D"/>
    <w:rsid w:val="006D1969"/>
    <w:rsid w:val="006D2261"/>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B4A71"/>
    <w:rsid w:val="007D2AE8"/>
    <w:rsid w:val="007E198B"/>
    <w:rsid w:val="007E4D4A"/>
    <w:rsid w:val="0080415E"/>
    <w:rsid w:val="0081078A"/>
    <w:rsid w:val="0081589E"/>
    <w:rsid w:val="00817B0C"/>
    <w:rsid w:val="00825E4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8F7AF8"/>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35CF"/>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2C85"/>
    <w:rsid w:val="00BF478F"/>
    <w:rsid w:val="00C1001F"/>
    <w:rsid w:val="00C1023D"/>
    <w:rsid w:val="00C12CA8"/>
    <w:rsid w:val="00C16631"/>
    <w:rsid w:val="00C420FF"/>
    <w:rsid w:val="00C423E9"/>
    <w:rsid w:val="00C45684"/>
    <w:rsid w:val="00C54AE4"/>
    <w:rsid w:val="00C61ABD"/>
    <w:rsid w:val="00C636FC"/>
    <w:rsid w:val="00C6724C"/>
    <w:rsid w:val="00C7313C"/>
    <w:rsid w:val="00C74C71"/>
    <w:rsid w:val="00C873F8"/>
    <w:rsid w:val="00C9575B"/>
    <w:rsid w:val="00CB094A"/>
    <w:rsid w:val="00CB6EF7"/>
    <w:rsid w:val="00CC6338"/>
    <w:rsid w:val="00CD1EFC"/>
    <w:rsid w:val="00CE0596"/>
    <w:rsid w:val="00CF221B"/>
    <w:rsid w:val="00CF3629"/>
    <w:rsid w:val="00CF5F7C"/>
    <w:rsid w:val="00D05693"/>
    <w:rsid w:val="00D14BD1"/>
    <w:rsid w:val="00D1719E"/>
    <w:rsid w:val="00D2308D"/>
    <w:rsid w:val="00D27F19"/>
    <w:rsid w:val="00D43315"/>
    <w:rsid w:val="00D512AC"/>
    <w:rsid w:val="00D52B2E"/>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2EEB"/>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E0C16"/>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3F44"/>
    <w:rsid w:val="00F979EB"/>
    <w:rsid w:val="00FA3F27"/>
    <w:rsid w:val="00FB0F0A"/>
    <w:rsid w:val="00FB24D1"/>
    <w:rsid w:val="00FC27DD"/>
    <w:rsid w:val="00FC335A"/>
    <w:rsid w:val="00FC3F07"/>
    <w:rsid w:val="00FD678C"/>
    <w:rsid w:val="00FE0152"/>
    <w:rsid w:val="00FE37D5"/>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5133</TotalTime>
  <Pages>10</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18</cp:revision>
  <dcterms:created xsi:type="dcterms:W3CDTF">2023-08-30T18:24:00Z</dcterms:created>
  <dcterms:modified xsi:type="dcterms:W3CDTF">2023-09-11T23:31:00Z</dcterms:modified>
</cp:coreProperties>
</file>