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6" name="Shape 6"/>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-276223</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color w:val="156082"/>
                <w:sz w:val="32"/>
                <w:szCs w:val="32"/>
              </w:rPr>
            </w:pPr>
            <w:r w:rsidDel="00000000" w:rsidR="00000000" w:rsidRPr="00000000">
              <w:rPr>
                <w:i w:val="1"/>
                <w:iCs w:val="1"/>
                <w:color w:val="156082"/>
                <w:sz w:val="32"/>
                <w:szCs w:val="32"/>
                <w:rtl w:val="0"/>
              </w:rPr>
              <w:t xml:space="preserve">Student Full Name</w:t>
            </w:r>
          </w:p>
          <w:p w:rsidR="00000000" w:rsidDel="00000000" w:rsidP="00000000" w:rsidRDefault="00000000" w:rsidRPr="00000000" w14:paraId="00000004">
            <w:pPr>
              <w:spacing w:line="480" w:lineRule="auto"/>
              <w:rPr>
                <w:i w:val="1"/>
                <w:iCs w:val="1"/>
                <w:color w:val="156082"/>
                <w:sz w:val="32"/>
                <w:szCs w:val="32"/>
              </w:rPr>
            </w:pPr>
            <w:r w:rsidDel="00000000" w:rsidR="00000000" w:rsidRPr="00000000">
              <w:rPr>
                <w:i w:val="1"/>
                <w:iCs w:val="1"/>
                <w:color w:val="156082"/>
                <w:sz w:val="32"/>
                <w:szCs w:val="32"/>
                <w:rtl w:val="0"/>
              </w:rPr>
              <w:t xml:space="preserve">Oleksii Taranov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i w:val="1"/>
                <w:iCs w:val="1"/>
                <w:color w:val="156082"/>
                <w:sz w:val="32"/>
                <w:szCs w:val="32"/>
              </w:rPr>
            </w:pPr>
            <w:r w:rsidDel="00000000" w:rsidR="00000000" w:rsidRPr="00000000">
              <w:rPr>
                <w:i w:val="1"/>
                <w:iCs w:val="1"/>
                <w:color w:val="156082"/>
                <w:sz w:val="32"/>
                <w:szCs w:val="32"/>
                <w:rtl w:val="0"/>
              </w:rPr>
              <w:t xml:space="preserve">Student Number</w:t>
            </w:r>
          </w:p>
          <w:p w:rsidR="00000000" w:rsidDel="00000000" w:rsidP="00000000" w:rsidRDefault="00000000" w:rsidRPr="00000000" w14:paraId="00000007">
            <w:pPr>
              <w:spacing w:line="480" w:lineRule="auto"/>
              <w:rPr>
                <w:i w:val="1"/>
                <w:iCs w:val="1"/>
                <w:color w:val="156082"/>
                <w:sz w:val="32"/>
                <w:szCs w:val="32"/>
              </w:rPr>
            </w:pPr>
            <w:r w:rsidDel="00000000" w:rsidR="00000000" w:rsidRPr="00000000">
              <w:rPr>
                <w:i w:val="1"/>
                <w:iCs w:val="1"/>
                <w:color w:val="156082"/>
                <w:sz w:val="32"/>
                <w:szCs w:val="32"/>
                <w:rtl w:val="0"/>
              </w:rPr>
              <w:t xml:space="preserve">Sba26106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p w:rsidR="00000000" w:rsidDel="00000000" w:rsidP="00000000" w:rsidRDefault="00000000" w:rsidRPr="00000000" w14:paraId="0000000A">
            <w:pPr>
              <w:spacing w:line="480" w:lineRule="auto"/>
              <w:rPr>
                <w:i w:val="1"/>
                <w:iCs w:val="1"/>
                <w:color w:val="156082"/>
                <w:sz w:val="32"/>
                <w:szCs w:val="32"/>
              </w:rPr>
            </w:pPr>
            <w:r w:rsidDel="00000000" w:rsidR="00000000" w:rsidRPr="00000000">
              <w:rPr>
                <w:i w:val="1"/>
                <w:iCs w:val="1"/>
                <w:color w:val="156082"/>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p w:rsidR="00000000" w:rsidDel="00000000" w:rsidP="00000000" w:rsidRDefault="00000000" w:rsidRPr="00000000" w14:paraId="0000000D">
            <w:pPr>
              <w:spacing w:line="480" w:lineRule="auto"/>
              <w:rPr>
                <w:i w:val="1"/>
                <w:iCs w:val="1"/>
                <w:color w:val="156082"/>
                <w:sz w:val="32"/>
                <w:szCs w:val="32"/>
              </w:rPr>
            </w:pPr>
            <w:r w:rsidDel="00000000" w:rsidR="00000000" w:rsidRPr="00000000">
              <w:rPr>
                <w:i w:val="1"/>
                <w:iCs w:val="1"/>
                <w:color w:val="156082"/>
                <w:sz w:val="32"/>
                <w:szCs w:val="32"/>
                <w:rtl w:val="0"/>
              </w:rPr>
              <w:t xml:space="preserve">CA-1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w:t>
            </w:r>
          </w:p>
          <w:p w:rsidR="00000000" w:rsidDel="00000000" w:rsidP="00000000" w:rsidRDefault="00000000" w:rsidRPr="00000000" w14:paraId="00000010">
            <w:pPr>
              <w:spacing w:line="480" w:lineRule="auto"/>
              <w:rPr>
                <w:i w:val="1"/>
                <w:iCs w:val="1"/>
                <w:color w:val="156082"/>
                <w:sz w:val="32"/>
                <w:szCs w:val="32"/>
              </w:rPr>
            </w:pPr>
            <w:r w:rsidDel="00000000" w:rsidR="00000000" w:rsidRPr="00000000">
              <w:rPr>
                <w:i w:val="1"/>
                <w:iCs w:val="1"/>
                <w:color w:val="156082"/>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p w:rsidR="00000000" w:rsidDel="00000000" w:rsidP="00000000" w:rsidRDefault="00000000" w:rsidRPr="00000000" w14:paraId="00000013">
            <w:pPr>
              <w:spacing w:line="480" w:lineRule="auto"/>
              <w:rPr>
                <w:i w:val="1"/>
                <w:iCs w:val="1"/>
                <w:color w:val="156082"/>
                <w:sz w:val="32"/>
                <w:szCs w:val="32"/>
              </w:rPr>
            </w:pPr>
            <w:r w:rsidDel="00000000" w:rsidR="00000000" w:rsidRPr="00000000">
              <w:rPr>
                <w:i w:val="1"/>
                <w:iCs w:val="1"/>
                <w:color w:val="156082"/>
                <w:sz w:val="32"/>
                <w:szCs w:val="32"/>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p w:rsidR="00000000" w:rsidDel="00000000" w:rsidP="00000000" w:rsidRDefault="00000000" w:rsidRPr="00000000" w14:paraId="00000016">
            <w:pPr>
              <w:spacing w:line="480" w:lineRule="auto"/>
              <w:rPr>
                <w:i w:val="1"/>
                <w:iCs w:val="1"/>
                <w:color w:val="156082"/>
                <w:sz w:val="32"/>
                <w:szCs w:val="32"/>
              </w:rPr>
            </w:pPr>
            <w:r w:rsidDel="00000000" w:rsidR="00000000" w:rsidRPr="00000000">
              <w:rPr>
                <w:i w:val="1"/>
                <w:iCs w:val="1"/>
                <w:color w:val="156082"/>
                <w:sz w:val="32"/>
                <w:szCs w:val="32"/>
                <w:rtl w:val="0"/>
              </w:rPr>
              <w:t xml:space="preserve">24/10/2026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6"/>
          <w:szCs w:val="36"/>
        </w:rPr>
      </w:pPr>
      <w:r w:rsidDel="00000000" w:rsidR="00000000" w:rsidRPr="00000000">
        <w:rPr>
          <w:rtl w:val="0"/>
        </w:rPr>
      </w:r>
    </w:p>
    <w:tbl>
      <w:tblPr>
        <w:tblStyle w:val="Table2"/>
        <w:tblW w:w="8115.0" w:type="dxa"/>
        <w:jc w:val="left"/>
        <w:tblBorders>
          <w:insideH w:color="000000" w:space="0" w:sz="0" w:val="nil"/>
          <w:insideV w:color="000000" w:space="0" w:sz="0" w:val="nil"/>
        </w:tblBorders>
        <w:tblLayout w:type="fixed"/>
        <w:tblLook w:val="0400"/>
      </w:tblPr>
      <w:tblGrid>
        <w:gridCol w:w="8115"/>
        <w:tblGridChange w:id="0">
          <w:tblGrid>
            <w:gridCol w:w="81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spacing w:line="480" w:lineRule="auto"/>
              <w:rPr>
                <w:i w:val="1"/>
                <w:iCs w:val="1"/>
                <w:color w:val="156082"/>
                <w:sz w:val="32"/>
                <w:szCs w:val="32"/>
              </w:rPr>
            </w:pPr>
            <w:r w:rsidDel="00000000" w:rsidR="00000000" w:rsidRPr="00000000">
              <w:rPr>
                <w:i w:val="1"/>
                <w:iCs w:val="1"/>
                <w:color w:val="156082"/>
                <w:sz w:val="32"/>
                <w:szCs w:val="32"/>
                <w:rtl w:val="0"/>
              </w:rPr>
              <w:t xml:space="preserve">GitHub repository</w:t>
            </w:r>
          </w:p>
          <w:p w:rsidR="00000000" w:rsidDel="00000000" w:rsidP="00000000" w:rsidRDefault="00000000" w:rsidRPr="00000000" w14:paraId="0000001A">
            <w:pPr>
              <w:spacing w:line="480" w:lineRule="auto"/>
              <w:rPr>
                <w:i w:val="1"/>
                <w:iCs w:val="1"/>
                <w:color w:val="156082"/>
                <w:sz w:val="32"/>
                <w:szCs w:val="32"/>
              </w:rPr>
            </w:pPr>
            <w:r w:rsidDel="00000000" w:rsidR="00000000" w:rsidRPr="00000000">
              <w:rPr>
                <w:i w:val="1"/>
                <w:iCs w:val="1"/>
                <w:color w:val="156082"/>
                <w:sz w:val="32"/>
                <w:szCs w:val="32"/>
                <w:rtl w:val="0"/>
              </w:rPr>
              <w:t xml:space="preserve">https://github.com/sba26106-bit/strategic-think-ca1</w:t>
            </w:r>
          </w:p>
        </w:tc>
      </w:tr>
    </w:tbl>
    <w:p w:rsidR="00000000" w:rsidDel="00000000" w:rsidP="00000000" w:rsidRDefault="00000000" w:rsidRPr="00000000" w14:paraId="0000001B">
      <w:pPr>
        <w:rPr>
          <w:b w:val="1"/>
          <w:bCs w:val="1"/>
          <w:color w:val="156082"/>
          <w:sz w:val="32"/>
          <w:szCs w:val="32"/>
        </w:rPr>
      </w:pPr>
      <w:r w:rsidDel="00000000" w:rsidR="00000000" w:rsidRPr="00000000">
        <w:rPr>
          <w:rtl w:val="0"/>
        </w:rPr>
      </w:r>
    </w:p>
    <w:p w:rsidR="00000000" w:rsidDel="00000000" w:rsidP="00000000" w:rsidRDefault="00000000" w:rsidRPr="00000000" w14:paraId="0000001C">
      <w:pPr>
        <w:rPr>
          <w:b w:val="1"/>
          <w:bCs w:val="1"/>
          <w:color w:val="156082"/>
          <w:sz w:val="32"/>
          <w:szCs w:val="32"/>
        </w:rPr>
      </w:pPr>
      <w:r w:rsidDel="00000000" w:rsidR="00000000" w:rsidRPr="00000000">
        <w:rPr>
          <w:rtl w:val="0"/>
        </w:rPr>
      </w:r>
    </w:p>
    <w:p w:rsidR="00000000" w:rsidDel="00000000" w:rsidP="00000000" w:rsidRDefault="00000000" w:rsidRPr="00000000" w14:paraId="0000001D">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E">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Claude, Grammarly, Google Translator</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brainstorming, code debugging, translating text and checking the grammar. </w:t>
      </w:r>
    </w:p>
    <w:p w:rsidR="00000000" w:rsidDel="00000000" w:rsidP="00000000" w:rsidRDefault="00000000" w:rsidRPr="00000000" w14:paraId="0000001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4">
      <w:pPr>
        <w:rPr>
          <w:color w:val="3a3a3a"/>
          <w:sz w:val="40"/>
          <w:szCs w:val="40"/>
        </w:rPr>
      </w:pPr>
      <w:r w:rsidDel="00000000" w:rsidR="00000000" w:rsidRPr="00000000">
        <w:rPr>
          <w:color w:val="3a3a3a"/>
          <w:sz w:val="40"/>
          <w:szCs w:val="40"/>
          <w:rtl w:val="0"/>
        </w:rPr>
        <w:t xml:space="preserve">Abstract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27">
      <w:pPr>
        <w:rPr>
          <w:color w:val="ff0000"/>
        </w:rPr>
      </w:pPr>
      <w:r w:rsidDel="00000000" w:rsidR="00000000" w:rsidRPr="00000000">
        <w:rPr>
          <w:rtl w:val="0"/>
        </w:rPr>
      </w:r>
    </w:p>
    <w:p w:rsidR="00000000" w:rsidDel="00000000" w:rsidP="00000000" w:rsidRDefault="00000000" w:rsidRPr="00000000" w14:paraId="00000028">
      <w:pPr>
        <w:rPr>
          <w:color w:val="ff0000"/>
        </w:rPr>
      </w:pPr>
      <w:r w:rsidDel="00000000" w:rsidR="00000000" w:rsidRPr="00000000">
        <w:rPr>
          <w:rtl w:val="0"/>
        </w:rPr>
      </w:r>
    </w:p>
    <w:p w:rsidR="00000000" w:rsidDel="00000000" w:rsidP="00000000" w:rsidRDefault="00000000" w:rsidRPr="00000000" w14:paraId="00000029">
      <w:pPr>
        <w:rPr>
          <w:color w:val="ff0000"/>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keepNext w:val="1"/>
        <w:keepLines w:val="1"/>
        <w:pBdr>
          <w:top w:space="0" w:sz="0" w:val="nil"/>
          <w:left w:space="0" w:sz="0" w:val="nil"/>
          <w:bottom w:space="0" w:sz="0" w:val="nil"/>
          <w:right w:space="0" w:sz="0" w:val="nil"/>
          <w:between w:space="0" w:sz="0" w:val="nil"/>
        </w:pBdr>
        <w:spacing w:after="0" w:before="240" w:line="240" w:lineRule="auto"/>
        <w:rPr>
          <w:color w:val="0f4761"/>
          <w:sz w:val="32"/>
          <w:szCs w:val="32"/>
        </w:rPr>
      </w:pPr>
      <w:r w:rsidDel="00000000" w:rsidR="00000000" w:rsidRPr="00000000">
        <w:rPr>
          <w:color w:val="0f4761"/>
          <w:sz w:val="32"/>
          <w:szCs w:val="32"/>
          <w:rtl w:val="0"/>
        </w:rPr>
        <w:t xml:space="preserve">Contents</w:t>
      </w:r>
    </w:p>
    <w:sdt>
      <w:sdtPr>
        <w:id w:val="-82204959"/>
        <w:docPartObj>
          <w:docPartGallery w:val="Table of Contents"/>
          <w:docPartUnique w:val="1"/>
        </w:docPartObj>
      </w:sdtPr>
      <w:sdtContent>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3uk6h3twobx0">
            <w:r w:rsidDel="00000000" w:rsidR="00000000" w:rsidRPr="00000000">
              <w:rPr>
                <w:color w:val="000000"/>
                <w:rtl w:val="0"/>
              </w:rPr>
              <w:tab/>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rtl w:val="0"/>
            </w:rPr>
            <w:t xml:space="preserve">1. Project Title</w:t>
          </w:r>
          <w:hyperlink w:anchor="_12kf3auyzmdt">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2. Introduction</w:t>
          </w:r>
          <w:hyperlink w:anchor="_gafuvo4q39l9">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3. Problem Definition</w:t>
          </w:r>
          <w:hyperlink w:anchor="_22vj10f8hr3m">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color w:val="000000"/>
              <w:rtl w:val="0"/>
            </w:rPr>
            <w:t xml:space="preserve">4. Aim and Objectives</w:t>
          </w:r>
          <w:hyperlink w:anchor="_eplrrph1lx3f">
            <w:r w:rsidDel="00000000" w:rsidR="00000000" w:rsidRPr="00000000">
              <w:rPr>
                <w:color w:val="000000"/>
                <w:rtl w:val="0"/>
              </w:rPr>
              <w:tab/>
              <w:t xml:space="preserve">2</w:t>
            </w:r>
          </w:hyperlink>
          <w:r w:rsidDel="00000000" w:rsidR="00000000" w:rsidRPr="00000000">
            <w:rPr>
              <w:rtl w:val="0"/>
            </w:rPr>
          </w:r>
        </w:p>
        <w:p w:rsidR="00000000" w:rsidDel="00000000" w:rsidP="00000000" w:rsidRDefault="00000000" w:rsidRPr="00000000" w14:paraId="00000046">
          <w:pPr>
            <w:tabs>
              <w:tab w:val="right" w:leader="none" w:pos="9016"/>
            </w:tabs>
            <w:spacing w:after="100" w:lineRule="auto"/>
            <w:rPr>
              <w:rFonts w:ascii="Aptos" w:cs="Aptos" w:eastAsia="Aptos" w:hAnsi="Aptos"/>
              <w:sz w:val="24"/>
              <w:szCs w:val="24"/>
            </w:rPr>
          </w:pPr>
          <w:r w:rsidDel="00000000" w:rsidR="00000000" w:rsidRPr="00000000">
            <w:rPr>
              <w:rtl w:val="0"/>
            </w:rPr>
            <w:t xml:space="preserve">5. Scope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7">
          <w:pPr>
            <w:tabs>
              <w:tab w:val="right" w:leader="none" w:pos="9016"/>
            </w:tabs>
            <w:spacing w:after="100" w:lineRule="auto"/>
            <w:rPr>
              <w:rFonts w:ascii="Aptos" w:cs="Aptos" w:eastAsia="Aptos" w:hAnsi="Aptos"/>
              <w:sz w:val="24"/>
              <w:szCs w:val="24"/>
            </w:rPr>
          </w:pPr>
          <w:r w:rsidDel="00000000" w:rsidR="00000000" w:rsidRPr="00000000">
            <w:rPr>
              <w:rtl w:val="0"/>
            </w:rPr>
            <w:t xml:space="preserve">6. Methodology</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8">
          <w:pPr>
            <w:tabs>
              <w:tab w:val="right" w:leader="none" w:pos="9016"/>
            </w:tabs>
            <w:spacing w:after="100" w:lineRule="auto"/>
            <w:rPr>
              <w:rFonts w:ascii="Aptos" w:cs="Aptos" w:eastAsia="Aptos" w:hAnsi="Aptos"/>
              <w:sz w:val="24"/>
              <w:szCs w:val="24"/>
            </w:rPr>
          </w:pPr>
          <w:r w:rsidDel="00000000" w:rsidR="00000000" w:rsidRPr="00000000">
            <w:rPr>
              <w:rtl w:val="0"/>
            </w:rPr>
            <w:t xml:space="preserve">7. Data Sources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9">
          <w:pPr>
            <w:tabs>
              <w:tab w:val="right" w:leader="none" w:pos="9016"/>
            </w:tabs>
            <w:spacing w:after="100" w:lineRule="auto"/>
            <w:rPr>
              <w:rFonts w:ascii="Aptos" w:cs="Aptos" w:eastAsia="Aptos" w:hAnsi="Aptos"/>
              <w:sz w:val="24"/>
              <w:szCs w:val="24"/>
            </w:rPr>
          </w:pPr>
          <w:r w:rsidDel="00000000" w:rsidR="00000000" w:rsidRPr="00000000">
            <w:rPr>
              <w:rtl w:val="0"/>
            </w:rPr>
            <w:t xml:space="preserve">8. Expected Deliverables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A">
          <w:pPr>
            <w:tabs>
              <w:tab w:val="right" w:leader="none" w:pos="9016"/>
            </w:tabs>
            <w:spacing w:after="100" w:lineRule="auto"/>
            <w:rPr>
              <w:rFonts w:ascii="Aptos" w:cs="Aptos" w:eastAsia="Aptos" w:hAnsi="Aptos"/>
              <w:sz w:val="24"/>
              <w:szCs w:val="24"/>
            </w:rPr>
          </w:pPr>
          <w:r w:rsidDel="00000000" w:rsidR="00000000" w:rsidRPr="00000000">
            <w:rPr>
              <w:rtl w:val="0"/>
            </w:rPr>
            <w:t xml:space="preserve">9. Project Timeline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B">
          <w:pPr>
            <w:tabs>
              <w:tab w:val="right" w:leader="none" w:pos="9016"/>
            </w:tabs>
            <w:spacing w:after="100" w:lineRule="auto"/>
            <w:rPr>
              <w:rFonts w:ascii="Aptos" w:cs="Aptos" w:eastAsia="Aptos" w:hAnsi="Aptos"/>
              <w:sz w:val="24"/>
              <w:szCs w:val="24"/>
            </w:rPr>
          </w:pPr>
          <w:r w:rsidDel="00000000" w:rsidR="00000000" w:rsidRPr="00000000">
            <w:rPr>
              <w:rtl w:val="0"/>
            </w:rPr>
            <w:t xml:space="preserve">10. Ethical and Legal Considerations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C">
          <w:pPr>
            <w:tabs>
              <w:tab w:val="right" w:leader="none" w:pos="9016"/>
            </w:tabs>
            <w:spacing w:after="100" w:lineRule="auto"/>
            <w:rPr>
              <w:rFonts w:ascii="Aptos" w:cs="Aptos" w:eastAsia="Aptos" w:hAnsi="Aptos"/>
              <w:sz w:val="24"/>
              <w:szCs w:val="24"/>
            </w:rPr>
          </w:pPr>
          <w:r w:rsidDel="00000000" w:rsidR="00000000" w:rsidRPr="00000000">
            <w:rPr>
              <w:rtl w:val="0"/>
            </w:rPr>
            <w:t xml:space="preserve">References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D">
          <w:pPr>
            <w:tabs>
              <w:tab w:val="right" w:leader="none" w:pos="9016"/>
            </w:tabs>
            <w:spacing w:after="10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color w:val="ff0000"/>
        </w:rPr>
      </w:pPr>
      <w:r w:rsidDel="00000000" w:rsidR="00000000" w:rsidRPr="00000000">
        <w:rPr>
          <w:color w:val="ff0000"/>
          <w:rtl w:val="0"/>
        </w:rPr>
        <w:t xml:space="preserve">[NOTE: The table of contents above has been included for your convenience. To refresh the table, simply click on it, then select 'Update Table' using the mouse. You can choose to update either the page numbers exclusively or the entire table as needed.] </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sectPr>
          <w:footerReference r:id="rId8"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3">
      <w:pPr>
        <w:pStyle w:val="Heading1"/>
        <w:numPr>
          <w:ilvl w:val="0"/>
          <w:numId w:val="4"/>
        </w:numPr>
        <w:ind w:left="720" w:hanging="360"/>
        <w:rPr>
          <w:u w:val="none"/>
        </w:rPr>
      </w:pPr>
      <w:bookmarkStart w:colFirst="0" w:colLast="0" w:name="_vwu6d9z7qgiz" w:id="0"/>
      <w:bookmarkEnd w:id="0"/>
      <w:r w:rsidDel="00000000" w:rsidR="00000000" w:rsidRPr="00000000">
        <w:rPr>
          <w:rtl w:val="0"/>
        </w:rPr>
        <w:t xml:space="preserve">Project Title</w:t>
      </w:r>
    </w:p>
    <w:p w:rsidR="00000000" w:rsidDel="00000000" w:rsidP="00000000" w:rsidRDefault="00000000" w:rsidRPr="00000000" w14:paraId="00000054">
      <w:pPr>
        <w:rPr/>
      </w:pPr>
      <w:r w:rsidDel="00000000" w:rsidR="00000000" w:rsidRPr="00000000">
        <w:rPr>
          <w:rtl w:val="0"/>
        </w:rPr>
        <w:t xml:space="preserve">Predicting the Orbital Lifetime of Defunct Satellites and Rocket Bodies in Low Earth Orbit to Help Operators Comply with the Five-Year Disposal Rule.</w:t>
      </w:r>
    </w:p>
    <w:p w:rsidR="00000000" w:rsidDel="00000000" w:rsidP="00000000" w:rsidRDefault="00000000" w:rsidRPr="00000000" w14:paraId="00000055">
      <w:pPr>
        <w:pStyle w:val="Heading1"/>
        <w:numPr>
          <w:ilvl w:val="0"/>
          <w:numId w:val="4"/>
        </w:numPr>
        <w:ind w:left="720" w:hanging="360"/>
        <w:rPr/>
      </w:pPr>
      <w:bookmarkStart w:colFirst="0" w:colLast="0" w:name="_pmj6xdlaws90" w:id="1"/>
      <w:bookmarkEnd w:id="1"/>
      <w:r w:rsidDel="00000000" w:rsidR="00000000" w:rsidRPr="00000000">
        <w:rPr>
          <w:rtl w:val="0"/>
        </w:rPr>
        <w:t xml:space="preserve">Introduction</w:t>
      </w:r>
    </w:p>
    <w:p w:rsidR="00000000" w:rsidDel="00000000" w:rsidP="00000000" w:rsidRDefault="00000000" w:rsidRPr="00000000" w14:paraId="00000056">
      <w:pPr>
        <w:rPr/>
      </w:pPr>
      <w:r w:rsidDel="00000000" w:rsidR="00000000" w:rsidRPr="00000000">
        <w:rPr>
          <w:rtl w:val="0"/>
        </w:rPr>
        <w:t xml:space="preserve">Low Earth Orbit (LEO) is where most broadband, navigation and Earth-observation satellites operate, and it is getting crowded. About 40000 objects are now tracked around Earth, and only about 11000 of them are working satellites (European Space Agency, 2025). The rest are defunct satellites, used rocket bodies and fragments. Collisions and explosions now create new debris faster than the atmosphere removes old debris (European Space Agency, 2025). Kessler and Cour-Palais (1978) warned that this could become a chain reaction of collisions.</w:t>
      </w:r>
    </w:p>
    <w:p w:rsidR="00000000" w:rsidDel="00000000" w:rsidP="00000000" w:rsidRDefault="00000000" w:rsidRPr="00000000" w14:paraId="00000057">
      <w:pPr>
        <w:rPr/>
      </w:pPr>
      <w:r w:rsidDel="00000000" w:rsidR="00000000" w:rsidRPr="00000000">
        <w:rPr>
          <w:rtl w:val="0"/>
        </w:rP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w:t>
      </w:r>
    </w:p>
    <w:p w:rsidR="00000000" w:rsidDel="00000000" w:rsidP="00000000" w:rsidRDefault="00000000" w:rsidRPr="00000000" w14:paraId="00000058">
      <w:pPr>
        <w:rPr/>
      </w:pPr>
      <w:r w:rsidDel="00000000" w:rsidR="00000000" w:rsidRPr="00000000">
        <w:rPr>
          <w:rtl w:val="0"/>
        </w:rPr>
        <w:t xml:space="preserve">This creates a practical problem for satellite operators. When a mission ends, the operator must decide whether the satellite will re-enter within five years on its own or needs a disposal manoeuvre to lower its orbit. The manoeuvre uses fuel that could otherwise extend the mission. A wrong estimate therefore either wastes fuel or leaves an object that breaks the rule. The difficulty is visible in the numbers: about 90% of rocket bodies in LEO meet the 25-year standard, but only about 80% meet the five-year one (European Space Agency, 2025).</w:t>
      </w:r>
    </w:p>
    <w:p w:rsidR="00000000" w:rsidDel="00000000" w:rsidP="00000000" w:rsidRDefault="00000000" w:rsidRPr="00000000" w14:paraId="00000059">
      <w:pPr>
        <w:rPr/>
      </w:pPr>
      <w:r w:rsidDel="00000000" w:rsidR="00000000" w:rsidRPr="00000000">
        <w:rPr>
          <w:rtl w:val="0"/>
        </w:rPr>
        <w:t xml:space="preserve">Orbital lifetime is difficult to estimate. It depends mainly on the object’s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rsidR="00000000" w:rsidDel="00000000" w:rsidP="00000000" w:rsidRDefault="00000000" w:rsidRPr="00000000" w14:paraId="0000005A">
      <w:pPr>
        <w:pStyle w:val="Heading1"/>
        <w:numPr>
          <w:ilvl w:val="0"/>
          <w:numId w:val="4"/>
        </w:numPr>
        <w:ind w:left="720" w:hanging="360"/>
        <w:rPr/>
      </w:pPr>
      <w:bookmarkStart w:colFirst="0" w:colLast="0" w:name="_nn0ti8il1zsq" w:id="2"/>
      <w:bookmarkEnd w:id="2"/>
      <w:r w:rsidDel="00000000" w:rsidR="00000000" w:rsidRPr="00000000">
        <w:rPr>
          <w:rtl w:val="0"/>
        </w:rPr>
        <w:t xml:space="preserve">Problem Definition</w:t>
      </w:r>
    </w:p>
    <w:p w:rsidR="00000000" w:rsidDel="00000000" w:rsidP="00000000" w:rsidRDefault="00000000" w:rsidRPr="00000000" w14:paraId="0000005B">
      <w:pPr>
        <w:rPr/>
      </w:pPr>
      <w:r w:rsidDel="00000000" w:rsidR="00000000" w:rsidRPr="00000000">
        <w:rPr>
          <w:rtl w:val="0"/>
        </w:rPr>
        <w:t xml:space="preserve">The business problem is uncertainty about how long an object will remain in orbit. A  satellite operator or launch provider must </w:t>
      </w:r>
      <w:r w:rsidDel="00000000" w:rsidR="00000000" w:rsidRPr="00000000">
        <w:rPr>
          <w:rtl w:val="0"/>
        </w:rPr>
        <w:t xml:space="preserve">judge</w:t>
      </w:r>
      <w:r w:rsidDel="00000000" w:rsidR="00000000" w:rsidRPr="00000000">
        <w:rPr>
          <w:rtl w:val="0"/>
        </w:rPr>
        <w:t xml:space="preserve"> whether hardware left in a given orbit will re-enter within the five-year limit. A regulator must then check that judgement. </w:t>
      </w:r>
    </w:p>
    <w:p w:rsidR="00000000" w:rsidDel="00000000" w:rsidP="00000000" w:rsidRDefault="00000000" w:rsidRPr="00000000" w14:paraId="0000005C">
      <w:pPr>
        <w:rPr/>
      </w:pPr>
      <w:r w:rsidDel="00000000" w:rsidR="00000000" w:rsidRPr="00000000">
        <w:rPr>
          <w:rtl w:val="0"/>
        </w:rPr>
        <w:t xml:space="preserve">Orbital lifetime depends mainly on three factors: the object’s altitude, its mass and size, and solar activity. A light object with a large surface is slowed by the atmosphere faster than a heavy, compact one. Solar activity heats the upper atmosphere and makes it expand, which increases drag. The effect can be large. In February 2022 a geomagnetic storm increased drag at low altitude, and 38 of 49 newly launched Starlink satellites were lost (Fang et al., 2022).</w:t>
      </w:r>
    </w:p>
    <w:p w:rsidR="00000000" w:rsidDel="00000000" w:rsidP="00000000" w:rsidRDefault="00000000" w:rsidRPr="00000000" w14:paraId="0000005D">
      <w:pPr>
        <w:rPr/>
      </w:pPr>
      <w:r w:rsidDel="00000000" w:rsidR="00000000" w:rsidRPr="00000000">
        <w:rPr>
          <w:rtl w:val="0"/>
        </w:rPr>
        <w:t xml:space="preserve">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rsidR="00000000" w:rsidDel="00000000" w:rsidP="00000000" w:rsidRDefault="00000000" w:rsidRPr="00000000" w14:paraId="0000005E">
      <w:pPr>
        <w:rPr/>
      </w:pPr>
      <w:r w:rsidDel="00000000" w:rsidR="00000000" w:rsidRPr="00000000">
        <w:rPr>
          <w:rtl w:val="0"/>
        </w:rPr>
        <w:t xml:space="preserve">Data analytics and machine learning tools can add evidence from how similar objects have actually decayed. Tracking catalogues hold millions of orbit records covering more than 60 years, and the actual lifetime is known for every object that has already re-entered. A model trained on these records can estimate the remaining lifetime of an uncontrolled LEO object and the probability that it re-enters within five years. It can also report how uncertain each estimate is. Future solar activity cannot be forecast reliably (European Space Agency, 2018), so long-range estimates will remain uncertain. The result is a fast screening tool that supports physics-based analysis and does not replace it. Operators could use it to decide whether a satellite needs a disposal manoeuvre at the end of its mission. Regulators could use it to check whether objects already in orbit will meet the five-year rule.</w:t>
      </w:r>
    </w:p>
    <w:p w:rsidR="00000000" w:rsidDel="00000000" w:rsidP="00000000" w:rsidRDefault="00000000" w:rsidRPr="00000000" w14:paraId="0000005F">
      <w:pPr>
        <w:pStyle w:val="Heading1"/>
        <w:numPr>
          <w:ilvl w:val="0"/>
          <w:numId w:val="4"/>
        </w:numPr>
        <w:ind w:left="720" w:hanging="360"/>
        <w:rPr>
          <w:u w:val="none"/>
        </w:rPr>
      </w:pPr>
      <w:bookmarkStart w:colFirst="0" w:colLast="0" w:name="_si8j6ipodqu7" w:id="3"/>
      <w:bookmarkEnd w:id="3"/>
      <w:r w:rsidDel="00000000" w:rsidR="00000000" w:rsidRPr="00000000">
        <w:rPr>
          <w:rtl w:val="0"/>
        </w:rPr>
        <w:t xml:space="preserve">Aim and Objectives</w:t>
      </w:r>
    </w:p>
    <w:p w:rsidR="00000000" w:rsidDel="00000000" w:rsidP="00000000" w:rsidRDefault="00000000" w:rsidRPr="00000000" w14:paraId="00000060">
      <w:pPr>
        <w:pStyle w:val="Heading2"/>
        <w:ind w:left="0" w:firstLine="0"/>
        <w:rPr/>
      </w:pPr>
      <w:bookmarkStart w:colFirst="0" w:colLast="0" w:name="_59npii2cvedp" w:id="4"/>
      <w:bookmarkEnd w:id="4"/>
      <w:r w:rsidDel="00000000" w:rsidR="00000000" w:rsidRPr="00000000">
        <w:rPr>
          <w:rtl w:val="0"/>
        </w:rPr>
        <w:t xml:space="preserve">Aim</w:t>
      </w:r>
    </w:p>
    <w:p w:rsidR="00000000" w:rsidDel="00000000" w:rsidP="00000000" w:rsidRDefault="00000000" w:rsidRPr="00000000" w14:paraId="00000061">
      <w:pPr>
        <w:rPr/>
      </w:pPr>
      <w:r w:rsidDel="00000000" w:rsidR="00000000" w:rsidRPr="00000000">
        <w:rPr>
          <w:rtl w:val="0"/>
        </w:rPr>
        <w:t xml:space="preserve">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rsidR="00000000" w:rsidDel="00000000" w:rsidP="00000000" w:rsidRDefault="00000000" w:rsidRPr="00000000" w14:paraId="00000062">
      <w:pPr>
        <w:pStyle w:val="Heading2"/>
        <w:ind w:left="0" w:firstLine="0"/>
        <w:rPr/>
      </w:pPr>
      <w:bookmarkStart w:colFirst="0" w:colLast="0" w:name="_crub8m14vq0" w:id="5"/>
      <w:bookmarkEnd w:id="5"/>
      <w:r w:rsidDel="00000000" w:rsidR="00000000" w:rsidRPr="00000000">
        <w:rPr>
          <w:rtl w:val="0"/>
        </w:rPr>
        <w:t xml:space="preserve">Objectives</w:t>
      </w:r>
    </w:p>
    <w:p w:rsidR="00000000" w:rsidDel="00000000" w:rsidP="00000000" w:rsidRDefault="00000000" w:rsidRPr="00000000" w14:paraId="00000063">
      <w:pPr>
        <w:numPr>
          <w:ilvl w:val="0"/>
          <w:numId w:val="3"/>
        </w:numPr>
        <w:spacing w:after="0" w:afterAutospacing="0"/>
        <w:ind w:left="720" w:hanging="360"/>
        <w:rPr>
          <w:u w:val="none"/>
        </w:rPr>
      </w:pPr>
      <w:r w:rsidDel="00000000" w:rsidR="00000000" w:rsidRPr="00000000">
        <w:rPr>
          <w:rtl w:val="0"/>
        </w:rPr>
        <w:t xml:space="preserve">Build one cleaned and labelled dataset that combines orbit-history records, re-entry dates, daily space-weather data and object properties.</w:t>
      </w:r>
    </w:p>
    <w:p w:rsidR="00000000" w:rsidDel="00000000" w:rsidP="00000000" w:rsidRDefault="00000000" w:rsidRPr="00000000" w14:paraId="00000064">
      <w:pPr>
        <w:numPr>
          <w:ilvl w:val="0"/>
          <w:numId w:val="3"/>
        </w:numPr>
        <w:spacing w:after="0" w:afterAutospacing="0"/>
        <w:ind w:left="720" w:hanging="360"/>
        <w:rPr>
          <w:u w:val="none"/>
        </w:rPr>
      </w:pPr>
      <w:r w:rsidDel="00000000" w:rsidR="00000000" w:rsidRPr="00000000">
        <w:rPr>
          <w:rtl w:val="0"/>
        </w:rPr>
        <w:t xml:space="preserve">Analyse how remaining lifetime changes with altitude, drag, object type and the phase of the solar cycle.</w:t>
      </w:r>
    </w:p>
    <w:p w:rsidR="00000000" w:rsidDel="00000000" w:rsidP="00000000" w:rsidRDefault="00000000" w:rsidRPr="00000000" w14:paraId="00000065">
      <w:pPr>
        <w:numPr>
          <w:ilvl w:val="0"/>
          <w:numId w:val="3"/>
        </w:numPr>
        <w:spacing w:after="0" w:afterAutospacing="0"/>
        <w:ind w:left="720" w:hanging="360"/>
        <w:rPr>
          <w:u w:val="none"/>
        </w:rPr>
      </w:pPr>
      <w:r w:rsidDel="00000000" w:rsidR="00000000" w:rsidRPr="00000000">
        <w:rPr>
          <w:rtl w:val="0"/>
        </w:rPr>
        <w:t xml:space="preserve">Select and test suitable predictive models, and choose the model with the best accuracy and other evaluation measures.</w:t>
      </w:r>
    </w:p>
    <w:p w:rsidR="00000000" w:rsidDel="00000000" w:rsidP="00000000" w:rsidRDefault="00000000" w:rsidRPr="00000000" w14:paraId="00000066">
      <w:pPr>
        <w:numPr>
          <w:ilvl w:val="0"/>
          <w:numId w:val="3"/>
        </w:numPr>
        <w:spacing w:after="0" w:afterAutospacing="0"/>
        <w:ind w:left="720" w:hanging="360"/>
        <w:rPr>
          <w:u w:val="none"/>
        </w:rPr>
      </w:pPr>
      <w:r w:rsidDel="00000000" w:rsidR="00000000" w:rsidRPr="00000000">
        <w:rPr>
          <w:rtl w:val="0"/>
        </w:rPr>
        <w:t xml:space="preserve">Test the selected model’s five-year compliance decisions on objects and later years not used in training.</w:t>
      </w:r>
    </w:p>
    <w:p w:rsidR="00000000" w:rsidDel="00000000" w:rsidP="00000000" w:rsidRDefault="00000000" w:rsidRPr="00000000" w14:paraId="00000067">
      <w:pPr>
        <w:numPr>
          <w:ilvl w:val="0"/>
          <w:numId w:val="3"/>
        </w:numPr>
        <w:ind w:left="720" w:hanging="360"/>
        <w:rPr>
          <w:u w:val="none"/>
        </w:rPr>
      </w:pPr>
      <w:r w:rsidDel="00000000" w:rsidR="00000000" w:rsidRPr="00000000">
        <w:rPr>
          <w:rtl w:val="0"/>
        </w:rPr>
        <w:t xml:space="preserve">Deliver an interactive dashboard that shows the estimated lifetime and compliance probability for a selected object or orbit.</w:t>
      </w:r>
    </w:p>
    <w:p w:rsidR="00000000" w:rsidDel="00000000" w:rsidP="00000000" w:rsidRDefault="00000000" w:rsidRPr="00000000" w14:paraId="00000068">
      <w:pPr>
        <w:pStyle w:val="Heading2"/>
        <w:ind w:left="0" w:firstLine="0"/>
        <w:rPr/>
      </w:pPr>
      <w:bookmarkStart w:colFirst="0" w:colLast="0" w:name="_oeb0j2mrzpdn" w:id="6"/>
      <w:bookmarkEnd w:id="6"/>
      <w:r w:rsidDel="00000000" w:rsidR="00000000" w:rsidRPr="00000000">
        <w:rPr>
          <w:rtl w:val="0"/>
        </w:rPr>
        <w:t xml:space="preserve">Hypothesis</w:t>
      </w:r>
    </w:p>
    <w:p w:rsidR="00000000" w:rsidDel="00000000" w:rsidP="00000000" w:rsidRDefault="00000000" w:rsidRPr="00000000" w14:paraId="00000069">
      <w:pPr>
        <w:rPr/>
      </w:pPr>
      <w:r w:rsidDel="00000000" w:rsidR="00000000" w:rsidRPr="00000000">
        <w:rPr>
          <w:rtl w:val="0"/>
        </w:rPr>
        <w:t xml:space="preserve">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rsidR="00000000" w:rsidDel="00000000" w:rsidP="00000000" w:rsidRDefault="00000000" w:rsidRPr="00000000" w14:paraId="0000006A">
      <w:pPr>
        <w:pStyle w:val="Heading1"/>
        <w:ind w:left="708.6614173228347" w:hanging="283.46456692913375"/>
        <w:rPr/>
      </w:pPr>
      <w:bookmarkStart w:colFirst="0" w:colLast="0" w:name="_493rj7b1gx3g" w:id="7"/>
      <w:bookmarkEnd w:id="7"/>
      <w:r w:rsidDel="00000000" w:rsidR="00000000" w:rsidRPr="00000000">
        <w:rPr>
          <w:rtl w:val="0"/>
        </w:rPr>
        <w:t xml:space="preserve">5. Scope</w:t>
      </w:r>
    </w:p>
    <w:p w:rsidR="00000000" w:rsidDel="00000000" w:rsidP="00000000" w:rsidRDefault="00000000" w:rsidRPr="00000000" w14:paraId="0000006B">
      <w:pPr>
        <w:pStyle w:val="Heading2"/>
        <w:ind w:left="0" w:firstLine="0"/>
        <w:rPr/>
      </w:pPr>
      <w:bookmarkStart w:colFirst="0" w:colLast="0" w:name="_dk0fu031kqc" w:id="8"/>
      <w:bookmarkEnd w:id="8"/>
      <w:r w:rsidDel="00000000" w:rsidR="00000000" w:rsidRPr="00000000">
        <w:rPr>
          <w:rtl w:val="0"/>
        </w:rPr>
        <w:t xml:space="preserve">Included</w:t>
      </w:r>
    </w:p>
    <w:p w:rsidR="00000000" w:rsidDel="00000000" w:rsidP="00000000" w:rsidRDefault="00000000" w:rsidRPr="00000000" w14:paraId="0000006C">
      <w:pPr>
        <w:numPr>
          <w:ilvl w:val="0"/>
          <w:numId w:val="1"/>
        </w:numPr>
        <w:spacing w:after="0" w:afterAutospacing="0"/>
        <w:ind w:left="720" w:hanging="360"/>
        <w:rPr>
          <w:u w:val="none"/>
        </w:rPr>
      </w:pPr>
      <w:r w:rsidDel="00000000" w:rsidR="00000000" w:rsidRPr="00000000">
        <w:rPr>
          <w:rtl w:val="0"/>
        </w:rPr>
        <w:t xml:space="preserve">tracked objects whose whole orbit lies below 2000 km;</w:t>
      </w:r>
    </w:p>
    <w:p w:rsidR="00000000" w:rsidDel="00000000" w:rsidP="00000000" w:rsidRDefault="00000000" w:rsidRPr="00000000" w14:paraId="0000006D">
      <w:pPr>
        <w:numPr>
          <w:ilvl w:val="0"/>
          <w:numId w:val="1"/>
        </w:numPr>
        <w:spacing w:after="0" w:afterAutospacing="0"/>
        <w:ind w:left="720" w:hanging="360"/>
        <w:rPr>
          <w:u w:val="none"/>
        </w:rPr>
      </w:pPr>
      <w:r w:rsidDel="00000000" w:rsidR="00000000" w:rsidRPr="00000000">
        <w:rPr>
          <w:rtl w:val="0"/>
        </w:rPr>
        <w:t xml:space="preserve">rocket bodies, mission-related objects, debris, and satellites whose mission has ended;</w:t>
      </w:r>
    </w:p>
    <w:p w:rsidR="00000000" w:rsidDel="00000000" w:rsidP="00000000" w:rsidRDefault="00000000" w:rsidRPr="00000000" w14:paraId="0000006E">
      <w:pPr>
        <w:numPr>
          <w:ilvl w:val="0"/>
          <w:numId w:val="1"/>
        </w:numPr>
        <w:ind w:left="720" w:hanging="360"/>
        <w:rPr>
          <w:u w:val="none"/>
        </w:rPr>
      </w:pPr>
      <w:r w:rsidDel="00000000" w:rsidR="00000000" w:rsidRPr="00000000">
        <w:rPr>
          <w:rtl w:val="0"/>
        </w:rPr>
        <w:t xml:space="preserve">natural, uncontrolled decay in orbit records from 1959 to 2026.</w:t>
      </w:r>
    </w:p>
    <w:p w:rsidR="00000000" w:rsidDel="00000000" w:rsidP="00000000" w:rsidRDefault="00000000" w:rsidRPr="00000000" w14:paraId="0000006F">
      <w:pPr>
        <w:pStyle w:val="Heading2"/>
        <w:ind w:left="0" w:firstLine="0"/>
        <w:rPr/>
      </w:pPr>
      <w:bookmarkStart w:colFirst="0" w:colLast="0" w:name="_22g9aobq9pj8" w:id="9"/>
      <w:bookmarkEnd w:id="9"/>
      <w:r w:rsidDel="00000000" w:rsidR="00000000" w:rsidRPr="00000000">
        <w:rPr>
          <w:rtl w:val="0"/>
        </w:rPr>
        <w:t xml:space="preserve">Excluded</w:t>
      </w:r>
    </w:p>
    <w:p w:rsidR="00000000" w:rsidDel="00000000" w:rsidP="00000000" w:rsidRDefault="00000000" w:rsidRPr="00000000" w14:paraId="00000070">
      <w:pPr>
        <w:numPr>
          <w:ilvl w:val="0"/>
          <w:numId w:val="2"/>
        </w:numPr>
        <w:spacing w:after="0" w:afterAutospacing="0"/>
        <w:ind w:left="720" w:hanging="360"/>
        <w:rPr>
          <w:u w:val="none"/>
        </w:rPr>
      </w:pPr>
      <w:r w:rsidDel="00000000" w:rsidR="00000000" w:rsidRPr="00000000">
        <w:rPr>
          <w:rtl w:val="0"/>
        </w:rPr>
        <w:t xml:space="preserve">satellites that still manoeuvre, because raising the orbit interrupts natural decay;</w:t>
      </w:r>
    </w:p>
    <w:p w:rsidR="00000000" w:rsidDel="00000000" w:rsidP="00000000" w:rsidRDefault="00000000" w:rsidRPr="00000000" w14:paraId="00000071">
      <w:pPr>
        <w:numPr>
          <w:ilvl w:val="0"/>
          <w:numId w:val="2"/>
        </w:numPr>
        <w:spacing w:after="0" w:afterAutospacing="0"/>
        <w:ind w:left="720" w:hanging="360"/>
        <w:rPr>
          <w:u w:val="none"/>
        </w:rPr>
      </w:pPr>
      <w:r w:rsidDel="00000000" w:rsidR="00000000" w:rsidRPr="00000000">
        <w:rPr>
          <w:rtl w:val="0"/>
        </w:rPr>
        <w:t xml:space="preserve">controlled re-entries, object above LEO and objects too small to track;</w:t>
      </w:r>
    </w:p>
    <w:p w:rsidR="00000000" w:rsidDel="00000000" w:rsidP="00000000" w:rsidRDefault="00000000" w:rsidRPr="00000000" w14:paraId="00000072">
      <w:pPr>
        <w:numPr>
          <w:ilvl w:val="0"/>
          <w:numId w:val="2"/>
        </w:numPr>
        <w:ind w:left="720" w:hanging="360"/>
        <w:rPr>
          <w:u w:val="none"/>
        </w:rPr>
      </w:pPr>
      <w:r w:rsidDel="00000000" w:rsidR="00000000" w:rsidRPr="00000000">
        <w:rPr>
          <w:rtl w:val="0"/>
        </w:rPr>
        <w:t xml:space="preserve">re-entry locations, break-up, ground risk and operational re-entry warnings.</w:t>
      </w:r>
    </w:p>
    <w:p w:rsidR="00000000" w:rsidDel="00000000" w:rsidP="00000000" w:rsidRDefault="00000000" w:rsidRPr="00000000" w14:paraId="00000073">
      <w:pPr>
        <w:pStyle w:val="Heading1"/>
        <w:rPr/>
      </w:pPr>
      <w:bookmarkStart w:colFirst="0" w:colLast="0" w:name="_2dn5i7dolusn" w:id="10"/>
      <w:bookmarkEnd w:id="10"/>
      <w:r w:rsidDel="00000000" w:rsidR="00000000" w:rsidRPr="00000000">
        <w:rPr>
          <w:rtl w:val="0"/>
        </w:rPr>
      </w:r>
    </w:p>
    <w:p w:rsidR="00000000" w:rsidDel="00000000" w:rsidP="00000000" w:rsidRDefault="00000000" w:rsidRPr="00000000" w14:paraId="00000074">
      <w:pPr>
        <w:pStyle w:val="Heading1"/>
        <w:rPr/>
      </w:pPr>
      <w:bookmarkStart w:colFirst="0" w:colLast="0" w:name="_xjur78t33uma" w:id="11"/>
      <w:bookmarkEnd w:id="11"/>
      <w:r w:rsidDel="00000000" w:rsidR="00000000" w:rsidRPr="00000000">
        <w:rPr>
          <w:rtl w:val="0"/>
        </w:rPr>
      </w:r>
    </w:p>
    <w:p w:rsidR="00000000" w:rsidDel="00000000" w:rsidP="00000000" w:rsidRDefault="00000000" w:rsidRPr="00000000" w14:paraId="00000075">
      <w:pPr>
        <w:pStyle w:val="Heading1"/>
        <w:rPr/>
      </w:pPr>
      <w:bookmarkStart w:colFirst="0" w:colLast="0" w:name="_a1c93qus8f9x" w:id="12"/>
      <w:bookmarkEnd w:id="12"/>
      <w:r w:rsidDel="00000000" w:rsidR="00000000" w:rsidRPr="00000000">
        <w:rPr>
          <w:rtl w:val="0"/>
        </w:rPr>
      </w:r>
    </w:p>
    <w:p w:rsidR="00000000" w:rsidDel="00000000" w:rsidP="00000000" w:rsidRDefault="00000000" w:rsidRPr="00000000" w14:paraId="00000076">
      <w:pPr>
        <w:pStyle w:val="Heading1"/>
        <w:rPr/>
      </w:pPr>
      <w:bookmarkStart w:colFirst="0" w:colLast="0" w:name="_edk5i638f1cc" w:id="13"/>
      <w:bookmarkEnd w:id="13"/>
      <w:r w:rsidDel="00000000" w:rsidR="00000000" w:rsidRPr="00000000">
        <w:rPr>
          <w:rtl w:val="0"/>
        </w:rPr>
      </w:r>
    </w:p>
    <w:p w:rsidR="00000000" w:rsidDel="00000000" w:rsidP="00000000" w:rsidRDefault="00000000" w:rsidRPr="00000000" w14:paraId="00000077">
      <w:pPr>
        <w:pStyle w:val="Heading1"/>
        <w:rPr/>
      </w:pPr>
      <w:bookmarkStart w:colFirst="0" w:colLast="0" w:name="_shr0inv45f5a" w:id="14"/>
      <w:bookmarkEnd w:id="14"/>
      <w:r w:rsidDel="00000000" w:rsidR="00000000" w:rsidRPr="00000000">
        <w:rPr>
          <w:rtl w:val="0"/>
        </w:rPr>
      </w:r>
    </w:p>
    <w:p w:rsidR="00000000" w:rsidDel="00000000" w:rsidP="00000000" w:rsidRDefault="00000000" w:rsidRPr="00000000" w14:paraId="00000078">
      <w:pPr>
        <w:pStyle w:val="Heading1"/>
        <w:rPr/>
      </w:pPr>
      <w:bookmarkStart w:colFirst="0" w:colLast="0" w:name="_pft1ydv8bewz" w:id="15"/>
      <w:bookmarkEnd w:id="15"/>
      <w:r w:rsidDel="00000000" w:rsidR="00000000" w:rsidRPr="00000000">
        <w:rPr>
          <w:rtl w:val="0"/>
        </w:rPr>
      </w:r>
    </w:p>
    <w:p w:rsidR="00000000" w:rsidDel="00000000" w:rsidP="00000000" w:rsidRDefault="00000000" w:rsidRPr="00000000" w14:paraId="00000079">
      <w:pPr>
        <w:pStyle w:val="Heading1"/>
        <w:rPr/>
      </w:pPr>
      <w:bookmarkStart w:colFirst="0" w:colLast="0" w:name="_1vimhk4f1uk3" w:id="16"/>
      <w:bookmarkEnd w:id="16"/>
      <w:r w:rsidDel="00000000" w:rsidR="00000000" w:rsidRPr="00000000">
        <w:rPr>
          <w:rtl w:val="0"/>
        </w:rPr>
      </w:r>
    </w:p>
    <w:p w:rsidR="00000000" w:rsidDel="00000000" w:rsidP="00000000" w:rsidRDefault="00000000" w:rsidRPr="00000000" w14:paraId="0000007A">
      <w:pPr>
        <w:pStyle w:val="Heading1"/>
        <w:rPr/>
      </w:pPr>
      <w:bookmarkStart w:colFirst="0" w:colLast="0" w:name="_ikbfo4b2ctaw" w:id="17"/>
      <w:bookmarkEnd w:id="17"/>
      <w:r w:rsidDel="00000000" w:rsidR="00000000" w:rsidRPr="00000000">
        <w:rPr>
          <w:rtl w:val="0"/>
        </w:rPr>
      </w:r>
    </w:p>
    <w:p w:rsidR="00000000" w:rsidDel="00000000" w:rsidP="00000000" w:rsidRDefault="00000000" w:rsidRPr="00000000" w14:paraId="0000007B">
      <w:pPr>
        <w:pStyle w:val="Heading1"/>
        <w:rPr/>
      </w:pPr>
      <w:bookmarkStart w:colFirst="0" w:colLast="0" w:name="_gwvzed2i1jwl" w:id="18"/>
      <w:bookmarkEnd w:id="18"/>
      <w:r w:rsidDel="00000000" w:rsidR="00000000" w:rsidRPr="00000000">
        <w:rPr>
          <w:rtl w:val="0"/>
        </w:rPr>
      </w:r>
    </w:p>
    <w:p w:rsidR="00000000" w:rsidDel="00000000" w:rsidP="00000000" w:rsidRDefault="00000000" w:rsidRPr="00000000" w14:paraId="0000007C">
      <w:pPr>
        <w:pStyle w:val="Heading1"/>
        <w:rPr/>
      </w:pPr>
      <w:bookmarkStart w:colFirst="0" w:colLast="0" w:name="_2jdxnl7f7s37" w:id="19"/>
      <w:bookmarkEnd w:id="19"/>
      <w:r w:rsidDel="00000000" w:rsidR="00000000" w:rsidRPr="00000000">
        <w:rPr>
          <w:rtl w:val="0"/>
        </w:rPr>
      </w:r>
    </w:p>
    <w:p w:rsidR="00000000" w:rsidDel="00000000" w:rsidP="00000000" w:rsidRDefault="00000000" w:rsidRPr="00000000" w14:paraId="0000007D">
      <w:pPr>
        <w:pStyle w:val="Heading1"/>
        <w:rPr/>
      </w:pPr>
      <w:bookmarkStart w:colFirst="0" w:colLast="0" w:name="_urzhjwz9ep3v" w:id="20"/>
      <w:bookmarkEnd w:id="20"/>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1"/>
        <w:rPr/>
      </w:pPr>
      <w:bookmarkStart w:colFirst="0" w:colLast="0" w:name="_eplrrph1lx3f" w:id="21"/>
      <w:bookmarkEnd w:id="21"/>
      <w:r w:rsidDel="00000000" w:rsidR="00000000" w:rsidRPr="00000000">
        <w:rPr>
          <w:rtl w:val="0"/>
        </w:rPr>
        <w:t xml:space="preserve">References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color w:val="ff00ff"/>
        </w:rPr>
      </w:pPr>
      <w:r w:rsidDel="00000000" w:rsidR="00000000" w:rsidRPr="00000000">
        <w:rPr>
          <w:color w:val="ff00ff"/>
          <w:rtl w:val="0"/>
        </w:rPr>
        <w:t xml:space="preserve">Braun, V., Funke, Q., Lemmens, S. and Sanvido, S. (2020) ‘DRAMA 3.0 – Upgrade of ESA’s debris risk assessment and mitigation analysis tool suite’, Journal of Space Safety Engineering, 7(3), pp. 206–212. doi: 10.1016/j.jsse.2020.07.020.</w:t>
      </w:r>
    </w:p>
    <w:p w:rsidR="00000000" w:rsidDel="00000000" w:rsidP="00000000" w:rsidRDefault="00000000" w:rsidRPr="00000000" w14:paraId="00000086">
      <w:pPr>
        <w:rPr/>
      </w:pPr>
      <w:r w:rsidDel="00000000" w:rsidR="00000000" w:rsidRPr="00000000">
        <w:rPr>
          <w:rtl w:val="0"/>
        </w:rPr>
        <w:t xml:space="preserve">European Space Agency (2023) ESA leads the way towards a Zero Debris future. Available at: </w:t>
      </w:r>
      <w:hyperlink r:id="rId9">
        <w:r w:rsidDel="00000000" w:rsidR="00000000" w:rsidRPr="00000000">
          <w:rPr>
            <w:color w:val="1155cc"/>
            <w:u w:val="single"/>
            <w:rtl w:val="0"/>
          </w:rPr>
          <w:t xml:space="preserve">https://www.esa.int/Space_Safety/Space_Debris/ESA_leads_the_way_towards_a_Zero_Debris_future</w:t>
        </w:r>
      </w:hyperlink>
      <w:r w:rsidDel="00000000" w:rsidR="00000000" w:rsidRPr="00000000">
        <w:rPr>
          <w:rtl w:val="0"/>
        </w:rPr>
        <w:t xml:space="preserve"> (Accessed: 5 October 2026).</w:t>
      </w:r>
    </w:p>
    <w:p w:rsidR="00000000" w:rsidDel="00000000" w:rsidP="00000000" w:rsidRDefault="00000000" w:rsidRPr="00000000" w14:paraId="00000087">
      <w:pPr>
        <w:rPr/>
      </w:pPr>
      <w:r w:rsidDel="00000000" w:rsidR="00000000" w:rsidRPr="00000000">
        <w:rPr>
          <w:rtl w:val="0"/>
        </w:rPr>
        <w:t xml:space="preserve">European Space Agency (2025) ESA Space Environment Report 2025. Available at: </w:t>
      </w:r>
      <w:hyperlink r:id="rId10">
        <w:r w:rsidDel="00000000" w:rsidR="00000000" w:rsidRPr="00000000">
          <w:rPr>
            <w:color w:val="1155cc"/>
            <w:u w:val="single"/>
            <w:rtl w:val="0"/>
          </w:rPr>
          <w:t xml:space="preserve">https://www.esa.int/Space_Safety/Space_Debris/ESA_Space_Environment_Report_2025</w:t>
        </w:r>
      </w:hyperlink>
      <w:r w:rsidDel="00000000" w:rsidR="00000000" w:rsidRPr="00000000">
        <w:rPr>
          <w:rtl w:val="0"/>
        </w:rPr>
        <w:t xml:space="preserve"> (Accessed: 5 October 2026).</w:t>
      </w:r>
    </w:p>
    <w:p w:rsidR="00000000" w:rsidDel="00000000" w:rsidP="00000000" w:rsidRDefault="00000000" w:rsidRPr="00000000" w14:paraId="00000088">
      <w:pPr>
        <w:rPr/>
      </w:pPr>
      <w:r w:rsidDel="00000000" w:rsidR="00000000" w:rsidRPr="00000000">
        <w:rPr>
          <w:rtl w:val="0"/>
        </w:rPr>
        <w:t xml:space="preserve">Federal Communications Commission (2024) ‘Space Innovation; Mitigation of Orbital Debris in the New Space Age’, Federal Register, 89(154), 9 August. Available at: </w:t>
      </w:r>
      <w:hyperlink r:id="rId11">
        <w:r w:rsidDel="00000000" w:rsidR="00000000" w:rsidRPr="00000000">
          <w:rPr>
            <w:color w:val="1155cc"/>
            <w:u w:val="single"/>
            <w:rtl w:val="0"/>
          </w:rPr>
          <w:t xml:space="preserve">https://www.federalregister.gov/documents/2024/08/09/2024-17093/space-innovation-mitigation-of-orbital-debris-in-the-new-space-age</w:t>
        </w:r>
      </w:hyperlink>
      <w:r w:rsidDel="00000000" w:rsidR="00000000" w:rsidRPr="00000000">
        <w:rPr>
          <w:rtl w:val="0"/>
        </w:rPr>
        <w:t xml:space="preserve">. (Accessed: 9 October 2026)</w:t>
      </w:r>
    </w:p>
    <w:p w:rsidR="00000000" w:rsidDel="00000000" w:rsidP="00000000" w:rsidRDefault="00000000" w:rsidRPr="00000000" w14:paraId="00000089">
      <w:pPr>
        <w:rPr/>
      </w:pPr>
      <w:r w:rsidDel="00000000" w:rsidR="00000000" w:rsidRPr="00000000">
        <w:rPr>
          <w:rtl w:val="0"/>
        </w:rPr>
        <w:t xml:space="preserve">European Space Agency (2018) ESA Re-entry Prediction Front-end User Guide. GEN-REN-MAN-00232-OPS-GR, Issue 0.0. Darmstadt: ESA Space Debris Office. Available at: </w:t>
      </w:r>
      <w:hyperlink r:id="rId12">
        <w:r w:rsidDel="00000000" w:rsidR="00000000" w:rsidRPr="00000000">
          <w:rPr>
            <w:color w:val="1155cc"/>
            <w:u w:val="single"/>
            <w:rtl w:val="0"/>
          </w:rPr>
          <w:t xml:space="preserve">https://reentry.esoc.esa.int/files/public/GEN-REN-MAN-00232-OPS-GR%20ESA%20Re-entry%20Prediction%20Front-end%20User%20Guide.pdf</w:t>
        </w:r>
      </w:hyperlink>
      <w:r w:rsidDel="00000000" w:rsidR="00000000" w:rsidRPr="00000000">
        <w:rPr>
          <w:rtl w:val="0"/>
        </w:rPr>
        <w:t xml:space="preserve"> (Accessed: 11 October 2026).</w:t>
      </w:r>
      <w:r w:rsidDel="00000000" w:rsidR="00000000" w:rsidRPr="00000000">
        <w:rPr>
          <w:rtl w:val="0"/>
        </w:rPr>
      </w:r>
    </w:p>
    <w:p w:rsidR="00000000" w:rsidDel="00000000" w:rsidP="00000000" w:rsidRDefault="00000000" w:rsidRPr="00000000" w14:paraId="0000008A">
      <w:pPr>
        <w:rPr/>
      </w:pPr>
      <w:r w:rsidDel="00000000" w:rsidR="00000000" w:rsidRPr="00000000">
        <w:rPr>
          <w:color w:val="ff00ff"/>
          <w:rtl w:val="0"/>
        </w:rPr>
        <w:t xml:space="preserve">Fang, T., Kubaryk, A., Goldstein, D., Li, Z., Fuller-Rowell, T., Millward, G., Singer, H.J., Steenburgh, R., Westerman, S. and Babcock, E. (2022) ‘Space weather environment during the SpaceX Starlink satellite loss in February 2022’, Space Weather, 20(11). doi: 10.1029/2022SW003193</w:t>
      </w:r>
      <w:r w:rsidDel="00000000" w:rsidR="00000000" w:rsidRPr="00000000">
        <w:rPr>
          <w:rtl w:val="0"/>
        </w:rPr>
        <w:t xml:space="preserv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1"/>
        <w:rPr/>
      </w:pPr>
      <w:bookmarkStart w:colFirst="0" w:colLast="0" w:name="_tij6hphekvp6" w:id="22"/>
      <w:bookmarkEnd w:id="22"/>
      <w:r w:rsidDel="00000000" w:rsidR="00000000" w:rsidRPr="00000000">
        <w:rPr>
          <w:rtl w:val="0"/>
        </w:rPr>
        <w:t xml:space="preserve">Appendix</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color w:val="ff0000"/>
        </w:rPr>
      </w:pPr>
      <w:r w:rsidDel="00000000" w:rsidR="00000000" w:rsidRPr="00000000">
        <w:rPr>
          <w:rtl w:val="0"/>
        </w:rPr>
      </w:r>
    </w:p>
    <w:p w:rsidR="00000000" w:rsidDel="00000000" w:rsidP="00000000" w:rsidRDefault="00000000" w:rsidRPr="00000000" w14:paraId="000000A0">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A1">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A2">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A3">
      <w:pPr>
        <w:rPr>
          <w:color w:val="ff0000"/>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sectPr>
      <w:footerReference r:id="rId1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federalregister.gov/documents/2024/08/09/2024-17093/space-innovation-mitigation-of-orbital-debris-in-the-new-space-age" TargetMode="External"/><Relationship Id="rId10" Type="http://schemas.openxmlformats.org/officeDocument/2006/relationships/hyperlink" Target="https://www.esa.int/Space_Safety/Space_Debris/ESA_Space_Environment_Report_2025" TargetMode="External"/><Relationship Id="rId13" Type="http://schemas.openxmlformats.org/officeDocument/2006/relationships/footer" Target="footer2.xml"/><Relationship Id="rId12" Type="http://schemas.openxmlformats.org/officeDocument/2006/relationships/hyperlink" Target="https://reentry.esoc.esa.int/files/public/GEN-REN-MAN-00232-OPS-GR%20ESA%20Re-entry%20Prediction%20Front-end%20User%20Guide.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sa.int/Space_Safety/Space_Debris/ESA_leads_the_way_towards_a_Zero_Debris_future"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