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E151" w14:textId="77777777" w:rsidR="000D5BEC" w:rsidRDefault="00000000">
      <w:r>
        <w:rPr>
          <w:noProof/>
        </w:rPr>
        <mc:AlternateContent>
          <mc:Choice Requires="wpg">
            <w:drawing>
              <wp:anchor distT="0" distB="0" distL="114300" distR="114300" simplePos="0" relativeHeight="251658240" behindDoc="0" locked="0" layoutInCell="1" hidden="0" allowOverlap="1" wp14:anchorId="1DD9A2A8" wp14:editId="4141D123">
                <wp:simplePos x="0" y="0"/>
                <wp:positionH relativeFrom="page">
                  <wp:posOffset>428625</wp:posOffset>
                </wp:positionH>
                <wp:positionV relativeFrom="margin">
                  <wp:posOffset>-1170302</wp:posOffset>
                </wp:positionV>
                <wp:extent cx="228600" cy="10403359"/>
                <wp:effectExtent l="0" t="0" r="0" b="0"/>
                <wp:wrapNone/>
                <wp:docPr id="2" name="Group 2"/>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345934070" name="Group 1345934070"/>
                        <wpg:cNvGrpSpPr/>
                        <wpg:grpSpPr>
                          <a:xfrm>
                            <a:off x="5231700" y="0"/>
                            <a:ext cx="228600" cy="7560000"/>
                            <a:chOff x="5231700" y="0"/>
                            <a:chExt cx="228600" cy="7560000"/>
                          </a:xfrm>
                        </wpg:grpSpPr>
                        <wps:wsp>
                          <wps:cNvPr id="1152450696" name="Rectangle 1152450696"/>
                          <wps:cNvSpPr/>
                          <wps:spPr>
                            <a:xfrm>
                              <a:off x="5231700" y="0"/>
                              <a:ext cx="228600" cy="7560000"/>
                            </a:xfrm>
                            <a:prstGeom prst="rect">
                              <a:avLst/>
                            </a:prstGeom>
                            <a:noFill/>
                            <a:ln>
                              <a:noFill/>
                            </a:ln>
                          </wps:spPr>
                          <wps:txbx>
                            <w:txbxContent>
                              <w:p w14:paraId="56BD824E" w14:textId="77777777" w:rsidR="000D5BEC" w:rsidRDefault="000D5BEC">
                                <w:pPr>
                                  <w:spacing w:after="0" w:line="240" w:lineRule="auto"/>
                                  <w:textDirection w:val="btLr"/>
                                </w:pPr>
                              </w:p>
                            </w:txbxContent>
                          </wps:txbx>
                          <wps:bodyPr spcFirstLastPara="1" wrap="square" lIns="91425" tIns="91425" rIns="91425" bIns="91425" anchor="ctr" anchorCtr="0">
                            <a:noAutofit/>
                          </wps:bodyPr>
                        </wps:wsp>
                        <wpg:grpSp>
                          <wpg:cNvPr id="141149636" name="Group 141149636"/>
                          <wpg:cNvGrpSpPr/>
                          <wpg:grpSpPr>
                            <a:xfrm>
                              <a:off x="5231700" y="0"/>
                              <a:ext cx="228600" cy="7560000"/>
                              <a:chOff x="5231700" y="0"/>
                              <a:chExt cx="228600" cy="7560000"/>
                            </a:xfrm>
                          </wpg:grpSpPr>
                          <wps:wsp>
                            <wps:cNvPr id="302504329" name="Rectangle 302504329"/>
                            <wps:cNvSpPr/>
                            <wps:spPr>
                              <a:xfrm>
                                <a:off x="5231700" y="0"/>
                                <a:ext cx="228600" cy="7560000"/>
                              </a:xfrm>
                              <a:prstGeom prst="rect">
                                <a:avLst/>
                              </a:prstGeom>
                              <a:noFill/>
                              <a:ln>
                                <a:noFill/>
                              </a:ln>
                            </wps:spPr>
                            <wps:txbx>
                              <w:txbxContent>
                                <w:p w14:paraId="1B190EAF" w14:textId="77777777" w:rsidR="000D5BEC" w:rsidRDefault="000D5BEC">
                                  <w:pPr>
                                    <w:spacing w:after="0" w:line="240" w:lineRule="auto"/>
                                    <w:textDirection w:val="btLr"/>
                                  </w:pPr>
                                </w:p>
                              </w:txbxContent>
                            </wps:txbx>
                            <wps:bodyPr spcFirstLastPara="1" wrap="square" lIns="91425" tIns="91425" rIns="91425" bIns="91425" anchor="ctr" anchorCtr="0">
                              <a:noAutofit/>
                            </wps:bodyPr>
                          </wps:wsp>
                          <wpg:grpSp>
                            <wpg:cNvPr id="1099034943" name="Group 1099034943"/>
                            <wpg:cNvGrpSpPr/>
                            <wpg:grpSpPr>
                              <a:xfrm>
                                <a:off x="5231700" y="0"/>
                                <a:ext cx="228600" cy="7560000"/>
                                <a:chOff x="0" y="0"/>
                                <a:chExt cx="228600" cy="9144000"/>
                              </a:xfrm>
                            </wpg:grpSpPr>
                            <wps:wsp>
                              <wps:cNvPr id="2138153369" name="Rectangle 2138153369"/>
                              <wps:cNvSpPr/>
                              <wps:spPr>
                                <a:xfrm>
                                  <a:off x="0" y="0"/>
                                  <a:ext cx="228600" cy="9144000"/>
                                </a:xfrm>
                                <a:prstGeom prst="rect">
                                  <a:avLst/>
                                </a:prstGeom>
                                <a:noFill/>
                                <a:ln>
                                  <a:noFill/>
                                </a:ln>
                              </wps:spPr>
                              <wps:txbx>
                                <w:txbxContent>
                                  <w:p w14:paraId="78E6E9EF" w14:textId="77777777" w:rsidR="000D5BEC" w:rsidRDefault="000D5BEC">
                                    <w:pPr>
                                      <w:spacing w:after="0" w:line="240" w:lineRule="auto"/>
                                      <w:textDirection w:val="btLr"/>
                                    </w:pPr>
                                  </w:p>
                                </w:txbxContent>
                              </wps:txbx>
                              <wps:bodyPr spcFirstLastPara="1" wrap="square" lIns="91425" tIns="91425" rIns="91425" bIns="91425" anchor="ctr" anchorCtr="0">
                                <a:noAutofit/>
                              </wps:bodyPr>
                            </wps:wsp>
                            <wps:wsp>
                              <wps:cNvPr id="1951782037" name="Rectangle 1951782037"/>
                              <wps:cNvSpPr/>
                              <wps:spPr>
                                <a:xfrm>
                                  <a:off x="0" y="0"/>
                                  <a:ext cx="228600" cy="8782050"/>
                                </a:xfrm>
                                <a:prstGeom prst="rect">
                                  <a:avLst/>
                                </a:prstGeom>
                                <a:solidFill>
                                  <a:schemeClr val="accent2"/>
                                </a:solidFill>
                                <a:ln>
                                  <a:noFill/>
                                </a:ln>
                              </wps:spPr>
                              <wps:txbx>
                                <w:txbxContent>
                                  <w:p w14:paraId="762DBE39" w14:textId="77777777" w:rsidR="000D5BEC" w:rsidRDefault="000D5BEC">
                                    <w:pPr>
                                      <w:spacing w:after="0" w:line="240" w:lineRule="auto"/>
                                      <w:textDirection w:val="btLr"/>
                                    </w:pPr>
                                  </w:p>
                                </w:txbxContent>
                              </wps:txbx>
                              <wps:bodyPr spcFirstLastPara="1" wrap="square" lIns="91425" tIns="91425" rIns="91425" bIns="91425" anchor="ctr" anchorCtr="0">
                                <a:noAutofit/>
                              </wps:bodyPr>
                            </wps:wsp>
                            <wps:wsp>
                              <wps:cNvPr id="1184110239" name="Rectangle 1184110239"/>
                              <wps:cNvSpPr/>
                              <wps:spPr>
                                <a:xfrm>
                                  <a:off x="0" y="8915400"/>
                                  <a:ext cx="228600" cy="228600"/>
                                </a:xfrm>
                                <a:prstGeom prst="rect">
                                  <a:avLst/>
                                </a:prstGeom>
                                <a:solidFill>
                                  <a:schemeClr val="accent1"/>
                                </a:solidFill>
                                <a:ln>
                                  <a:noFill/>
                                </a:ln>
                              </wps:spPr>
                              <wps:txbx>
                                <w:txbxContent>
                                  <w:p w14:paraId="77109C8E" w14:textId="77777777" w:rsidR="000D5BEC" w:rsidRDefault="000D5BEC">
                                    <w:pPr>
                                      <w:spacing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428625</wp:posOffset>
                </wp:positionH>
                <wp:positionV relativeFrom="margin">
                  <wp:posOffset>-1170302</wp:posOffset>
                </wp:positionV>
                <wp:extent cx="228600" cy="10403359"/>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28600" cy="10403359"/>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1500F7D8" wp14:editId="6130E1EC">
            <wp:simplePos x="0" y="0"/>
            <wp:positionH relativeFrom="margin">
              <wp:posOffset>4174490</wp:posOffset>
            </wp:positionH>
            <wp:positionV relativeFrom="margin">
              <wp:posOffset>-276222</wp:posOffset>
            </wp:positionV>
            <wp:extent cx="2206625" cy="762000"/>
            <wp:effectExtent l="0" t="0" r="0" b="0"/>
            <wp:wrapSquare wrapText="bothSides" distT="0" distB="0" distL="114300" distR="114300"/>
            <wp:docPr id="4"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8"/>
                    <a:srcRect/>
                    <a:stretch>
                      <a:fillRect/>
                    </a:stretch>
                  </pic:blipFill>
                  <pic:spPr>
                    <a:xfrm>
                      <a:off x="0" y="0"/>
                      <a:ext cx="2206625" cy="762000"/>
                    </a:xfrm>
                    <a:prstGeom prst="rect">
                      <a:avLst/>
                    </a:prstGeom>
                    <a:ln/>
                  </pic:spPr>
                </pic:pic>
              </a:graphicData>
            </a:graphic>
          </wp:anchor>
        </w:drawing>
      </w:r>
    </w:p>
    <w:p w14:paraId="5F73C1FB" w14:textId="77777777" w:rsidR="000D5BEC" w:rsidRDefault="00000000">
      <w:pPr>
        <w:rPr>
          <w:b/>
          <w:bCs/>
          <w:color w:val="156082"/>
          <w:sz w:val="36"/>
          <w:szCs w:val="36"/>
        </w:rPr>
      </w:pPr>
      <w:r>
        <w:rPr>
          <w:b/>
          <w:bCs/>
          <w:color w:val="156082"/>
          <w:sz w:val="36"/>
          <w:szCs w:val="36"/>
        </w:rPr>
        <w:t>Assessment Cover Page</w:t>
      </w:r>
    </w:p>
    <w:tbl>
      <w:tblPr>
        <w:tblStyle w:val="a"/>
        <w:tblW w:w="9015" w:type="dxa"/>
        <w:tblInd w:w="0" w:type="dxa"/>
        <w:tblBorders>
          <w:insideH w:val="nil"/>
          <w:insideV w:val="nil"/>
        </w:tblBorders>
        <w:tblLayout w:type="fixed"/>
        <w:tblLook w:val="0400" w:firstRow="0" w:lastRow="0" w:firstColumn="0" w:lastColumn="0" w:noHBand="0" w:noVBand="1"/>
      </w:tblPr>
      <w:tblGrid>
        <w:gridCol w:w="3256"/>
        <w:gridCol w:w="5759"/>
      </w:tblGrid>
      <w:tr w:rsidR="000D5BEC" w14:paraId="12F76339" w14:textId="77777777">
        <w:tc>
          <w:tcPr>
            <w:tcW w:w="3256" w:type="dxa"/>
            <w:tcBorders>
              <w:top w:val="nil"/>
              <w:left w:val="nil"/>
              <w:bottom w:val="nil"/>
              <w:right w:val="nil"/>
            </w:tcBorders>
          </w:tcPr>
          <w:p w14:paraId="76E5A70D" w14:textId="77777777" w:rsidR="000D5BEC" w:rsidRDefault="00000000">
            <w:pPr>
              <w:spacing w:line="480" w:lineRule="auto"/>
              <w:rPr>
                <w:i/>
                <w:iCs/>
                <w:color w:val="156082"/>
                <w:sz w:val="32"/>
                <w:szCs w:val="32"/>
              </w:rPr>
            </w:pPr>
            <w:r>
              <w:rPr>
                <w:i/>
                <w:iCs/>
                <w:color w:val="156082"/>
                <w:sz w:val="32"/>
                <w:szCs w:val="32"/>
              </w:rPr>
              <w:t>Student Full Name</w:t>
            </w:r>
          </w:p>
          <w:p w14:paraId="63469B00" w14:textId="77777777" w:rsidR="000D5BEC" w:rsidRDefault="00000000">
            <w:pPr>
              <w:spacing w:line="480" w:lineRule="auto"/>
              <w:rPr>
                <w:i/>
                <w:iCs/>
                <w:color w:val="5B0F00"/>
                <w:sz w:val="32"/>
                <w:szCs w:val="32"/>
              </w:rPr>
            </w:pPr>
            <w:r>
              <w:rPr>
                <w:i/>
                <w:iCs/>
                <w:color w:val="5B0F00"/>
                <w:sz w:val="32"/>
                <w:szCs w:val="32"/>
              </w:rPr>
              <w:t>Oleksii Taranov</w:t>
            </w:r>
          </w:p>
        </w:tc>
        <w:tc>
          <w:tcPr>
            <w:tcW w:w="5759" w:type="dxa"/>
            <w:tcBorders>
              <w:top w:val="nil"/>
              <w:left w:val="nil"/>
              <w:bottom w:val="nil"/>
              <w:right w:val="nil"/>
            </w:tcBorders>
          </w:tcPr>
          <w:p w14:paraId="26B543D1" w14:textId="77777777" w:rsidR="000D5BEC" w:rsidRDefault="000D5BEC">
            <w:pPr>
              <w:spacing w:line="480" w:lineRule="auto"/>
              <w:rPr>
                <w:color w:val="000000"/>
                <w:sz w:val="32"/>
                <w:szCs w:val="32"/>
              </w:rPr>
            </w:pPr>
          </w:p>
        </w:tc>
      </w:tr>
      <w:tr w:rsidR="000D5BEC" w14:paraId="6600BE5E" w14:textId="77777777">
        <w:tc>
          <w:tcPr>
            <w:tcW w:w="3256" w:type="dxa"/>
            <w:tcBorders>
              <w:top w:val="nil"/>
              <w:left w:val="nil"/>
              <w:bottom w:val="nil"/>
              <w:right w:val="nil"/>
            </w:tcBorders>
          </w:tcPr>
          <w:p w14:paraId="37A64152" w14:textId="77777777" w:rsidR="000D5BEC" w:rsidRDefault="00000000">
            <w:pPr>
              <w:spacing w:line="480" w:lineRule="auto"/>
              <w:rPr>
                <w:i/>
                <w:iCs/>
                <w:color w:val="156082"/>
                <w:sz w:val="32"/>
                <w:szCs w:val="32"/>
              </w:rPr>
            </w:pPr>
            <w:r>
              <w:rPr>
                <w:i/>
                <w:iCs/>
                <w:color w:val="156082"/>
                <w:sz w:val="32"/>
                <w:szCs w:val="32"/>
              </w:rPr>
              <w:t>Student Number</w:t>
            </w:r>
          </w:p>
          <w:p w14:paraId="0024C8CD" w14:textId="77777777" w:rsidR="000D5BEC" w:rsidRDefault="00000000">
            <w:pPr>
              <w:spacing w:line="480" w:lineRule="auto"/>
              <w:rPr>
                <w:i/>
                <w:iCs/>
                <w:color w:val="5B0F00"/>
                <w:sz w:val="32"/>
                <w:szCs w:val="32"/>
              </w:rPr>
            </w:pPr>
            <w:r>
              <w:rPr>
                <w:i/>
                <w:iCs/>
                <w:color w:val="5B0F00"/>
                <w:sz w:val="32"/>
                <w:szCs w:val="32"/>
              </w:rPr>
              <w:t>Sba26106</w:t>
            </w:r>
          </w:p>
        </w:tc>
        <w:tc>
          <w:tcPr>
            <w:tcW w:w="5759" w:type="dxa"/>
            <w:tcBorders>
              <w:top w:val="nil"/>
              <w:left w:val="nil"/>
              <w:bottom w:val="nil"/>
              <w:right w:val="nil"/>
            </w:tcBorders>
          </w:tcPr>
          <w:p w14:paraId="1E380411" w14:textId="77777777" w:rsidR="000D5BEC" w:rsidRDefault="000D5BEC">
            <w:pPr>
              <w:spacing w:line="480" w:lineRule="auto"/>
              <w:rPr>
                <w:color w:val="000000"/>
                <w:sz w:val="32"/>
                <w:szCs w:val="32"/>
              </w:rPr>
            </w:pPr>
          </w:p>
        </w:tc>
      </w:tr>
      <w:tr w:rsidR="000D5BEC" w14:paraId="4CA39FBC" w14:textId="77777777">
        <w:tc>
          <w:tcPr>
            <w:tcW w:w="3256" w:type="dxa"/>
            <w:tcBorders>
              <w:top w:val="nil"/>
              <w:left w:val="nil"/>
              <w:bottom w:val="nil"/>
              <w:right w:val="nil"/>
            </w:tcBorders>
          </w:tcPr>
          <w:p w14:paraId="4593FB3C" w14:textId="77777777" w:rsidR="000D5BEC" w:rsidRDefault="00000000">
            <w:pPr>
              <w:spacing w:line="480" w:lineRule="auto"/>
              <w:rPr>
                <w:i/>
                <w:iCs/>
                <w:color w:val="156082"/>
                <w:sz w:val="32"/>
                <w:szCs w:val="32"/>
              </w:rPr>
            </w:pPr>
            <w:r>
              <w:rPr>
                <w:i/>
                <w:iCs/>
                <w:color w:val="156082"/>
                <w:sz w:val="32"/>
                <w:szCs w:val="32"/>
              </w:rPr>
              <w:t>Module Title</w:t>
            </w:r>
          </w:p>
          <w:p w14:paraId="5919F387" w14:textId="77777777" w:rsidR="000D5BEC" w:rsidRDefault="00000000">
            <w:pPr>
              <w:spacing w:line="480" w:lineRule="auto"/>
              <w:rPr>
                <w:i/>
                <w:iCs/>
                <w:color w:val="5B0F00"/>
                <w:sz w:val="32"/>
                <w:szCs w:val="32"/>
              </w:rPr>
            </w:pPr>
            <w:r>
              <w:rPr>
                <w:i/>
                <w:iCs/>
                <w:color w:val="5B0F00"/>
                <w:sz w:val="32"/>
                <w:szCs w:val="32"/>
              </w:rPr>
              <w:t>Strategic Thinking</w:t>
            </w:r>
          </w:p>
        </w:tc>
        <w:tc>
          <w:tcPr>
            <w:tcW w:w="5759" w:type="dxa"/>
            <w:tcBorders>
              <w:top w:val="nil"/>
              <w:left w:val="nil"/>
              <w:bottom w:val="nil"/>
              <w:right w:val="nil"/>
            </w:tcBorders>
          </w:tcPr>
          <w:p w14:paraId="53A06DDD" w14:textId="77777777" w:rsidR="000D5BEC" w:rsidRDefault="000D5BEC">
            <w:pPr>
              <w:spacing w:line="480" w:lineRule="auto"/>
              <w:rPr>
                <w:color w:val="000000"/>
                <w:sz w:val="32"/>
                <w:szCs w:val="32"/>
              </w:rPr>
            </w:pPr>
          </w:p>
        </w:tc>
      </w:tr>
      <w:tr w:rsidR="000D5BEC" w14:paraId="41C5B6C7" w14:textId="77777777">
        <w:tc>
          <w:tcPr>
            <w:tcW w:w="3256" w:type="dxa"/>
            <w:tcBorders>
              <w:top w:val="nil"/>
              <w:left w:val="nil"/>
              <w:bottom w:val="nil"/>
              <w:right w:val="nil"/>
            </w:tcBorders>
          </w:tcPr>
          <w:p w14:paraId="3C33D114" w14:textId="77777777" w:rsidR="000D5BEC" w:rsidRDefault="00000000">
            <w:pPr>
              <w:spacing w:line="480" w:lineRule="auto"/>
              <w:rPr>
                <w:i/>
                <w:iCs/>
                <w:color w:val="156082"/>
                <w:sz w:val="32"/>
                <w:szCs w:val="32"/>
              </w:rPr>
            </w:pPr>
            <w:r>
              <w:rPr>
                <w:i/>
                <w:iCs/>
                <w:color w:val="156082"/>
                <w:sz w:val="32"/>
                <w:szCs w:val="32"/>
              </w:rPr>
              <w:t>Assessment Title</w:t>
            </w:r>
          </w:p>
          <w:p w14:paraId="2AE8C7AE" w14:textId="77777777" w:rsidR="000D5BEC" w:rsidRDefault="00000000">
            <w:pPr>
              <w:spacing w:line="480" w:lineRule="auto"/>
              <w:rPr>
                <w:i/>
                <w:iCs/>
                <w:color w:val="5B0F00"/>
                <w:sz w:val="32"/>
                <w:szCs w:val="32"/>
              </w:rPr>
            </w:pPr>
            <w:r>
              <w:rPr>
                <w:i/>
                <w:iCs/>
                <w:color w:val="5B0F00"/>
                <w:sz w:val="32"/>
                <w:szCs w:val="32"/>
              </w:rPr>
              <w:t>CA-1 Capstone project proposal</w:t>
            </w:r>
          </w:p>
        </w:tc>
        <w:tc>
          <w:tcPr>
            <w:tcW w:w="5759" w:type="dxa"/>
            <w:tcBorders>
              <w:top w:val="nil"/>
              <w:left w:val="nil"/>
              <w:bottom w:val="nil"/>
              <w:right w:val="nil"/>
            </w:tcBorders>
          </w:tcPr>
          <w:p w14:paraId="3F4128C4" w14:textId="77777777" w:rsidR="000D5BEC" w:rsidRDefault="000D5BEC">
            <w:pPr>
              <w:spacing w:line="480" w:lineRule="auto"/>
              <w:rPr>
                <w:color w:val="000000"/>
                <w:sz w:val="32"/>
                <w:szCs w:val="32"/>
              </w:rPr>
            </w:pPr>
          </w:p>
        </w:tc>
      </w:tr>
      <w:tr w:rsidR="000D5BEC" w14:paraId="063F1421" w14:textId="77777777">
        <w:tc>
          <w:tcPr>
            <w:tcW w:w="3256" w:type="dxa"/>
            <w:tcBorders>
              <w:top w:val="nil"/>
              <w:left w:val="nil"/>
              <w:bottom w:val="nil"/>
              <w:right w:val="nil"/>
            </w:tcBorders>
          </w:tcPr>
          <w:p w14:paraId="5901C662" w14:textId="77777777" w:rsidR="000D5BEC" w:rsidRDefault="00000000">
            <w:pPr>
              <w:spacing w:line="480" w:lineRule="auto"/>
              <w:rPr>
                <w:i/>
                <w:iCs/>
                <w:color w:val="156082"/>
                <w:sz w:val="32"/>
                <w:szCs w:val="32"/>
              </w:rPr>
            </w:pPr>
            <w:r>
              <w:rPr>
                <w:i/>
                <w:iCs/>
                <w:color w:val="156082"/>
                <w:sz w:val="32"/>
                <w:szCs w:val="32"/>
              </w:rPr>
              <w:t>Lecturer/Supervisor</w:t>
            </w:r>
          </w:p>
          <w:p w14:paraId="3424927E" w14:textId="77777777" w:rsidR="000D5BEC" w:rsidRDefault="00000000">
            <w:pPr>
              <w:spacing w:line="480" w:lineRule="auto"/>
              <w:rPr>
                <w:i/>
                <w:iCs/>
                <w:color w:val="5B0F00"/>
                <w:sz w:val="32"/>
                <w:szCs w:val="32"/>
              </w:rPr>
            </w:pPr>
            <w:proofErr w:type="spellStart"/>
            <w:r>
              <w:rPr>
                <w:i/>
                <w:iCs/>
                <w:color w:val="5B0F00"/>
                <w:sz w:val="32"/>
                <w:szCs w:val="32"/>
              </w:rPr>
              <w:t>Taufique</w:t>
            </w:r>
            <w:proofErr w:type="spellEnd"/>
            <w:r>
              <w:rPr>
                <w:i/>
                <w:iCs/>
                <w:color w:val="5B0F00"/>
                <w:sz w:val="32"/>
                <w:szCs w:val="32"/>
              </w:rPr>
              <w:t xml:space="preserve"> Ahmed</w:t>
            </w:r>
          </w:p>
        </w:tc>
        <w:tc>
          <w:tcPr>
            <w:tcW w:w="5759" w:type="dxa"/>
            <w:tcBorders>
              <w:top w:val="nil"/>
              <w:left w:val="nil"/>
              <w:bottom w:val="nil"/>
              <w:right w:val="nil"/>
            </w:tcBorders>
          </w:tcPr>
          <w:p w14:paraId="7A14AD08" w14:textId="77777777" w:rsidR="000D5BEC" w:rsidRDefault="000D5BEC">
            <w:pPr>
              <w:spacing w:line="480" w:lineRule="auto"/>
              <w:rPr>
                <w:color w:val="000000"/>
                <w:sz w:val="32"/>
                <w:szCs w:val="32"/>
              </w:rPr>
            </w:pPr>
          </w:p>
        </w:tc>
      </w:tr>
      <w:tr w:rsidR="000D5BEC" w14:paraId="14FF1A86" w14:textId="77777777">
        <w:tc>
          <w:tcPr>
            <w:tcW w:w="3256" w:type="dxa"/>
            <w:tcBorders>
              <w:top w:val="nil"/>
              <w:left w:val="nil"/>
              <w:bottom w:val="nil"/>
              <w:right w:val="nil"/>
            </w:tcBorders>
          </w:tcPr>
          <w:p w14:paraId="3CF3F228" w14:textId="77777777" w:rsidR="000D5BEC" w:rsidRDefault="00000000">
            <w:pPr>
              <w:spacing w:line="480" w:lineRule="auto"/>
              <w:rPr>
                <w:i/>
                <w:iCs/>
                <w:color w:val="156082"/>
                <w:sz w:val="32"/>
                <w:szCs w:val="32"/>
              </w:rPr>
            </w:pPr>
            <w:r>
              <w:rPr>
                <w:i/>
                <w:iCs/>
                <w:color w:val="156082"/>
                <w:sz w:val="32"/>
                <w:szCs w:val="32"/>
              </w:rPr>
              <w:t>Assessment Due Date</w:t>
            </w:r>
          </w:p>
          <w:p w14:paraId="759DBCE6" w14:textId="77777777" w:rsidR="000D5BEC" w:rsidRDefault="00000000">
            <w:pPr>
              <w:spacing w:line="480" w:lineRule="auto"/>
              <w:rPr>
                <w:i/>
                <w:iCs/>
                <w:color w:val="5B0F00"/>
                <w:sz w:val="32"/>
                <w:szCs w:val="32"/>
              </w:rPr>
            </w:pPr>
            <w:r>
              <w:rPr>
                <w:i/>
                <w:iCs/>
                <w:color w:val="5B0F00"/>
                <w:sz w:val="32"/>
                <w:szCs w:val="32"/>
              </w:rPr>
              <w:t>25/10/2026</w:t>
            </w:r>
          </w:p>
        </w:tc>
        <w:tc>
          <w:tcPr>
            <w:tcW w:w="5759" w:type="dxa"/>
            <w:tcBorders>
              <w:top w:val="nil"/>
              <w:left w:val="nil"/>
              <w:bottom w:val="nil"/>
              <w:right w:val="nil"/>
            </w:tcBorders>
          </w:tcPr>
          <w:p w14:paraId="3F64B1A0" w14:textId="77777777" w:rsidR="000D5BEC" w:rsidRDefault="000D5BEC">
            <w:pPr>
              <w:spacing w:line="480" w:lineRule="auto"/>
              <w:rPr>
                <w:color w:val="000000"/>
                <w:sz w:val="32"/>
                <w:szCs w:val="32"/>
              </w:rPr>
            </w:pPr>
          </w:p>
        </w:tc>
      </w:tr>
      <w:tr w:rsidR="000D5BEC" w14:paraId="73393F9D" w14:textId="77777777">
        <w:tc>
          <w:tcPr>
            <w:tcW w:w="3256" w:type="dxa"/>
            <w:tcBorders>
              <w:top w:val="nil"/>
              <w:left w:val="nil"/>
              <w:bottom w:val="nil"/>
              <w:right w:val="nil"/>
            </w:tcBorders>
          </w:tcPr>
          <w:p w14:paraId="19A94087" w14:textId="77777777" w:rsidR="000D5BEC" w:rsidRDefault="00000000">
            <w:pPr>
              <w:spacing w:line="480" w:lineRule="auto"/>
              <w:rPr>
                <w:i/>
                <w:iCs/>
                <w:color w:val="156082"/>
                <w:sz w:val="32"/>
                <w:szCs w:val="32"/>
              </w:rPr>
            </w:pPr>
            <w:r>
              <w:rPr>
                <w:i/>
                <w:iCs/>
                <w:color w:val="156082"/>
                <w:sz w:val="32"/>
                <w:szCs w:val="32"/>
              </w:rPr>
              <w:lastRenderedPageBreak/>
              <w:t>Date of Submission</w:t>
            </w:r>
          </w:p>
          <w:p w14:paraId="0D1D3737" w14:textId="77777777" w:rsidR="000D5BEC" w:rsidRDefault="00000000">
            <w:pPr>
              <w:spacing w:line="480" w:lineRule="auto"/>
              <w:rPr>
                <w:i/>
                <w:iCs/>
                <w:color w:val="5B0F00"/>
                <w:sz w:val="32"/>
                <w:szCs w:val="32"/>
              </w:rPr>
            </w:pPr>
            <w:r>
              <w:rPr>
                <w:i/>
                <w:iCs/>
                <w:color w:val="5B0F00"/>
                <w:sz w:val="32"/>
                <w:szCs w:val="32"/>
              </w:rPr>
              <w:t>24/10/2026</w:t>
            </w:r>
          </w:p>
        </w:tc>
        <w:tc>
          <w:tcPr>
            <w:tcW w:w="5759" w:type="dxa"/>
            <w:tcBorders>
              <w:top w:val="nil"/>
              <w:left w:val="nil"/>
              <w:bottom w:val="nil"/>
              <w:right w:val="nil"/>
            </w:tcBorders>
          </w:tcPr>
          <w:p w14:paraId="34DBE6FD" w14:textId="77777777" w:rsidR="000D5BEC" w:rsidRDefault="000D5BEC">
            <w:pPr>
              <w:spacing w:line="480" w:lineRule="auto"/>
              <w:rPr>
                <w:color w:val="000000"/>
                <w:sz w:val="32"/>
                <w:szCs w:val="32"/>
              </w:rPr>
            </w:pPr>
          </w:p>
        </w:tc>
      </w:tr>
    </w:tbl>
    <w:p w14:paraId="764A63B7" w14:textId="77777777" w:rsidR="000D5BEC" w:rsidRDefault="000D5BEC">
      <w:pPr>
        <w:rPr>
          <w:b/>
          <w:bCs/>
          <w:color w:val="156082"/>
          <w:sz w:val="36"/>
          <w:szCs w:val="36"/>
        </w:rPr>
      </w:pPr>
    </w:p>
    <w:tbl>
      <w:tblPr>
        <w:tblStyle w:val="a0"/>
        <w:tblW w:w="8115" w:type="dxa"/>
        <w:tblInd w:w="0" w:type="dxa"/>
        <w:tblBorders>
          <w:insideH w:val="nil"/>
          <w:insideV w:val="nil"/>
        </w:tblBorders>
        <w:tblLayout w:type="fixed"/>
        <w:tblLook w:val="0400" w:firstRow="0" w:lastRow="0" w:firstColumn="0" w:lastColumn="0" w:noHBand="0" w:noVBand="1"/>
      </w:tblPr>
      <w:tblGrid>
        <w:gridCol w:w="8115"/>
      </w:tblGrid>
      <w:tr w:rsidR="000D5BEC" w14:paraId="15FB9506" w14:textId="77777777">
        <w:tc>
          <w:tcPr>
            <w:tcW w:w="8115" w:type="dxa"/>
            <w:tcBorders>
              <w:top w:val="nil"/>
              <w:left w:val="nil"/>
              <w:bottom w:val="nil"/>
              <w:right w:val="nil"/>
            </w:tcBorders>
          </w:tcPr>
          <w:p w14:paraId="1EE06316" w14:textId="77777777" w:rsidR="000D5BEC" w:rsidRDefault="00000000">
            <w:pPr>
              <w:spacing w:line="480" w:lineRule="auto"/>
              <w:rPr>
                <w:i/>
                <w:iCs/>
                <w:color w:val="156082"/>
                <w:sz w:val="32"/>
                <w:szCs w:val="32"/>
              </w:rPr>
            </w:pPr>
            <w:r>
              <w:rPr>
                <w:i/>
                <w:iCs/>
                <w:color w:val="156082"/>
                <w:sz w:val="32"/>
                <w:szCs w:val="32"/>
              </w:rPr>
              <w:t>GitHub repository</w:t>
            </w:r>
          </w:p>
          <w:p w14:paraId="2146035C" w14:textId="77777777" w:rsidR="000D5BEC" w:rsidRDefault="00000000">
            <w:pPr>
              <w:spacing w:line="480" w:lineRule="auto"/>
              <w:rPr>
                <w:i/>
                <w:iCs/>
                <w:color w:val="5B0F00"/>
                <w:sz w:val="32"/>
                <w:szCs w:val="32"/>
              </w:rPr>
            </w:pPr>
            <w:r>
              <w:rPr>
                <w:i/>
                <w:iCs/>
                <w:color w:val="5B0F00"/>
                <w:sz w:val="32"/>
                <w:szCs w:val="32"/>
              </w:rPr>
              <w:t>https://github.com/sba26106-bit/strategic-think-ca1</w:t>
            </w:r>
          </w:p>
        </w:tc>
      </w:tr>
    </w:tbl>
    <w:p w14:paraId="6F90CE49" w14:textId="77777777" w:rsidR="000D5BEC" w:rsidRDefault="000D5BEC">
      <w:pPr>
        <w:rPr>
          <w:b/>
          <w:bCs/>
          <w:color w:val="156082"/>
          <w:sz w:val="32"/>
          <w:szCs w:val="32"/>
        </w:rPr>
      </w:pPr>
    </w:p>
    <w:p w14:paraId="2146AED2" w14:textId="77777777" w:rsidR="000D5BEC" w:rsidRDefault="000D5BEC">
      <w:pPr>
        <w:rPr>
          <w:b/>
          <w:bCs/>
          <w:color w:val="156082"/>
          <w:sz w:val="32"/>
          <w:szCs w:val="32"/>
        </w:rPr>
      </w:pPr>
    </w:p>
    <w:p w14:paraId="2FAD8223" w14:textId="77777777" w:rsidR="000D5BEC" w:rsidRDefault="00000000">
      <w:pPr>
        <w:rPr>
          <w:b/>
          <w:bCs/>
          <w:color w:val="156082"/>
          <w:sz w:val="32"/>
          <w:szCs w:val="32"/>
        </w:rPr>
      </w:pPr>
      <w:r>
        <w:rPr>
          <w:b/>
          <w:bCs/>
          <w:color w:val="156082"/>
          <w:sz w:val="32"/>
          <w:szCs w:val="32"/>
        </w:rPr>
        <w:t>Use of AI Tools</w:t>
      </w:r>
    </w:p>
    <w:p w14:paraId="2E663602" w14:textId="77777777" w:rsidR="000D5BEC" w:rsidRDefault="00000000">
      <w:pPr>
        <w:rPr>
          <w:b/>
          <w:bCs/>
          <w:sz w:val="28"/>
          <w:szCs w:val="28"/>
        </w:rPr>
      </w:pPr>
      <w:r>
        <w:rPr>
          <w:sz w:val="28"/>
          <w:szCs w:val="28"/>
        </w:rPr>
        <w:t xml:space="preserve">I acknowledge the use of </w:t>
      </w:r>
      <w:r>
        <w:rPr>
          <w:b/>
          <w:bCs/>
          <w:sz w:val="28"/>
          <w:szCs w:val="28"/>
        </w:rPr>
        <w:t>Claude, Grammarly, Google Translator</w:t>
      </w:r>
      <w:r>
        <w:rPr>
          <w:sz w:val="28"/>
          <w:szCs w:val="28"/>
        </w:rPr>
        <w:t xml:space="preserve"> for the purpose of </w:t>
      </w:r>
      <w:r>
        <w:rPr>
          <w:b/>
          <w:bCs/>
          <w:sz w:val="28"/>
          <w:szCs w:val="28"/>
        </w:rPr>
        <w:t xml:space="preserve">brainstorming, code debugging, translating text and checking the grammar. </w:t>
      </w:r>
    </w:p>
    <w:p w14:paraId="2232B488" w14:textId="77777777" w:rsidR="000D5BEC" w:rsidRDefault="00000000">
      <w:r>
        <w:rPr>
          <w:noProof/>
        </w:rPr>
        <mc:AlternateContent>
          <mc:Choice Requires="wpg">
            <w:drawing>
              <wp:anchor distT="0" distB="0" distL="114300" distR="114300" simplePos="0" relativeHeight="251660288" behindDoc="0" locked="0" layoutInCell="1" hidden="0" allowOverlap="1" wp14:anchorId="2B580D60" wp14:editId="6C05F244">
                <wp:simplePos x="0" y="0"/>
                <wp:positionH relativeFrom="column">
                  <wp:posOffset>-28572</wp:posOffset>
                </wp:positionH>
                <wp:positionV relativeFrom="paragraph">
                  <wp:posOffset>463551</wp:posOffset>
                </wp:positionV>
                <wp:extent cx="5857875" cy="2933700"/>
                <wp:effectExtent l="0" t="0" r="0" b="0"/>
                <wp:wrapNone/>
                <wp:docPr id="1" name="Rectangle 1"/>
                <wp:cNvGraphicFramePr/>
                <a:graphic xmlns:a="http://schemas.openxmlformats.org/drawingml/2006/main">
                  <a:graphicData uri="http://schemas.microsoft.com/office/word/2010/wordprocessingShape">
                    <wps:wsp>
                      <wps:cNvSpPr/>
                      <wps:spPr>
                        <a:xfrm>
                          <a:off x="2445638" y="2341725"/>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312B7506" w14:textId="77777777" w:rsidR="000D5BEC" w:rsidRDefault="00000000">
                            <w:pPr>
                              <w:spacing w:line="258" w:lineRule="auto"/>
                              <w:textDirection w:val="btLr"/>
                            </w:pPr>
                            <w:r>
                              <w:rPr>
                                <w:b/>
                                <w:color w:val="156082"/>
                                <w:sz w:val="32"/>
                              </w:rPr>
                              <w:t>Declaration</w:t>
                            </w:r>
                          </w:p>
                          <w:p w14:paraId="6B353674" w14:textId="77777777" w:rsidR="000D5BEC" w:rsidRDefault="00000000">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7376E0B8" w14:textId="77777777" w:rsidR="000D5BEC" w:rsidRDefault="00000000">
                            <w:pPr>
                              <w:spacing w:line="258" w:lineRule="auto"/>
                              <w:textDirection w:val="btLr"/>
                            </w:pPr>
                            <w:r>
                              <w:rPr>
                                <w:color w:val="000000"/>
                                <w:sz w:val="28"/>
                              </w:rPr>
                              <w:t>I declare it to be my own work and that all material from third parties has been appropriately referenced.</w:t>
                            </w:r>
                          </w:p>
                          <w:p w14:paraId="3297F84B" w14:textId="77777777" w:rsidR="000D5BEC" w:rsidRDefault="00000000">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-28572</wp:posOffset>
                </wp:positionH>
                <wp:positionV relativeFrom="paragraph">
                  <wp:posOffset>463551</wp:posOffset>
                </wp:positionV>
                <wp:extent cx="5857875" cy="2933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57875" cy="2933700"/>
                        </a:xfrm>
                        <a:prstGeom prst="rect"/>
                        <a:ln/>
                      </pic:spPr>
                    </pic:pic>
                  </a:graphicData>
                </a:graphic>
              </wp:anchor>
            </w:drawing>
          </mc:Fallback>
        </mc:AlternateContent>
      </w:r>
    </w:p>
    <w:p w14:paraId="0E449C07" w14:textId="77777777" w:rsidR="000D5BEC" w:rsidRDefault="000D5BEC"/>
    <w:p w14:paraId="79226B1E" w14:textId="77777777" w:rsidR="000D5BEC" w:rsidRDefault="000D5BEC"/>
    <w:p w14:paraId="38744F0A" w14:textId="77777777" w:rsidR="000D5BEC" w:rsidRDefault="000D5BEC">
      <w:pPr>
        <w:sectPr w:rsidR="000D5BEC">
          <w:pgSz w:w="11906" w:h="16838"/>
          <w:pgMar w:top="1440" w:right="1440" w:bottom="1440" w:left="1440" w:header="708" w:footer="708" w:gutter="0"/>
          <w:pgNumType w:start="1"/>
          <w:cols w:space="720"/>
        </w:sectPr>
      </w:pPr>
    </w:p>
    <w:p w14:paraId="61091743" w14:textId="77777777" w:rsidR="000D5BEC" w:rsidRDefault="00000000">
      <w:pPr>
        <w:rPr>
          <w:color w:val="3A3A3A"/>
          <w:sz w:val="40"/>
          <w:szCs w:val="40"/>
        </w:rPr>
      </w:pPr>
      <w:r>
        <w:rPr>
          <w:color w:val="3A3A3A"/>
          <w:sz w:val="40"/>
          <w:szCs w:val="40"/>
        </w:rPr>
        <w:lastRenderedPageBreak/>
        <w:t>Abstract</w:t>
      </w:r>
    </w:p>
    <w:p w14:paraId="34CE3D02" w14:textId="77777777" w:rsidR="000D5BEC" w:rsidRDefault="000D5BEC"/>
    <w:p w14:paraId="67073D22" w14:textId="77777777" w:rsidR="000D5BEC" w:rsidRDefault="00000000">
      <w:pPr>
        <w:rPr>
          <w:color w:val="FF0000"/>
        </w:rPr>
      </w:pPr>
      <w:r>
        <w:rPr>
          <w:color w:val="FF0000"/>
        </w:rPr>
        <w:t xml:space="preserve">[NOTE: This section </w:t>
      </w:r>
      <w:proofErr w:type="gramStart"/>
      <w:r>
        <w:rPr>
          <w:color w:val="FF0000"/>
        </w:rPr>
        <w:t>is designated</w:t>
      </w:r>
      <w:proofErr w:type="gramEnd"/>
      <w:r>
        <w:rPr>
          <w:color w:val="FF0000"/>
        </w:rPr>
        <w:t xml:space="preserve"> for the abstract. Abstracts </w:t>
      </w:r>
      <w:proofErr w:type="gramStart"/>
      <w:r>
        <w:rPr>
          <w:color w:val="FF0000"/>
        </w:rPr>
        <w:t>are not assigned</w:t>
      </w:r>
      <w:proofErr w:type="gramEnd"/>
      <w:r>
        <w:rPr>
          <w:color w:val="FF0000"/>
        </w:rPr>
        <w:t xml:space="preserve"> page numbers and should precede the table of contents. If an abstract is unnecessary for your work, please delete this page.] </w:t>
      </w:r>
    </w:p>
    <w:p w14:paraId="1BC11F2A" w14:textId="77777777" w:rsidR="000D5BEC" w:rsidRDefault="000D5BEC">
      <w:pPr>
        <w:rPr>
          <w:color w:val="FF0000"/>
        </w:rPr>
      </w:pPr>
    </w:p>
    <w:p w14:paraId="5AD5519E" w14:textId="77777777" w:rsidR="000D5BEC" w:rsidRDefault="000D5BEC">
      <w:pPr>
        <w:rPr>
          <w:color w:val="FF0000"/>
        </w:rPr>
      </w:pPr>
    </w:p>
    <w:p w14:paraId="44A8FF8D" w14:textId="77777777" w:rsidR="000D5BEC" w:rsidRDefault="000D5BEC">
      <w:pPr>
        <w:rPr>
          <w:color w:val="FF0000"/>
        </w:rPr>
      </w:pPr>
    </w:p>
    <w:p w14:paraId="2260A64E" w14:textId="77777777" w:rsidR="000D5BEC" w:rsidRDefault="000D5BEC"/>
    <w:p w14:paraId="70D8CF41" w14:textId="77777777" w:rsidR="000D5BEC" w:rsidRDefault="000D5BEC"/>
    <w:p w14:paraId="4893F769" w14:textId="77777777" w:rsidR="000D5BEC" w:rsidRDefault="000D5BEC"/>
    <w:p w14:paraId="6F87484A" w14:textId="77777777" w:rsidR="000D5BEC" w:rsidRDefault="000D5BEC"/>
    <w:p w14:paraId="33ED3439" w14:textId="77777777" w:rsidR="000D5BEC" w:rsidRDefault="000D5BEC"/>
    <w:p w14:paraId="2DF93391" w14:textId="77777777" w:rsidR="000D5BEC" w:rsidRDefault="000D5BEC"/>
    <w:p w14:paraId="4C3C18BE" w14:textId="77777777" w:rsidR="000D5BEC" w:rsidRDefault="000D5BEC"/>
    <w:p w14:paraId="388E0D69" w14:textId="77777777" w:rsidR="000D5BEC" w:rsidRDefault="000D5BEC"/>
    <w:p w14:paraId="3CA54D8F" w14:textId="77777777" w:rsidR="000D5BEC" w:rsidRDefault="000D5BEC"/>
    <w:p w14:paraId="2C9D4DAD" w14:textId="77777777" w:rsidR="000D5BEC" w:rsidRDefault="000D5BEC"/>
    <w:p w14:paraId="29B9C0D0" w14:textId="77777777" w:rsidR="000D5BEC" w:rsidRDefault="000D5BEC"/>
    <w:p w14:paraId="5626B2AB" w14:textId="77777777" w:rsidR="000D5BEC" w:rsidRDefault="000D5BEC"/>
    <w:p w14:paraId="25A1326C" w14:textId="77777777" w:rsidR="000D5BEC" w:rsidRDefault="000D5BEC"/>
    <w:p w14:paraId="34182D15" w14:textId="77777777" w:rsidR="000D5BEC" w:rsidRDefault="000D5BEC"/>
    <w:p w14:paraId="1E863BEC" w14:textId="77777777" w:rsidR="000D5BEC" w:rsidRDefault="000D5BEC"/>
    <w:p w14:paraId="1EB5968B" w14:textId="77777777" w:rsidR="000D5BEC" w:rsidRDefault="000D5BEC"/>
    <w:p w14:paraId="375D02C0" w14:textId="77777777" w:rsidR="000D5BEC" w:rsidRDefault="000D5BEC"/>
    <w:p w14:paraId="063F58B2" w14:textId="77777777" w:rsidR="000D5BEC" w:rsidRDefault="000D5BEC"/>
    <w:p w14:paraId="473A4914" w14:textId="77777777" w:rsidR="000D5BEC" w:rsidRDefault="000D5BEC"/>
    <w:p w14:paraId="221268BF" w14:textId="77777777" w:rsidR="000D5BEC" w:rsidRDefault="000D5BEC"/>
    <w:p w14:paraId="3749311E" w14:textId="77777777" w:rsidR="000D5BEC" w:rsidRDefault="000D5BEC"/>
    <w:p w14:paraId="0DEE1B8D" w14:textId="77777777" w:rsidR="000D5BEC" w:rsidRDefault="000D5BEC"/>
    <w:p w14:paraId="02A3A6ED" w14:textId="77777777" w:rsidR="000D5BEC" w:rsidRDefault="00000000">
      <w:pPr>
        <w:keepNext/>
        <w:keepLines/>
        <w:pBdr>
          <w:top w:val="nil"/>
          <w:left w:val="nil"/>
          <w:bottom w:val="nil"/>
          <w:right w:val="nil"/>
          <w:between w:val="nil"/>
        </w:pBdr>
        <w:spacing w:before="240" w:after="0" w:line="240" w:lineRule="auto"/>
        <w:rPr>
          <w:color w:val="0F4761"/>
          <w:sz w:val="32"/>
          <w:szCs w:val="32"/>
        </w:rPr>
      </w:pPr>
      <w:r>
        <w:rPr>
          <w:color w:val="0F4761"/>
          <w:sz w:val="32"/>
          <w:szCs w:val="32"/>
        </w:rPr>
        <w:lastRenderedPageBreak/>
        <w:t>Contents</w:t>
      </w:r>
    </w:p>
    <w:sdt>
      <w:sdtPr>
        <w:id w:val="-1029881150"/>
        <w:docPartObj>
          <w:docPartGallery w:val="Table of Contents"/>
          <w:docPartUnique/>
        </w:docPartObj>
      </w:sdtPr>
      <w:sdtContent>
        <w:p w14:paraId="5B477623" w14:textId="77777777" w:rsidR="000D5BEC"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d9j7i88gom3b">
            <w:r>
              <w:rPr>
                <w:color w:val="000000"/>
              </w:rPr>
              <w:tab/>
            </w:r>
          </w:hyperlink>
        </w:p>
        <w:p w14:paraId="5F8C04B7" w14:textId="77777777" w:rsidR="000D5BEC"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r>
            <w:t>1. Project Title</w:t>
          </w:r>
          <w:hyperlink w:anchor="_bxd8mdjnh2at">
            <w:r>
              <w:rPr>
                <w:color w:val="000000"/>
              </w:rPr>
              <w:tab/>
              <w:t>1</w:t>
            </w:r>
          </w:hyperlink>
        </w:p>
        <w:p w14:paraId="199DD5D2" w14:textId="77777777" w:rsidR="000D5BEC"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r>
            <w:rPr>
              <w:color w:val="000000"/>
            </w:rPr>
            <w:t>2. Introduction</w:t>
          </w:r>
          <w:hyperlink w:anchor="_3qsybt15sik8">
            <w:r>
              <w:rPr>
                <w:color w:val="000000"/>
              </w:rPr>
              <w:tab/>
              <w:t>1</w:t>
            </w:r>
          </w:hyperlink>
        </w:p>
        <w:p w14:paraId="57209DFF" w14:textId="77777777" w:rsidR="000D5BEC"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r>
            <w:rPr>
              <w:color w:val="000000"/>
            </w:rPr>
            <w:t>3. Problem Definition</w:t>
          </w:r>
          <w:hyperlink w:anchor="_8ib9tfj4rtw5">
            <w:r>
              <w:rPr>
                <w:color w:val="000000"/>
              </w:rPr>
              <w:tab/>
              <w:t>1</w:t>
            </w:r>
          </w:hyperlink>
        </w:p>
        <w:p w14:paraId="195A2F22" w14:textId="77777777" w:rsidR="000D5BEC" w:rsidRDefault="00000000">
          <w:pPr>
            <w:pBdr>
              <w:top w:val="nil"/>
              <w:left w:val="nil"/>
              <w:bottom w:val="nil"/>
              <w:right w:val="nil"/>
              <w:between w:val="nil"/>
            </w:pBdr>
            <w:tabs>
              <w:tab w:val="right" w:pos="9016"/>
            </w:tabs>
            <w:spacing w:after="100"/>
            <w:rPr>
              <w:rFonts w:ascii="Aptos" w:eastAsia="Aptos" w:hAnsi="Aptos" w:cs="Aptos"/>
              <w:color w:val="000000"/>
              <w:sz w:val="24"/>
              <w:szCs w:val="24"/>
            </w:rPr>
          </w:pPr>
          <w:r>
            <w:rPr>
              <w:color w:val="000000"/>
            </w:rPr>
            <w:t>4. Aim and Objectives</w:t>
          </w:r>
          <w:hyperlink w:anchor="_9uuzpv61bt43">
            <w:r>
              <w:rPr>
                <w:color w:val="000000"/>
              </w:rPr>
              <w:tab/>
              <w:t>2</w:t>
            </w:r>
          </w:hyperlink>
        </w:p>
        <w:p w14:paraId="33CEE99E" w14:textId="77777777" w:rsidR="000D5BEC" w:rsidRDefault="00000000">
          <w:pPr>
            <w:tabs>
              <w:tab w:val="right" w:pos="9016"/>
            </w:tabs>
            <w:spacing w:after="100"/>
            <w:rPr>
              <w:rFonts w:ascii="Aptos" w:eastAsia="Aptos" w:hAnsi="Aptos" w:cs="Aptos"/>
              <w:sz w:val="24"/>
              <w:szCs w:val="24"/>
            </w:rPr>
          </w:pPr>
          <w:r>
            <w:t>5. Scope</w:t>
          </w:r>
          <w:hyperlink w:anchor="_9uuzpv61bt43">
            <w:r>
              <w:tab/>
              <w:t>2</w:t>
            </w:r>
          </w:hyperlink>
        </w:p>
        <w:p w14:paraId="23E52A11" w14:textId="77777777" w:rsidR="000D5BEC" w:rsidRDefault="00000000">
          <w:pPr>
            <w:tabs>
              <w:tab w:val="right" w:pos="9016"/>
            </w:tabs>
            <w:spacing w:after="100"/>
            <w:rPr>
              <w:rFonts w:ascii="Aptos" w:eastAsia="Aptos" w:hAnsi="Aptos" w:cs="Aptos"/>
              <w:sz w:val="24"/>
              <w:szCs w:val="24"/>
            </w:rPr>
          </w:pPr>
          <w:r>
            <w:t>6. Methodology</w:t>
          </w:r>
          <w:hyperlink w:anchor="_9uuzpv61bt43">
            <w:r>
              <w:tab/>
              <w:t>2</w:t>
            </w:r>
          </w:hyperlink>
        </w:p>
        <w:p w14:paraId="298B9596" w14:textId="77777777" w:rsidR="000D5BEC" w:rsidRDefault="00000000">
          <w:pPr>
            <w:tabs>
              <w:tab w:val="right" w:pos="9016"/>
            </w:tabs>
            <w:spacing w:after="100"/>
            <w:rPr>
              <w:rFonts w:ascii="Aptos" w:eastAsia="Aptos" w:hAnsi="Aptos" w:cs="Aptos"/>
              <w:sz w:val="24"/>
              <w:szCs w:val="24"/>
            </w:rPr>
          </w:pPr>
          <w:r>
            <w:t>7. Data Sources</w:t>
          </w:r>
          <w:hyperlink w:anchor="_9uuzpv61bt43">
            <w:r>
              <w:tab/>
              <w:t>2</w:t>
            </w:r>
          </w:hyperlink>
        </w:p>
        <w:p w14:paraId="6AF652F0" w14:textId="77777777" w:rsidR="000D5BEC" w:rsidRDefault="00000000">
          <w:pPr>
            <w:tabs>
              <w:tab w:val="right" w:pos="9016"/>
            </w:tabs>
            <w:spacing w:after="100"/>
            <w:rPr>
              <w:rFonts w:ascii="Aptos" w:eastAsia="Aptos" w:hAnsi="Aptos" w:cs="Aptos"/>
              <w:sz w:val="24"/>
              <w:szCs w:val="24"/>
            </w:rPr>
          </w:pPr>
          <w:r>
            <w:t>8. Expected Deliverables</w:t>
          </w:r>
          <w:hyperlink w:anchor="_9uuzpv61bt43">
            <w:r>
              <w:tab/>
              <w:t>2</w:t>
            </w:r>
          </w:hyperlink>
        </w:p>
        <w:p w14:paraId="06D8AAEA" w14:textId="77777777" w:rsidR="000D5BEC" w:rsidRDefault="00000000">
          <w:pPr>
            <w:tabs>
              <w:tab w:val="right" w:pos="9016"/>
            </w:tabs>
            <w:spacing w:after="100"/>
            <w:rPr>
              <w:rFonts w:ascii="Aptos" w:eastAsia="Aptos" w:hAnsi="Aptos" w:cs="Aptos"/>
              <w:sz w:val="24"/>
              <w:szCs w:val="24"/>
            </w:rPr>
          </w:pPr>
          <w:r>
            <w:t>9. Project Timeline</w:t>
          </w:r>
          <w:hyperlink w:anchor="_9uuzpv61bt43">
            <w:r>
              <w:tab/>
              <w:t>2</w:t>
            </w:r>
          </w:hyperlink>
        </w:p>
        <w:p w14:paraId="412191DF" w14:textId="77777777" w:rsidR="000D5BEC" w:rsidRDefault="00000000">
          <w:pPr>
            <w:tabs>
              <w:tab w:val="right" w:pos="9016"/>
            </w:tabs>
            <w:spacing w:after="100"/>
            <w:rPr>
              <w:rFonts w:ascii="Aptos" w:eastAsia="Aptos" w:hAnsi="Aptos" w:cs="Aptos"/>
              <w:sz w:val="24"/>
              <w:szCs w:val="24"/>
            </w:rPr>
          </w:pPr>
          <w:r>
            <w:t>10. Ethical and Legal Considerations</w:t>
          </w:r>
          <w:hyperlink w:anchor="_9uuzpv61bt43">
            <w:r>
              <w:tab/>
              <w:t>2</w:t>
            </w:r>
          </w:hyperlink>
        </w:p>
        <w:p w14:paraId="3FE60110" w14:textId="77777777" w:rsidR="000D5BEC" w:rsidRDefault="00000000">
          <w:pPr>
            <w:tabs>
              <w:tab w:val="right" w:pos="9016"/>
            </w:tabs>
            <w:spacing w:after="100"/>
            <w:rPr>
              <w:rFonts w:ascii="Aptos" w:eastAsia="Aptos" w:hAnsi="Aptos" w:cs="Aptos"/>
              <w:sz w:val="24"/>
              <w:szCs w:val="24"/>
            </w:rPr>
          </w:pPr>
          <w:r>
            <w:t>References</w:t>
          </w:r>
          <w:hyperlink w:anchor="_9uuzpv61bt43">
            <w:r>
              <w:tab/>
              <w:t>2</w:t>
            </w:r>
          </w:hyperlink>
        </w:p>
        <w:p w14:paraId="75C38F9C" w14:textId="77777777" w:rsidR="000D5BEC" w:rsidRDefault="000D5BEC">
          <w:pPr>
            <w:tabs>
              <w:tab w:val="right" w:pos="9016"/>
            </w:tabs>
            <w:spacing w:after="100"/>
            <w:rPr>
              <w:rFonts w:ascii="Aptos" w:eastAsia="Aptos" w:hAnsi="Aptos" w:cs="Aptos"/>
              <w:sz w:val="24"/>
              <w:szCs w:val="24"/>
            </w:rPr>
          </w:pPr>
        </w:p>
        <w:p w14:paraId="6A695AD7" w14:textId="77777777" w:rsidR="000D5BEC" w:rsidRDefault="00000000">
          <w:r>
            <w:fldChar w:fldCharType="end"/>
          </w:r>
        </w:p>
      </w:sdtContent>
    </w:sdt>
    <w:p w14:paraId="66CEDE04" w14:textId="77777777" w:rsidR="000D5BEC" w:rsidRDefault="000D5BEC"/>
    <w:p w14:paraId="29283F95" w14:textId="77777777" w:rsidR="000D5BEC" w:rsidRDefault="00000000">
      <w:pPr>
        <w:rPr>
          <w:color w:val="FF0000"/>
        </w:rPr>
      </w:pPr>
      <w:r>
        <w:rPr>
          <w:color w:val="FF0000"/>
        </w:rPr>
        <w:t xml:space="preserve">[NOTE: The table of contents above has </w:t>
      </w:r>
      <w:proofErr w:type="gramStart"/>
      <w:r>
        <w:rPr>
          <w:color w:val="FF0000"/>
        </w:rPr>
        <w:t>been included</w:t>
      </w:r>
      <w:proofErr w:type="gramEnd"/>
      <w:r>
        <w:rPr>
          <w:color w:val="FF0000"/>
        </w:rPr>
        <w:t xml:space="preserve"> for your convenience. To refresh the table, simply click on it, then select 'Update Table' using the mouse. You can choose to update either the page numbers exclusively or the entire table as needed.] </w:t>
      </w:r>
    </w:p>
    <w:p w14:paraId="081C01D6" w14:textId="77777777" w:rsidR="000D5BEC" w:rsidRDefault="000D5BEC">
      <w:pPr>
        <w:sectPr w:rsidR="000D5BEC">
          <w:footerReference w:type="default" r:id="rId9"/>
          <w:pgSz w:w="11906" w:h="16838"/>
          <w:pgMar w:top="1440" w:right="1440" w:bottom="1440" w:left="1440" w:header="708" w:footer="708" w:gutter="0"/>
          <w:cols w:space="720"/>
        </w:sectPr>
      </w:pPr>
    </w:p>
    <w:p w14:paraId="357F25E4" w14:textId="77777777" w:rsidR="000D5BEC" w:rsidRDefault="00000000">
      <w:pPr>
        <w:pStyle w:val="Heading1"/>
        <w:numPr>
          <w:ilvl w:val="0"/>
          <w:numId w:val="4"/>
        </w:numPr>
        <w:jc w:val="both"/>
      </w:pPr>
      <w:bookmarkStart w:id="0" w:name="_t1nlbosncosn" w:colFirst="0" w:colLast="0"/>
      <w:bookmarkEnd w:id="0"/>
      <w:r>
        <w:lastRenderedPageBreak/>
        <w:t>Project Title</w:t>
      </w:r>
    </w:p>
    <w:p w14:paraId="69DD69AD" w14:textId="77777777" w:rsidR="000D5BEC" w:rsidRDefault="00000000">
      <w:pPr>
        <w:jc w:val="both"/>
      </w:pPr>
      <w:r>
        <w:t>Predicting the Orbital Lifetime of Defunct Satellites and Rocket Bodies in Low Earth Orbit to Help Operators Comply with the Five-Year Disposal Rule.</w:t>
      </w:r>
    </w:p>
    <w:p w14:paraId="6E2C077C" w14:textId="77777777" w:rsidR="000D5BEC" w:rsidRDefault="00000000">
      <w:pPr>
        <w:pStyle w:val="Heading1"/>
        <w:numPr>
          <w:ilvl w:val="0"/>
          <w:numId w:val="4"/>
        </w:numPr>
        <w:jc w:val="both"/>
      </w:pPr>
      <w:bookmarkStart w:id="1" w:name="_kexuwf2gsbgu" w:colFirst="0" w:colLast="0"/>
      <w:bookmarkEnd w:id="1"/>
      <w:r>
        <w:t>Introduction</w:t>
      </w:r>
    </w:p>
    <w:p w14:paraId="2A2800A2" w14:textId="77777777" w:rsidR="000D5BEC" w:rsidRDefault="00000000">
      <w:pPr>
        <w:jc w:val="both"/>
      </w:pPr>
      <w:r>
        <w:t xml:space="preserve">Low Earth Orbit (LEO) is where most broadband, navigation and Earth-observation satellites operate, and it is getting crowded. About </w:t>
      </w:r>
      <w:proofErr w:type="gramStart"/>
      <w:r>
        <w:t>40000</w:t>
      </w:r>
      <w:proofErr w:type="gramEnd"/>
      <w:r>
        <w:t xml:space="preserve"> objects </w:t>
      </w:r>
      <w:proofErr w:type="gramStart"/>
      <w:r>
        <w:t>are now tracked</w:t>
      </w:r>
      <w:proofErr w:type="gramEnd"/>
      <w:r>
        <w:t xml:space="preserve"> around Earth, and only about 11000 of them are working satellites (European Space Agency, 2025). The rest are defunct satellites, used rocket bodies and fragments. Collisions and explosions now create new debris faster than the atmosphere removes old debris (European Space Agency, 2025). Kessler and Cour-Palais (1978) warned that this could become a chain reaction of collisions.</w:t>
      </w:r>
    </w:p>
    <w:p w14:paraId="5BACFF92" w14:textId="77777777" w:rsidR="000D5BEC" w:rsidRDefault="00000000">
      <w:pPr>
        <w:jc w:val="both"/>
      </w:pPr>
      <w:r>
        <w:t xml:space="preserve">Regulators have responded with stricter disposal rules. The US Federal Communications Commission (FCC) now requires satellites below 2000 km to leave orbit within five years of the end of their mission. The earlier benchmark was 25 years (Federal Communications Commission, 2024). ESA applied the same five-year limit to its own mission in 2023 (European Space Agency, 2023). </w:t>
      </w:r>
    </w:p>
    <w:p w14:paraId="16D57123" w14:textId="77777777" w:rsidR="000D5BEC" w:rsidRDefault="00000000">
      <w:pPr>
        <w:jc w:val="both"/>
      </w:pPr>
      <w:r>
        <w:t>This creates a practical problem for satellite operators. When a mission ends, the operator must decide whether the satellite will re-enter within five years on its own or needs a disposal manoeuvre to lower its orbit. The manoeuvre uses fuel that could otherwise extend the mission. A wrong estimate therefore either wastes fuel or leaves an object that breaks the rule. The difficulty is visible in the numbers: about 90% of rocket bodies in LEO meet the 25-year standard, but only about 80% meet the five-year one (European Space Agency, 2025).</w:t>
      </w:r>
    </w:p>
    <w:p w14:paraId="1562112D" w14:textId="77777777" w:rsidR="000D5BEC" w:rsidRDefault="00000000">
      <w:pPr>
        <w:jc w:val="both"/>
      </w:pPr>
      <w:r>
        <w:t xml:space="preserve">Orbital lifetime is difficult to estimate. It depends </w:t>
      </w:r>
      <w:proofErr w:type="gramStart"/>
      <w:r>
        <w:t>mainly on</w:t>
      </w:r>
      <w:proofErr w:type="gramEnd"/>
      <w:r>
        <w:t xml:space="preserve"> the object’s altitude, its mass and size, and solar activity, which changes how much drag the upper atmosphere produces. This project uses more than 60 years of publicly available tracking records to build a model that predicts how long an uncontrolled LEO object will stay in orbit. The intended users are operators and licensing authorities who need to check a mission against the five-year rule.</w:t>
      </w:r>
    </w:p>
    <w:p w14:paraId="6E39AD6F" w14:textId="77777777" w:rsidR="000D5BEC" w:rsidRDefault="00000000">
      <w:pPr>
        <w:pStyle w:val="Heading1"/>
        <w:numPr>
          <w:ilvl w:val="0"/>
          <w:numId w:val="4"/>
        </w:numPr>
        <w:jc w:val="both"/>
      </w:pPr>
      <w:bookmarkStart w:id="2" w:name="_qwg2uy9o4da5" w:colFirst="0" w:colLast="0"/>
      <w:bookmarkEnd w:id="2"/>
      <w:r>
        <w:t>Problem Definition</w:t>
      </w:r>
    </w:p>
    <w:p w14:paraId="35BF5D1B" w14:textId="77777777" w:rsidR="000D5BEC" w:rsidRDefault="00000000">
      <w:pPr>
        <w:jc w:val="both"/>
      </w:pPr>
      <w:r>
        <w:t xml:space="preserve">The business problem is uncertainty about how long an object will remain in orbit. </w:t>
      </w:r>
      <w:proofErr w:type="gramStart"/>
      <w:r>
        <w:t>A  satellite</w:t>
      </w:r>
      <w:proofErr w:type="gramEnd"/>
      <w:r>
        <w:t xml:space="preserve"> operator or launch provider must judge whether hardware left </w:t>
      </w:r>
      <w:proofErr w:type="gramStart"/>
      <w:r>
        <w:t>in a given</w:t>
      </w:r>
      <w:proofErr w:type="gramEnd"/>
      <w:r>
        <w:t xml:space="preserve"> orbit will re-enter within the five-year limit. A regulator must then check that judgement. </w:t>
      </w:r>
    </w:p>
    <w:p w14:paraId="0963B04D" w14:textId="77777777" w:rsidR="000D5BEC" w:rsidRDefault="00000000">
      <w:pPr>
        <w:jc w:val="both"/>
      </w:pPr>
      <w:r>
        <w:t xml:space="preserve">Orbital lifetime depends </w:t>
      </w:r>
      <w:proofErr w:type="gramStart"/>
      <w:r>
        <w:t>mainly on</w:t>
      </w:r>
      <w:proofErr w:type="gramEnd"/>
      <w:r>
        <w:t xml:space="preserve"> three factors: the object’s altitude, its mass and size, and solar activity. A light object with a large surface </w:t>
      </w:r>
      <w:proofErr w:type="gramStart"/>
      <w:r>
        <w:t>is slowed</w:t>
      </w:r>
      <w:proofErr w:type="gramEnd"/>
      <w:r>
        <w:t xml:space="preserve"> by the atmosphere faster than a heavy, compact one. Solar activity heats the upper atmosphere and makes it expand, which increases drag. The effect can be large. In </w:t>
      </w:r>
      <w:proofErr w:type="gramStart"/>
      <w:r>
        <w:t>February 2022</w:t>
      </w:r>
      <w:proofErr w:type="gramEnd"/>
      <w:r>
        <w:t xml:space="preserve"> a geomagnetic storm increased drag at low altitude, and 38 of 49 newly launched Starlink satellites </w:t>
      </w:r>
      <w:proofErr w:type="gramStart"/>
      <w:r>
        <w:t>were lost</w:t>
      </w:r>
      <w:proofErr w:type="gramEnd"/>
      <w:r>
        <w:t xml:space="preserve"> (Fang et al., 2022).</w:t>
      </w:r>
    </w:p>
    <w:p w14:paraId="506F2521" w14:textId="77777777" w:rsidR="000D5BEC" w:rsidRDefault="00000000">
      <w:pPr>
        <w:jc w:val="both"/>
      </w:pPr>
      <w:r>
        <w:t xml:space="preserve">Lifetime </w:t>
      </w:r>
      <w:proofErr w:type="gramStart"/>
      <w:r>
        <w:t>is currently estimated</w:t>
      </w:r>
      <w:proofErr w:type="gramEnd"/>
      <w:r>
        <w:t xml:space="preserve"> with physics-based tools such as OSCAR, the lifetime module of ESA’s DRAMA suite (Braun et al., 2020). These tools need the object’s mass and cross-section area, and a drag value fitted to its tracking data. The results remain uncertain: ESA applies a margin of ±20% of the remaining lifetime to its own re-entry predictions (European Space Agency, 2018).</w:t>
      </w:r>
    </w:p>
    <w:p w14:paraId="52F054CE" w14:textId="77777777" w:rsidR="000D5BEC" w:rsidRDefault="00000000">
      <w:pPr>
        <w:jc w:val="both"/>
      </w:pPr>
      <w:r>
        <w:lastRenderedPageBreak/>
        <w:t xml:space="preserve">Data analytics and machine learning tools can add evidence from how similar objects have </w:t>
      </w:r>
      <w:proofErr w:type="gramStart"/>
      <w:r>
        <w:t>actually decayed</w:t>
      </w:r>
      <w:proofErr w:type="gramEnd"/>
      <w:r>
        <w:t xml:space="preserve">. Tracking catalogues hold millions of orbit records covering more than 60 years, and the actual lifetime is known for every object that has already re-entered. A model trained on these records can estimate the remaining lifetime of an uncontrolled LEO object and the probability that it re-enters within five years. It can also report how uncertain each estimate is. Future solar activity cannot </w:t>
      </w:r>
      <w:proofErr w:type="gramStart"/>
      <w:r>
        <w:t>be forecast</w:t>
      </w:r>
      <w:proofErr w:type="gramEnd"/>
      <w:r>
        <w:t xml:space="preserve"> reliably (European Space Agency, 2018), so long-range estimates will remain uncertain. The result is a </w:t>
      </w:r>
      <w:proofErr w:type="gramStart"/>
      <w:r>
        <w:t>fast screening</w:t>
      </w:r>
      <w:proofErr w:type="gramEnd"/>
      <w:r>
        <w:t xml:space="preserve"> tool that supports physics-based analysis and does not replace it. Operators could use it to decide whether a satellite needs a disposal manoeuvre at the end of its mission. Regulators could use it to check whether objects already in orbit will meet the five-year rule.</w:t>
      </w:r>
    </w:p>
    <w:p w14:paraId="68F2394D" w14:textId="77777777" w:rsidR="000D5BEC" w:rsidRDefault="00000000">
      <w:pPr>
        <w:pStyle w:val="Heading1"/>
        <w:numPr>
          <w:ilvl w:val="0"/>
          <w:numId w:val="4"/>
        </w:numPr>
        <w:jc w:val="both"/>
      </w:pPr>
      <w:bookmarkStart w:id="3" w:name="_a42v73ye4j6x" w:colFirst="0" w:colLast="0"/>
      <w:bookmarkEnd w:id="3"/>
      <w:r>
        <w:t>Aim and Objectives</w:t>
      </w:r>
    </w:p>
    <w:p w14:paraId="2F8D3057" w14:textId="77777777" w:rsidR="000D5BEC" w:rsidRDefault="00000000">
      <w:pPr>
        <w:pStyle w:val="Heading2"/>
        <w:jc w:val="both"/>
      </w:pPr>
      <w:bookmarkStart w:id="4" w:name="_t1usayl7eqbu" w:colFirst="0" w:colLast="0"/>
      <w:bookmarkEnd w:id="4"/>
      <w:r>
        <w:t>Aim</w:t>
      </w:r>
    </w:p>
    <w:p w14:paraId="56844CA0" w14:textId="77777777" w:rsidR="000D5BEC" w:rsidRDefault="00000000">
      <w:pPr>
        <w:jc w:val="both"/>
      </w:pPr>
      <w:r>
        <w:t xml:space="preserve">To develop and evaluate a predictive model that estimates how long an uncontrolled LEO object will remain in orbit, based on its current orbit and solar conditions, and to </w:t>
      </w:r>
      <w:proofErr w:type="gramStart"/>
      <w:r>
        <w:t>test</w:t>
      </w:r>
      <w:proofErr w:type="gramEnd"/>
      <w:r>
        <w:t xml:space="preserve"> how reliably the model identifies objects that will re-enter within the five-year disposal limit.</w:t>
      </w:r>
    </w:p>
    <w:p w14:paraId="2C7C79DB" w14:textId="77777777" w:rsidR="000D5BEC" w:rsidRDefault="00000000">
      <w:pPr>
        <w:pStyle w:val="Heading2"/>
        <w:jc w:val="both"/>
      </w:pPr>
      <w:bookmarkStart w:id="5" w:name="_25fbmp1ivljm" w:colFirst="0" w:colLast="0"/>
      <w:bookmarkEnd w:id="5"/>
      <w:r>
        <w:t>Objectives</w:t>
      </w:r>
    </w:p>
    <w:p w14:paraId="3E5B9755" w14:textId="77777777" w:rsidR="000D5BEC" w:rsidRDefault="00000000">
      <w:pPr>
        <w:numPr>
          <w:ilvl w:val="0"/>
          <w:numId w:val="3"/>
        </w:numPr>
        <w:spacing w:after="0"/>
        <w:jc w:val="both"/>
      </w:pPr>
      <w:r>
        <w:t xml:space="preserve">Build one cleaned and labelled dataset that combines orbit-history records, re-entry dates, daily space-weather </w:t>
      </w:r>
      <w:proofErr w:type="gramStart"/>
      <w:r>
        <w:t>data</w:t>
      </w:r>
      <w:proofErr w:type="gramEnd"/>
      <w:r>
        <w:t xml:space="preserve"> and object properties.</w:t>
      </w:r>
    </w:p>
    <w:p w14:paraId="5AC96A60" w14:textId="77777777" w:rsidR="000D5BEC" w:rsidRDefault="00000000">
      <w:pPr>
        <w:numPr>
          <w:ilvl w:val="0"/>
          <w:numId w:val="3"/>
        </w:numPr>
        <w:spacing w:after="0"/>
        <w:jc w:val="both"/>
      </w:pPr>
      <w:r>
        <w:t>Analyse how remaining lifetime changes with altitude, drag, object type and the phase of the solar cycle.</w:t>
      </w:r>
    </w:p>
    <w:p w14:paraId="7C02BE30" w14:textId="77777777" w:rsidR="000D5BEC" w:rsidRDefault="00000000">
      <w:pPr>
        <w:numPr>
          <w:ilvl w:val="0"/>
          <w:numId w:val="3"/>
        </w:numPr>
        <w:spacing w:after="0"/>
        <w:jc w:val="both"/>
      </w:pPr>
      <w:r>
        <w:t xml:space="preserve">Select and </w:t>
      </w:r>
      <w:proofErr w:type="gramStart"/>
      <w:r>
        <w:t>test</w:t>
      </w:r>
      <w:proofErr w:type="gramEnd"/>
      <w:r>
        <w:t xml:space="preserve"> suitable predictive </w:t>
      </w:r>
      <w:proofErr w:type="gramStart"/>
      <w:r>
        <w:t>models, and</w:t>
      </w:r>
      <w:proofErr w:type="gramEnd"/>
      <w:r>
        <w:t xml:space="preserve"> choose the model with the best accuracy and other evaluation measures.</w:t>
      </w:r>
    </w:p>
    <w:p w14:paraId="10472510" w14:textId="77777777" w:rsidR="000D5BEC" w:rsidRDefault="00000000">
      <w:pPr>
        <w:numPr>
          <w:ilvl w:val="0"/>
          <w:numId w:val="3"/>
        </w:numPr>
        <w:spacing w:after="0"/>
        <w:jc w:val="both"/>
      </w:pPr>
      <w:proofErr w:type="gramStart"/>
      <w:r>
        <w:t>Test</w:t>
      </w:r>
      <w:proofErr w:type="gramEnd"/>
      <w:r>
        <w:t xml:space="preserve"> the selected model’s five-year compliance decisions on objects and later years not used in training.</w:t>
      </w:r>
    </w:p>
    <w:p w14:paraId="14658067" w14:textId="77777777" w:rsidR="000D5BEC" w:rsidRDefault="00000000">
      <w:pPr>
        <w:numPr>
          <w:ilvl w:val="0"/>
          <w:numId w:val="3"/>
        </w:numPr>
        <w:jc w:val="both"/>
      </w:pPr>
      <w:r>
        <w:t>Deliver an interactive dashboard that shows the estimated lifetime and compliance probability for a selected object or orbit.</w:t>
      </w:r>
    </w:p>
    <w:p w14:paraId="14FB9BA1" w14:textId="77777777" w:rsidR="000D5BEC" w:rsidRDefault="00000000">
      <w:pPr>
        <w:pStyle w:val="Heading2"/>
        <w:jc w:val="both"/>
      </w:pPr>
      <w:bookmarkStart w:id="6" w:name="_blq8nqry79wh" w:colFirst="0" w:colLast="0"/>
      <w:bookmarkEnd w:id="6"/>
      <w:r>
        <w:t>Hypothesis</w:t>
      </w:r>
    </w:p>
    <w:p w14:paraId="138E2969" w14:textId="77777777" w:rsidR="000D5BEC" w:rsidRDefault="00000000">
      <w:pPr>
        <w:jc w:val="both"/>
      </w:pPr>
      <w:r>
        <w:t>H1: a model that includes solar-activity features known at the time of prediction (F10.7 solar flux and the Ap geomagnetic index) predicts lifetime more accurately on unseen objects than the same model using only orbital and drag features. H0: adding these features does not improve accuracy.</w:t>
      </w:r>
    </w:p>
    <w:p w14:paraId="4FD76448" w14:textId="77777777" w:rsidR="000D5BEC" w:rsidRDefault="00000000">
      <w:pPr>
        <w:pStyle w:val="Heading1"/>
        <w:ind w:left="708" w:hanging="283"/>
        <w:jc w:val="both"/>
      </w:pPr>
      <w:bookmarkStart w:id="7" w:name="_xoxes3n8ywpi" w:colFirst="0" w:colLast="0"/>
      <w:bookmarkEnd w:id="7"/>
      <w:r>
        <w:t>5. Scope</w:t>
      </w:r>
    </w:p>
    <w:p w14:paraId="152EEE68" w14:textId="77777777" w:rsidR="000D5BEC" w:rsidRDefault="00000000">
      <w:pPr>
        <w:pStyle w:val="Heading2"/>
        <w:jc w:val="both"/>
      </w:pPr>
      <w:bookmarkStart w:id="8" w:name="_vu7mpfn103vr" w:colFirst="0" w:colLast="0"/>
      <w:bookmarkEnd w:id="8"/>
      <w:r>
        <w:t>Included</w:t>
      </w:r>
    </w:p>
    <w:p w14:paraId="447CD3DD" w14:textId="77777777" w:rsidR="000D5BEC" w:rsidRDefault="00000000">
      <w:pPr>
        <w:numPr>
          <w:ilvl w:val="0"/>
          <w:numId w:val="1"/>
        </w:numPr>
        <w:spacing w:after="0"/>
        <w:jc w:val="both"/>
      </w:pPr>
      <w:r>
        <w:t xml:space="preserve">tracked objects whose whole orbit lies below </w:t>
      </w:r>
      <w:proofErr w:type="gramStart"/>
      <w:r>
        <w:t>2000</w:t>
      </w:r>
      <w:proofErr w:type="gramEnd"/>
      <w:r>
        <w:t xml:space="preserve"> </w:t>
      </w:r>
      <w:proofErr w:type="gramStart"/>
      <w:r>
        <w:t>km;</w:t>
      </w:r>
      <w:proofErr w:type="gramEnd"/>
    </w:p>
    <w:p w14:paraId="03D89516" w14:textId="77777777" w:rsidR="000D5BEC" w:rsidRDefault="00000000">
      <w:pPr>
        <w:numPr>
          <w:ilvl w:val="0"/>
          <w:numId w:val="1"/>
        </w:numPr>
        <w:spacing w:after="0"/>
        <w:jc w:val="both"/>
      </w:pPr>
      <w:r>
        <w:t xml:space="preserve">rocket bodies, mission-related objects, debris, and satellites whose mission has </w:t>
      </w:r>
      <w:proofErr w:type="gramStart"/>
      <w:r>
        <w:t>ended;</w:t>
      </w:r>
      <w:proofErr w:type="gramEnd"/>
    </w:p>
    <w:p w14:paraId="26DC31A1" w14:textId="77777777" w:rsidR="000D5BEC" w:rsidRDefault="00000000">
      <w:pPr>
        <w:numPr>
          <w:ilvl w:val="0"/>
          <w:numId w:val="1"/>
        </w:numPr>
        <w:jc w:val="both"/>
      </w:pPr>
      <w:r>
        <w:t>natural, uncontrolled decay in orbit records from 1959 to 2026.</w:t>
      </w:r>
    </w:p>
    <w:p w14:paraId="6868AFA6" w14:textId="77777777" w:rsidR="000D5BEC" w:rsidRDefault="00000000">
      <w:pPr>
        <w:pStyle w:val="Heading2"/>
        <w:jc w:val="both"/>
      </w:pPr>
      <w:bookmarkStart w:id="9" w:name="_k5i8h7e8zw0z" w:colFirst="0" w:colLast="0"/>
      <w:bookmarkEnd w:id="9"/>
      <w:r>
        <w:t>Excluded</w:t>
      </w:r>
    </w:p>
    <w:p w14:paraId="13275C0F" w14:textId="77777777" w:rsidR="000D5BEC" w:rsidRDefault="00000000">
      <w:pPr>
        <w:numPr>
          <w:ilvl w:val="0"/>
          <w:numId w:val="2"/>
        </w:numPr>
        <w:spacing w:after="0"/>
        <w:jc w:val="both"/>
      </w:pPr>
      <w:r>
        <w:t xml:space="preserve">satellites that still manoeuvre, because raising the orbit interrupts natural </w:t>
      </w:r>
      <w:proofErr w:type="gramStart"/>
      <w:r>
        <w:t>decay;</w:t>
      </w:r>
      <w:proofErr w:type="gramEnd"/>
    </w:p>
    <w:p w14:paraId="68035C60" w14:textId="77777777" w:rsidR="000D5BEC" w:rsidRDefault="00000000">
      <w:pPr>
        <w:numPr>
          <w:ilvl w:val="0"/>
          <w:numId w:val="2"/>
        </w:numPr>
        <w:spacing w:after="0"/>
        <w:jc w:val="both"/>
      </w:pPr>
      <w:r>
        <w:t xml:space="preserve">controlled re-entries, object above LEO and objects too small to </w:t>
      </w:r>
      <w:proofErr w:type="gramStart"/>
      <w:r>
        <w:t>track;</w:t>
      </w:r>
      <w:proofErr w:type="gramEnd"/>
    </w:p>
    <w:p w14:paraId="63FBC02A" w14:textId="77777777" w:rsidR="000D5BEC" w:rsidRDefault="00000000">
      <w:pPr>
        <w:numPr>
          <w:ilvl w:val="0"/>
          <w:numId w:val="2"/>
        </w:numPr>
        <w:jc w:val="both"/>
      </w:pPr>
      <w:r>
        <w:t xml:space="preserve">re-entry locations, break-up, ground </w:t>
      </w:r>
      <w:proofErr w:type="gramStart"/>
      <w:r>
        <w:t>risk</w:t>
      </w:r>
      <w:proofErr w:type="gramEnd"/>
      <w:r>
        <w:t xml:space="preserve"> and operational re-entry warnings.</w:t>
      </w:r>
    </w:p>
    <w:p w14:paraId="4C07FDAC" w14:textId="77777777" w:rsidR="000D5BEC" w:rsidRDefault="00000000">
      <w:pPr>
        <w:pStyle w:val="Heading1"/>
        <w:numPr>
          <w:ilvl w:val="0"/>
          <w:numId w:val="3"/>
        </w:numPr>
        <w:spacing w:before="160"/>
        <w:jc w:val="both"/>
      </w:pPr>
      <w:bookmarkStart w:id="10" w:name="_41uvy3o3isd8" w:colFirst="0" w:colLast="0"/>
      <w:bookmarkEnd w:id="10"/>
      <w:r>
        <w:lastRenderedPageBreak/>
        <w:t>Methodology</w:t>
      </w:r>
    </w:p>
    <w:p w14:paraId="699B9755" w14:textId="77777777" w:rsidR="000D5BEC" w:rsidRDefault="00000000">
      <w:pPr>
        <w:jc w:val="both"/>
      </w:pPr>
      <w:r>
        <w:t>The project follows the CRISP-DM process (Wirth and Hipp, 2000), because its iterative cycle suits a two-semester build.</w:t>
      </w:r>
    </w:p>
    <w:p w14:paraId="11098EA5" w14:textId="77777777" w:rsidR="000D5BEC" w:rsidRDefault="00000000">
      <w:pPr>
        <w:pStyle w:val="Heading2"/>
        <w:jc w:val="both"/>
      </w:pPr>
      <w:bookmarkStart w:id="11" w:name="_5uxfnseeht2l" w:colFirst="0" w:colLast="0"/>
      <w:bookmarkEnd w:id="11"/>
      <w:r>
        <w:t>Data Preparation</w:t>
      </w:r>
    </w:p>
    <w:p w14:paraId="36B1FF99" w14:textId="77777777" w:rsidR="000D5BEC" w:rsidRDefault="00000000">
      <w:pPr>
        <w:jc w:val="both"/>
      </w:pPr>
      <w:r>
        <w:t xml:space="preserve">Each observation is one object’s orbit on a given date, labelled with the days remaining until re-entry. Records </w:t>
      </w:r>
      <w:proofErr w:type="gramStart"/>
      <w:r>
        <w:t>are filtered</w:t>
      </w:r>
      <w:proofErr w:type="gramEnd"/>
      <w:r>
        <w:t xml:space="preserve"> to LEO and thinned to one per object per week, because consecutive records are </w:t>
      </w:r>
      <w:proofErr w:type="gramStart"/>
      <w:r>
        <w:t>nearly identical</w:t>
      </w:r>
      <w:proofErr w:type="gramEnd"/>
      <w:r>
        <w:t xml:space="preserve">. Solar flux and geomagnetic activity </w:t>
      </w:r>
      <w:proofErr w:type="gramStart"/>
      <w:r>
        <w:t>are joined</w:t>
      </w:r>
      <w:proofErr w:type="gramEnd"/>
      <w:r>
        <w:t xml:space="preserve"> by date, using only values available on that date, so no future information reaches the model. The features are perigee and apogee altitude, eccentricity, inclination, the drag term and decay rate from the orbit record, object type, and solar activity averaged over the preceding 81 days.</w:t>
      </w:r>
    </w:p>
    <w:p w14:paraId="65A75823" w14:textId="77777777" w:rsidR="000D5BEC" w:rsidRDefault="00000000">
      <w:pPr>
        <w:pStyle w:val="Heading2"/>
        <w:jc w:val="both"/>
      </w:pPr>
      <w:bookmarkStart w:id="12" w:name="_jgb2efwk6s3z" w:colFirst="0" w:colLast="0"/>
      <w:bookmarkEnd w:id="12"/>
      <w:r>
        <w:t>Analytics</w:t>
      </w:r>
    </w:p>
    <w:p w14:paraId="5FED2276" w14:textId="77777777" w:rsidR="000D5BEC" w:rsidRDefault="00000000">
      <w:pPr>
        <w:jc w:val="both"/>
      </w:pPr>
      <w:r>
        <w:t xml:space="preserve">Kaplan-Meier survival curves and log-rank tests compare lifetimes across altitude bands, object </w:t>
      </w:r>
      <w:proofErr w:type="gramStart"/>
      <w:r>
        <w:t>types</w:t>
      </w:r>
      <w:proofErr w:type="gramEnd"/>
      <w:r>
        <w:t xml:space="preserve"> and solar-cycle phases.</w:t>
      </w:r>
    </w:p>
    <w:p w14:paraId="274FEA5A" w14:textId="77777777" w:rsidR="000D5BEC" w:rsidRDefault="00000000">
      <w:pPr>
        <w:pStyle w:val="Heading2"/>
        <w:jc w:val="both"/>
      </w:pPr>
      <w:bookmarkStart w:id="13" w:name="_iqscd6wcls22" w:colFirst="0" w:colLast="0"/>
      <w:bookmarkEnd w:id="13"/>
      <w:r>
        <w:t>Predictive modelling</w:t>
      </w:r>
    </w:p>
    <w:p w14:paraId="3FDE3E3C" w14:textId="77777777" w:rsidR="000D5BEC" w:rsidRDefault="00000000">
      <w:pPr>
        <w:jc w:val="both"/>
      </w:pPr>
      <w:proofErr w:type="gramStart"/>
      <w:r>
        <w:t>Many</w:t>
      </w:r>
      <w:proofErr w:type="gramEnd"/>
      <w:r>
        <w:t xml:space="preserve"> objects are still in orbit, so their final lifetime is unknown. Survival methods </w:t>
      </w:r>
      <w:proofErr w:type="gramStart"/>
      <w:r>
        <w:t>are designed</w:t>
      </w:r>
      <w:proofErr w:type="gramEnd"/>
      <w:r>
        <w:t xml:space="preserve"> for such censored data. A Cox proportional-hazards model on perigee altitude alone is the baseline. Random survival forests (Ishwaran et al., 2008) and gradient-boosted trees capture non-linear effects. Models </w:t>
      </w:r>
      <w:proofErr w:type="gramStart"/>
      <w:r>
        <w:t>are compared</w:t>
      </w:r>
      <w:proofErr w:type="gramEnd"/>
      <w:r>
        <w:t xml:space="preserve"> using the concordance index and, for re-entered objects, ESA’s relative prediction error (European Space Agency, 2008). Compliance decisions </w:t>
      </w:r>
      <w:proofErr w:type="gramStart"/>
      <w:r>
        <w:t>are assessed</w:t>
      </w:r>
      <w:proofErr w:type="gramEnd"/>
      <w:r>
        <w:t xml:space="preserve"> with precision, </w:t>
      </w:r>
      <w:proofErr w:type="gramStart"/>
      <w:r>
        <w:t>recall</w:t>
      </w:r>
      <w:proofErr w:type="gramEnd"/>
      <w:r>
        <w:t xml:space="preserve"> and calibration. Data </w:t>
      </w:r>
      <w:proofErr w:type="gramStart"/>
      <w:r>
        <w:t>is split</w:t>
      </w:r>
      <w:proofErr w:type="gramEnd"/>
      <w:r>
        <w:t xml:space="preserve"> by object, never by row, and the final test uses later years than the training data. SHAP values show which factors drive each prediction. The hypothesis is </w:t>
      </w:r>
      <w:proofErr w:type="gramStart"/>
      <w:r>
        <w:t>tested</w:t>
      </w:r>
      <w:proofErr w:type="gramEnd"/>
      <w:r>
        <w:t xml:space="preserve"> by comparing each model with and without solar-activity features on the same folds, using a paired test.</w:t>
      </w:r>
    </w:p>
    <w:p w14:paraId="4C065ED6" w14:textId="77777777" w:rsidR="000D5BEC" w:rsidRDefault="00000000">
      <w:pPr>
        <w:pStyle w:val="Heading2"/>
        <w:jc w:val="both"/>
      </w:pPr>
      <w:bookmarkStart w:id="14" w:name="_86pixpl4gz5y" w:colFirst="0" w:colLast="0"/>
      <w:bookmarkEnd w:id="14"/>
      <w:r>
        <w:t>Tools</w:t>
      </w:r>
    </w:p>
    <w:p w14:paraId="2B7105D2" w14:textId="77777777" w:rsidR="000D5BEC" w:rsidRDefault="00000000">
      <w:pPr>
        <w:jc w:val="both"/>
      </w:pPr>
      <w:r>
        <w:t xml:space="preserve">Python (pandas, scikit-learn, scikit-survival, </w:t>
      </w:r>
      <w:proofErr w:type="spellStart"/>
      <w:r>
        <w:t>XGBoost</w:t>
      </w:r>
      <w:proofErr w:type="spellEnd"/>
      <w:r>
        <w:t xml:space="preserve">) in Jupiter; </w:t>
      </w:r>
      <w:proofErr w:type="spellStart"/>
      <w:r>
        <w:t>DuckDB</w:t>
      </w:r>
      <w:proofErr w:type="spellEnd"/>
      <w:r>
        <w:t xml:space="preserve"> with Parquet files, with can query hundreds of millions of rows on a laptop without a database server; </w:t>
      </w:r>
      <w:proofErr w:type="spellStart"/>
      <w:r>
        <w:t>Streamlit</w:t>
      </w:r>
      <w:proofErr w:type="spellEnd"/>
      <w:r>
        <w:t xml:space="preserve"> for the dashboard; GitHub for version control. The analysis software is open source, which avoids licence cost and keeps the work reproducible.</w:t>
      </w:r>
    </w:p>
    <w:p w14:paraId="29F9071B" w14:textId="77777777" w:rsidR="000D5BEC" w:rsidRDefault="000D5BEC">
      <w:pPr>
        <w:jc w:val="both"/>
      </w:pPr>
    </w:p>
    <w:p w14:paraId="51926B07" w14:textId="77777777" w:rsidR="000D5BEC" w:rsidRDefault="00000000">
      <w:r>
        <w:rPr>
          <w:noProof/>
        </w:rPr>
        <w:lastRenderedPageBreak/>
        <w:drawing>
          <wp:inline distT="114300" distB="114300" distL="114300" distR="114300" wp14:anchorId="3B2C051A" wp14:editId="22CC8D97">
            <wp:extent cx="5731200" cy="5892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5892800"/>
                    </a:xfrm>
                    <a:prstGeom prst="rect">
                      <a:avLst/>
                    </a:prstGeom>
                    <a:ln/>
                  </pic:spPr>
                </pic:pic>
              </a:graphicData>
            </a:graphic>
          </wp:inline>
        </w:drawing>
      </w:r>
    </w:p>
    <w:p w14:paraId="7920CBAC" w14:textId="77777777" w:rsidR="000D5BEC" w:rsidRDefault="00000000">
      <w:pPr>
        <w:jc w:val="center"/>
      </w:pPr>
      <w:r>
        <w:t>Figure 1. High-level architecture of the proposed workflow</w:t>
      </w:r>
    </w:p>
    <w:p w14:paraId="7A328768" w14:textId="77777777" w:rsidR="000D5BEC" w:rsidRDefault="000D5BEC">
      <w:pPr>
        <w:jc w:val="center"/>
      </w:pPr>
    </w:p>
    <w:p w14:paraId="7F819FC8" w14:textId="77777777" w:rsidR="000D5BEC" w:rsidRDefault="00000000">
      <w:pPr>
        <w:jc w:val="both"/>
      </w:pPr>
      <w:r>
        <w:t xml:space="preserve">As Figure 1 shows, logged download scripts load the four main sources into Parquet storage, where records </w:t>
      </w:r>
      <w:proofErr w:type="gramStart"/>
      <w:r>
        <w:t>are filtered</w:t>
      </w:r>
      <w:proofErr w:type="gramEnd"/>
      <w:r>
        <w:t xml:space="preserve">, </w:t>
      </w:r>
      <w:proofErr w:type="gramStart"/>
      <w:r>
        <w:t>thinned</w:t>
      </w:r>
      <w:proofErr w:type="gramEnd"/>
      <w:r>
        <w:t xml:space="preserve"> and labelled. The prepared table feeds the models, and the selected model </w:t>
      </w:r>
      <w:proofErr w:type="gramStart"/>
      <w:r>
        <w:t>is reserved</w:t>
      </w:r>
      <w:proofErr w:type="gramEnd"/>
      <w:r>
        <w:t xml:space="preserve"> through the dashboard. </w:t>
      </w:r>
    </w:p>
    <w:p w14:paraId="2ADBB75D" w14:textId="77777777" w:rsidR="000D5BEC" w:rsidRDefault="000D5BEC">
      <w:pPr>
        <w:jc w:val="both"/>
      </w:pPr>
    </w:p>
    <w:p w14:paraId="4A16406E" w14:textId="77777777" w:rsidR="000D5BEC" w:rsidRDefault="00000000">
      <w:pPr>
        <w:pStyle w:val="Heading2"/>
        <w:numPr>
          <w:ilvl w:val="0"/>
          <w:numId w:val="3"/>
        </w:numPr>
        <w:jc w:val="both"/>
      </w:pPr>
      <w:bookmarkStart w:id="15" w:name="_w62phsuw4lka" w:colFirst="0" w:colLast="0"/>
      <w:bookmarkEnd w:id="15"/>
      <w:r>
        <w:t>Data Sources</w:t>
      </w:r>
    </w:p>
    <w:p w14:paraId="52B2870A" w14:textId="77777777" w:rsidR="000D5BEC" w:rsidRDefault="00000000">
      <w:r>
        <w:t xml:space="preserve">All data is publicly available and describes physical objects, not people. Orbit history supplies the model inputs, the catalogue supplies the outcome, and space weather supplies the main external driver of decay. </w:t>
      </w:r>
      <w:proofErr w:type="spellStart"/>
      <w:r>
        <w:t>DISCOSweb</w:t>
      </w:r>
      <w:proofErr w:type="spellEnd"/>
      <w:r>
        <w:t xml:space="preserve"> and GCAT supply mass and size for the analysis and the optional pre-launch extension. Table 1 lists each source, its </w:t>
      </w:r>
      <w:proofErr w:type="gramStart"/>
      <w:r>
        <w:t>size</w:t>
      </w:r>
      <w:proofErr w:type="gramEnd"/>
      <w:r>
        <w:t xml:space="preserve"> and the permission to use it.</w:t>
      </w:r>
    </w:p>
    <w:p w14:paraId="25F364A0" w14:textId="77777777" w:rsidR="000D5BEC" w:rsidRDefault="00000000">
      <w:r>
        <w:rPr>
          <w:i/>
          <w:iCs/>
        </w:rPr>
        <w:t xml:space="preserve">Table 1. Data sources, content, </w:t>
      </w:r>
      <w:proofErr w:type="gramStart"/>
      <w:r>
        <w:rPr>
          <w:i/>
          <w:iCs/>
        </w:rPr>
        <w:t>amount</w:t>
      </w:r>
      <w:proofErr w:type="gramEnd"/>
      <w:r>
        <w:rPr>
          <w:i/>
          <w:iCs/>
        </w:rPr>
        <w:t xml:space="preserve"> and permissions</w:t>
      </w:r>
    </w:p>
    <w:tbl>
      <w:tblPr>
        <w:tblStyle w:val="a1"/>
        <w:tblW w:w="904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370"/>
        <w:gridCol w:w="2040"/>
        <w:gridCol w:w="2385"/>
      </w:tblGrid>
      <w:tr w:rsidR="000D5BEC" w14:paraId="518371D7" w14:textId="77777777">
        <w:tc>
          <w:tcPr>
            <w:tcW w:w="2250" w:type="dxa"/>
            <w:shd w:val="clear" w:color="auto" w:fill="C9DAF8"/>
            <w:tcMar>
              <w:top w:w="100" w:type="dxa"/>
              <w:left w:w="100" w:type="dxa"/>
              <w:bottom w:w="100" w:type="dxa"/>
              <w:right w:w="100" w:type="dxa"/>
            </w:tcMar>
          </w:tcPr>
          <w:p w14:paraId="05680760" w14:textId="77777777" w:rsidR="000D5BEC" w:rsidRDefault="00000000">
            <w:pPr>
              <w:widowControl w:val="0"/>
              <w:pBdr>
                <w:top w:val="nil"/>
                <w:left w:val="nil"/>
                <w:bottom w:val="nil"/>
                <w:right w:val="nil"/>
                <w:between w:val="nil"/>
              </w:pBdr>
              <w:spacing w:after="0" w:line="240" w:lineRule="auto"/>
              <w:jc w:val="center"/>
              <w:rPr>
                <w:b/>
                <w:bCs/>
              </w:rPr>
            </w:pPr>
            <w:r>
              <w:rPr>
                <w:b/>
                <w:bCs/>
              </w:rPr>
              <w:lastRenderedPageBreak/>
              <w:t>Source</w:t>
            </w:r>
          </w:p>
        </w:tc>
        <w:tc>
          <w:tcPr>
            <w:tcW w:w="2370" w:type="dxa"/>
            <w:shd w:val="clear" w:color="auto" w:fill="C9DAF8"/>
            <w:tcMar>
              <w:top w:w="100" w:type="dxa"/>
              <w:left w:w="100" w:type="dxa"/>
              <w:bottom w:w="100" w:type="dxa"/>
              <w:right w:w="100" w:type="dxa"/>
            </w:tcMar>
          </w:tcPr>
          <w:p w14:paraId="02EF98AA" w14:textId="77777777" w:rsidR="000D5BEC" w:rsidRDefault="00000000">
            <w:pPr>
              <w:widowControl w:val="0"/>
              <w:pBdr>
                <w:top w:val="nil"/>
                <w:left w:val="nil"/>
                <w:bottom w:val="nil"/>
                <w:right w:val="nil"/>
                <w:between w:val="nil"/>
              </w:pBdr>
              <w:spacing w:after="0" w:line="240" w:lineRule="auto"/>
              <w:jc w:val="center"/>
              <w:rPr>
                <w:b/>
                <w:bCs/>
              </w:rPr>
            </w:pPr>
            <w:r>
              <w:rPr>
                <w:b/>
                <w:bCs/>
              </w:rPr>
              <w:t>Content</w:t>
            </w:r>
          </w:p>
        </w:tc>
        <w:tc>
          <w:tcPr>
            <w:tcW w:w="2040" w:type="dxa"/>
            <w:shd w:val="clear" w:color="auto" w:fill="C9DAF8"/>
            <w:tcMar>
              <w:top w:w="100" w:type="dxa"/>
              <w:left w:w="100" w:type="dxa"/>
              <w:bottom w:w="100" w:type="dxa"/>
              <w:right w:w="100" w:type="dxa"/>
            </w:tcMar>
          </w:tcPr>
          <w:p w14:paraId="3CC05A5F" w14:textId="77777777" w:rsidR="000D5BEC" w:rsidRDefault="00000000">
            <w:pPr>
              <w:widowControl w:val="0"/>
              <w:pBdr>
                <w:top w:val="nil"/>
                <w:left w:val="nil"/>
                <w:bottom w:val="nil"/>
                <w:right w:val="nil"/>
                <w:between w:val="nil"/>
              </w:pBdr>
              <w:spacing w:after="0" w:line="240" w:lineRule="auto"/>
              <w:jc w:val="center"/>
              <w:rPr>
                <w:b/>
                <w:bCs/>
              </w:rPr>
            </w:pPr>
            <w:r>
              <w:rPr>
                <w:b/>
                <w:bCs/>
              </w:rPr>
              <w:t>Approximate amount</w:t>
            </w:r>
          </w:p>
        </w:tc>
        <w:tc>
          <w:tcPr>
            <w:tcW w:w="2385" w:type="dxa"/>
            <w:shd w:val="clear" w:color="auto" w:fill="C9DAF8"/>
            <w:tcMar>
              <w:top w:w="100" w:type="dxa"/>
              <w:left w:w="100" w:type="dxa"/>
              <w:bottom w:w="100" w:type="dxa"/>
              <w:right w:w="100" w:type="dxa"/>
            </w:tcMar>
          </w:tcPr>
          <w:p w14:paraId="3A57B339" w14:textId="77777777" w:rsidR="000D5BEC" w:rsidRDefault="00000000">
            <w:pPr>
              <w:widowControl w:val="0"/>
              <w:pBdr>
                <w:top w:val="nil"/>
                <w:left w:val="nil"/>
                <w:bottom w:val="nil"/>
                <w:right w:val="nil"/>
                <w:between w:val="nil"/>
              </w:pBdr>
              <w:spacing w:after="0" w:line="240" w:lineRule="auto"/>
              <w:jc w:val="center"/>
              <w:rPr>
                <w:b/>
                <w:bCs/>
              </w:rPr>
            </w:pPr>
            <w:r>
              <w:rPr>
                <w:b/>
                <w:bCs/>
              </w:rPr>
              <w:t>Permission</w:t>
            </w:r>
          </w:p>
        </w:tc>
      </w:tr>
      <w:tr w:rsidR="000D5BEC" w14:paraId="3DB749C1" w14:textId="77777777">
        <w:tc>
          <w:tcPr>
            <w:tcW w:w="2250" w:type="dxa"/>
            <w:tcMar>
              <w:top w:w="100" w:type="dxa"/>
              <w:left w:w="100" w:type="dxa"/>
              <w:bottom w:w="100" w:type="dxa"/>
              <w:right w:w="100" w:type="dxa"/>
            </w:tcMar>
          </w:tcPr>
          <w:p w14:paraId="3AB320AB" w14:textId="77777777" w:rsidR="000D5BEC" w:rsidRDefault="00000000">
            <w:pPr>
              <w:widowControl w:val="0"/>
              <w:pBdr>
                <w:top w:val="nil"/>
                <w:left w:val="nil"/>
                <w:bottom w:val="nil"/>
                <w:right w:val="nil"/>
                <w:between w:val="nil"/>
              </w:pBdr>
              <w:spacing w:after="0" w:line="240" w:lineRule="auto"/>
            </w:pPr>
            <w:r>
              <w:t>Space-Track.org orbit history, via a public Parquet copy (Simon, 2026)</w:t>
            </w:r>
          </w:p>
        </w:tc>
        <w:tc>
          <w:tcPr>
            <w:tcW w:w="2370" w:type="dxa"/>
            <w:tcMar>
              <w:top w:w="100" w:type="dxa"/>
              <w:left w:w="100" w:type="dxa"/>
              <w:bottom w:w="100" w:type="dxa"/>
              <w:right w:w="100" w:type="dxa"/>
            </w:tcMar>
          </w:tcPr>
          <w:p w14:paraId="04F9189E" w14:textId="77777777" w:rsidR="000D5BEC" w:rsidRDefault="00000000">
            <w:pPr>
              <w:widowControl w:val="0"/>
              <w:pBdr>
                <w:top w:val="nil"/>
                <w:left w:val="nil"/>
                <w:bottom w:val="nil"/>
                <w:right w:val="nil"/>
                <w:between w:val="nil"/>
              </w:pBdr>
              <w:spacing w:after="0" w:line="240" w:lineRule="auto"/>
            </w:pPr>
            <w:r>
              <w:t>Orbital elements, drag term and decay rate for every tracked object, 1959-2026</w:t>
            </w:r>
          </w:p>
        </w:tc>
        <w:tc>
          <w:tcPr>
            <w:tcW w:w="2040" w:type="dxa"/>
            <w:tcMar>
              <w:top w:w="100" w:type="dxa"/>
              <w:left w:w="100" w:type="dxa"/>
              <w:bottom w:w="100" w:type="dxa"/>
              <w:right w:w="100" w:type="dxa"/>
            </w:tcMar>
          </w:tcPr>
          <w:p w14:paraId="6332065D" w14:textId="77777777" w:rsidR="000D5BEC" w:rsidRDefault="00000000">
            <w:pPr>
              <w:widowControl w:val="0"/>
              <w:pBdr>
                <w:top w:val="nil"/>
                <w:left w:val="nil"/>
                <w:bottom w:val="nil"/>
                <w:right w:val="nil"/>
                <w:between w:val="nil"/>
              </w:pBdr>
              <w:spacing w:after="0" w:line="240" w:lineRule="auto"/>
            </w:pPr>
            <w:r>
              <w:t>239.5 million records in yearly files (about 12.5 GB)</w:t>
            </w:r>
          </w:p>
        </w:tc>
        <w:tc>
          <w:tcPr>
            <w:tcW w:w="2385" w:type="dxa"/>
            <w:tcMar>
              <w:top w:w="100" w:type="dxa"/>
              <w:left w:w="100" w:type="dxa"/>
              <w:bottom w:w="100" w:type="dxa"/>
              <w:right w:w="100" w:type="dxa"/>
            </w:tcMar>
          </w:tcPr>
          <w:p w14:paraId="112B1AFE" w14:textId="77777777" w:rsidR="000D5BEC" w:rsidRDefault="00000000">
            <w:pPr>
              <w:widowControl w:val="0"/>
              <w:pBdr>
                <w:top w:val="nil"/>
                <w:left w:val="nil"/>
                <w:bottom w:val="nil"/>
                <w:right w:val="nil"/>
                <w:between w:val="nil"/>
              </w:pBdr>
              <w:spacing w:after="0" w:line="240" w:lineRule="auto"/>
            </w:pPr>
            <w:r>
              <w:t>Basic data redistributable with citation (Space-Track.org, 2026); copy under CC BY 4.0 licence</w:t>
            </w:r>
          </w:p>
        </w:tc>
      </w:tr>
      <w:tr w:rsidR="000D5BEC" w14:paraId="569C5FA5" w14:textId="77777777">
        <w:tc>
          <w:tcPr>
            <w:tcW w:w="2250" w:type="dxa"/>
            <w:tcMar>
              <w:top w:w="100" w:type="dxa"/>
              <w:left w:w="100" w:type="dxa"/>
              <w:bottom w:w="100" w:type="dxa"/>
              <w:right w:w="100" w:type="dxa"/>
            </w:tcMar>
          </w:tcPr>
          <w:p w14:paraId="3B9555E4" w14:textId="77777777" w:rsidR="000D5BEC" w:rsidRDefault="00000000">
            <w:pPr>
              <w:widowControl w:val="0"/>
              <w:pBdr>
                <w:top w:val="nil"/>
                <w:left w:val="nil"/>
                <w:bottom w:val="nil"/>
                <w:right w:val="nil"/>
                <w:between w:val="nil"/>
              </w:pBdr>
              <w:spacing w:after="0" w:line="240" w:lineRule="auto"/>
            </w:pPr>
            <w:proofErr w:type="spellStart"/>
            <w:r>
              <w:t>CelesTrak</w:t>
            </w:r>
            <w:proofErr w:type="spellEnd"/>
            <w:r>
              <w:t xml:space="preserve"> SATCAT (</w:t>
            </w:r>
            <w:proofErr w:type="spellStart"/>
            <w:r>
              <w:t>CelesTrak</w:t>
            </w:r>
            <w:proofErr w:type="spellEnd"/>
            <w:r>
              <w:t>, 2026a)</w:t>
            </w:r>
          </w:p>
        </w:tc>
        <w:tc>
          <w:tcPr>
            <w:tcW w:w="2370" w:type="dxa"/>
            <w:tcMar>
              <w:top w:w="100" w:type="dxa"/>
              <w:left w:w="100" w:type="dxa"/>
              <w:bottom w:w="100" w:type="dxa"/>
              <w:right w:w="100" w:type="dxa"/>
            </w:tcMar>
          </w:tcPr>
          <w:p w14:paraId="6B0CF16E" w14:textId="77777777" w:rsidR="000D5BEC" w:rsidRDefault="00000000">
            <w:pPr>
              <w:widowControl w:val="0"/>
              <w:pBdr>
                <w:top w:val="nil"/>
                <w:left w:val="nil"/>
                <w:bottom w:val="nil"/>
                <w:right w:val="nil"/>
                <w:between w:val="nil"/>
              </w:pBdr>
              <w:spacing w:after="0" w:line="240" w:lineRule="auto"/>
            </w:pPr>
            <w:r>
              <w:t>Object type, status, size class, launch and re-entry dates</w:t>
            </w:r>
          </w:p>
        </w:tc>
        <w:tc>
          <w:tcPr>
            <w:tcW w:w="2040" w:type="dxa"/>
            <w:tcMar>
              <w:top w:w="100" w:type="dxa"/>
              <w:left w:w="100" w:type="dxa"/>
              <w:bottom w:w="100" w:type="dxa"/>
              <w:right w:w="100" w:type="dxa"/>
            </w:tcMar>
          </w:tcPr>
          <w:p w14:paraId="6A96EE7D" w14:textId="77777777" w:rsidR="000D5BEC" w:rsidRDefault="00000000">
            <w:pPr>
              <w:widowControl w:val="0"/>
              <w:pBdr>
                <w:top w:val="nil"/>
                <w:left w:val="nil"/>
                <w:bottom w:val="nil"/>
                <w:right w:val="nil"/>
                <w:between w:val="nil"/>
              </w:pBdr>
              <w:spacing w:after="0" w:line="240" w:lineRule="auto"/>
            </w:pPr>
            <w:r>
              <w:t>70882 catalogued objects since 1957</w:t>
            </w:r>
          </w:p>
        </w:tc>
        <w:tc>
          <w:tcPr>
            <w:tcW w:w="2385" w:type="dxa"/>
            <w:tcMar>
              <w:top w:w="100" w:type="dxa"/>
              <w:left w:w="100" w:type="dxa"/>
              <w:bottom w:w="100" w:type="dxa"/>
              <w:right w:w="100" w:type="dxa"/>
            </w:tcMar>
          </w:tcPr>
          <w:p w14:paraId="3B48100C" w14:textId="77777777" w:rsidR="000D5BEC" w:rsidRDefault="00000000">
            <w:pPr>
              <w:widowControl w:val="0"/>
              <w:pBdr>
                <w:top w:val="nil"/>
                <w:left w:val="nil"/>
                <w:bottom w:val="nil"/>
                <w:right w:val="nil"/>
                <w:between w:val="nil"/>
              </w:pBdr>
              <w:spacing w:after="0" w:line="240" w:lineRule="auto"/>
            </w:pPr>
            <w:r>
              <w:t xml:space="preserve">Free public </w:t>
            </w:r>
            <w:proofErr w:type="gramStart"/>
            <w:r>
              <w:t>data;</w:t>
            </w:r>
            <w:proofErr w:type="gramEnd"/>
            <w:r>
              <w:t xml:space="preserve"> </w:t>
            </w:r>
            <w:proofErr w:type="spellStart"/>
            <w:r>
              <w:t>CelesTrak</w:t>
            </w:r>
            <w:proofErr w:type="spellEnd"/>
            <w:r>
              <w:t xml:space="preserve"> usage policy will </w:t>
            </w:r>
            <w:proofErr w:type="gramStart"/>
            <w:r>
              <w:t>be followed</w:t>
            </w:r>
            <w:proofErr w:type="gramEnd"/>
            <w:r>
              <w:t xml:space="preserve">; </w:t>
            </w:r>
            <w:proofErr w:type="spellStart"/>
            <w:r>
              <w:t>CelesTrak</w:t>
            </w:r>
            <w:proofErr w:type="spellEnd"/>
            <w:r>
              <w:t xml:space="preserve"> and the original providers will </w:t>
            </w:r>
            <w:proofErr w:type="gramStart"/>
            <w:r>
              <w:t>be cited</w:t>
            </w:r>
            <w:proofErr w:type="gramEnd"/>
          </w:p>
        </w:tc>
      </w:tr>
      <w:tr w:rsidR="000D5BEC" w14:paraId="1C702B62" w14:textId="77777777">
        <w:tc>
          <w:tcPr>
            <w:tcW w:w="2250" w:type="dxa"/>
            <w:tcMar>
              <w:top w:w="100" w:type="dxa"/>
              <w:left w:w="100" w:type="dxa"/>
              <w:bottom w:w="100" w:type="dxa"/>
              <w:right w:w="100" w:type="dxa"/>
            </w:tcMar>
          </w:tcPr>
          <w:p w14:paraId="480E1B20" w14:textId="77777777" w:rsidR="000D5BEC" w:rsidRDefault="00000000">
            <w:pPr>
              <w:widowControl w:val="0"/>
              <w:pBdr>
                <w:top w:val="nil"/>
                <w:left w:val="nil"/>
                <w:bottom w:val="nil"/>
                <w:right w:val="nil"/>
                <w:between w:val="nil"/>
              </w:pBdr>
              <w:spacing w:after="0" w:line="240" w:lineRule="auto"/>
            </w:pPr>
            <w:proofErr w:type="spellStart"/>
            <w:r>
              <w:t>CelesTrak</w:t>
            </w:r>
            <w:proofErr w:type="spellEnd"/>
            <w:r>
              <w:t xml:space="preserve"> space weather (</w:t>
            </w:r>
            <w:proofErr w:type="spellStart"/>
            <w:r>
              <w:t>CelesTrak</w:t>
            </w:r>
            <w:proofErr w:type="spellEnd"/>
            <w:r>
              <w:t>, 2026b)</w:t>
            </w:r>
          </w:p>
        </w:tc>
        <w:tc>
          <w:tcPr>
            <w:tcW w:w="2370" w:type="dxa"/>
            <w:tcMar>
              <w:top w:w="100" w:type="dxa"/>
              <w:left w:w="100" w:type="dxa"/>
              <w:bottom w:w="100" w:type="dxa"/>
              <w:right w:w="100" w:type="dxa"/>
            </w:tcMar>
          </w:tcPr>
          <w:p w14:paraId="603380D3" w14:textId="77777777" w:rsidR="000D5BEC" w:rsidRDefault="00000000">
            <w:pPr>
              <w:widowControl w:val="0"/>
              <w:pBdr>
                <w:top w:val="nil"/>
                <w:left w:val="nil"/>
                <w:bottom w:val="nil"/>
                <w:right w:val="nil"/>
                <w:between w:val="nil"/>
              </w:pBdr>
              <w:spacing w:after="0" w:line="240" w:lineRule="auto"/>
            </w:pPr>
            <w:r>
              <w:t xml:space="preserve">Daily F10.7 solar flux, </w:t>
            </w:r>
            <w:proofErr w:type="spellStart"/>
            <w:r>
              <w:t>Kp</w:t>
            </w:r>
            <w:proofErr w:type="spellEnd"/>
            <w:r>
              <w:t>/Ap indices, sunspot number</w:t>
            </w:r>
          </w:p>
        </w:tc>
        <w:tc>
          <w:tcPr>
            <w:tcW w:w="2040" w:type="dxa"/>
            <w:tcMar>
              <w:top w:w="100" w:type="dxa"/>
              <w:left w:w="100" w:type="dxa"/>
              <w:bottom w:w="100" w:type="dxa"/>
              <w:right w:w="100" w:type="dxa"/>
            </w:tcMar>
          </w:tcPr>
          <w:p w14:paraId="32E21591" w14:textId="77777777" w:rsidR="000D5BEC" w:rsidRDefault="00000000">
            <w:pPr>
              <w:widowControl w:val="0"/>
              <w:pBdr>
                <w:top w:val="nil"/>
                <w:left w:val="nil"/>
                <w:bottom w:val="nil"/>
                <w:right w:val="nil"/>
                <w:between w:val="nil"/>
              </w:pBdr>
              <w:spacing w:after="0" w:line="240" w:lineRule="auto"/>
            </w:pPr>
            <w:r>
              <w:t>About 25000 daily rows since October 1957</w:t>
            </w:r>
          </w:p>
        </w:tc>
        <w:tc>
          <w:tcPr>
            <w:tcW w:w="2385" w:type="dxa"/>
            <w:tcMar>
              <w:top w:w="100" w:type="dxa"/>
              <w:left w:w="100" w:type="dxa"/>
              <w:bottom w:w="100" w:type="dxa"/>
              <w:right w:w="100" w:type="dxa"/>
            </w:tcMar>
          </w:tcPr>
          <w:p w14:paraId="26621945" w14:textId="77777777" w:rsidR="000D5BEC" w:rsidRDefault="00000000">
            <w:pPr>
              <w:widowControl w:val="0"/>
              <w:spacing w:after="0" w:line="240" w:lineRule="auto"/>
            </w:pPr>
            <w:r>
              <w:t xml:space="preserve">Free public </w:t>
            </w:r>
            <w:proofErr w:type="gramStart"/>
            <w:r>
              <w:t>data;</w:t>
            </w:r>
            <w:proofErr w:type="gramEnd"/>
            <w:r>
              <w:t xml:space="preserve"> </w:t>
            </w:r>
            <w:proofErr w:type="spellStart"/>
            <w:r>
              <w:t>CelesTrak</w:t>
            </w:r>
            <w:proofErr w:type="spellEnd"/>
            <w:r>
              <w:t xml:space="preserve"> and the original providers will </w:t>
            </w:r>
            <w:proofErr w:type="gramStart"/>
            <w:r>
              <w:t>be cited</w:t>
            </w:r>
            <w:proofErr w:type="gramEnd"/>
          </w:p>
        </w:tc>
      </w:tr>
      <w:tr w:rsidR="000D5BEC" w14:paraId="2A6CA53A" w14:textId="77777777">
        <w:tc>
          <w:tcPr>
            <w:tcW w:w="2250" w:type="dxa"/>
            <w:tcMar>
              <w:top w:w="100" w:type="dxa"/>
              <w:left w:w="100" w:type="dxa"/>
              <w:bottom w:w="100" w:type="dxa"/>
              <w:right w:w="100" w:type="dxa"/>
            </w:tcMar>
          </w:tcPr>
          <w:p w14:paraId="163D14BD" w14:textId="77777777" w:rsidR="000D5BEC" w:rsidRDefault="00000000">
            <w:pPr>
              <w:widowControl w:val="0"/>
              <w:pBdr>
                <w:top w:val="nil"/>
                <w:left w:val="nil"/>
                <w:bottom w:val="nil"/>
                <w:right w:val="nil"/>
                <w:between w:val="nil"/>
              </w:pBdr>
              <w:spacing w:after="0" w:line="240" w:lineRule="auto"/>
            </w:pPr>
            <w:r>
              <w:t xml:space="preserve">NOAA solar-cycle forecast (NOAA Space Weather Prediction </w:t>
            </w:r>
            <w:proofErr w:type="spellStart"/>
            <w:r>
              <w:t>Center</w:t>
            </w:r>
            <w:proofErr w:type="spellEnd"/>
            <w:r>
              <w:t>, 2026)</w:t>
            </w:r>
          </w:p>
        </w:tc>
        <w:tc>
          <w:tcPr>
            <w:tcW w:w="2370" w:type="dxa"/>
            <w:tcMar>
              <w:top w:w="100" w:type="dxa"/>
              <w:left w:w="100" w:type="dxa"/>
              <w:bottom w:w="100" w:type="dxa"/>
              <w:right w:w="100" w:type="dxa"/>
            </w:tcMar>
          </w:tcPr>
          <w:p w14:paraId="40514ABC" w14:textId="77777777" w:rsidR="000D5BEC" w:rsidRDefault="00000000">
            <w:pPr>
              <w:widowControl w:val="0"/>
              <w:pBdr>
                <w:top w:val="nil"/>
                <w:left w:val="nil"/>
                <w:bottom w:val="nil"/>
                <w:right w:val="nil"/>
                <w:between w:val="nil"/>
              </w:pBdr>
              <w:spacing w:after="0" w:line="240" w:lineRule="auto"/>
            </w:pPr>
            <w:r>
              <w:t>Predicted monthly F10.7 and sunspot number</w:t>
            </w:r>
          </w:p>
        </w:tc>
        <w:tc>
          <w:tcPr>
            <w:tcW w:w="2040" w:type="dxa"/>
            <w:tcMar>
              <w:top w:w="100" w:type="dxa"/>
              <w:left w:w="100" w:type="dxa"/>
              <w:bottom w:w="100" w:type="dxa"/>
              <w:right w:w="100" w:type="dxa"/>
            </w:tcMar>
          </w:tcPr>
          <w:p w14:paraId="09ACF15B" w14:textId="77777777" w:rsidR="000D5BEC" w:rsidRDefault="00000000">
            <w:pPr>
              <w:widowControl w:val="0"/>
              <w:pBdr>
                <w:top w:val="nil"/>
                <w:left w:val="nil"/>
                <w:bottom w:val="nil"/>
                <w:right w:val="nil"/>
                <w:between w:val="nil"/>
              </w:pBdr>
              <w:spacing w:after="0" w:line="240" w:lineRule="auto"/>
            </w:pPr>
            <w:r>
              <w:t>Monthly values for the current solar cycle</w:t>
            </w:r>
          </w:p>
        </w:tc>
        <w:tc>
          <w:tcPr>
            <w:tcW w:w="2385" w:type="dxa"/>
            <w:tcMar>
              <w:top w:w="100" w:type="dxa"/>
              <w:left w:w="100" w:type="dxa"/>
              <w:bottom w:w="100" w:type="dxa"/>
              <w:right w:w="100" w:type="dxa"/>
            </w:tcMar>
          </w:tcPr>
          <w:p w14:paraId="4AB3E87B" w14:textId="77777777" w:rsidR="000D5BEC" w:rsidRDefault="00000000">
            <w:pPr>
              <w:widowControl w:val="0"/>
              <w:spacing w:after="0" w:line="240" w:lineRule="auto"/>
            </w:pPr>
            <w:r>
              <w:t>US government work (public domain</w:t>
            </w:r>
            <w:proofErr w:type="gramStart"/>
            <w:r>
              <w:t>);</w:t>
            </w:r>
            <w:proofErr w:type="gramEnd"/>
          </w:p>
          <w:p w14:paraId="72EA87E7" w14:textId="77777777" w:rsidR="000D5BEC" w:rsidRDefault="00000000">
            <w:pPr>
              <w:widowControl w:val="0"/>
              <w:spacing w:after="0" w:line="240" w:lineRule="auto"/>
            </w:pPr>
            <w:r>
              <w:t xml:space="preserve">NOAA Space Weather Prediction </w:t>
            </w:r>
            <w:proofErr w:type="spellStart"/>
            <w:r>
              <w:t>Center</w:t>
            </w:r>
            <w:proofErr w:type="spellEnd"/>
            <w:r>
              <w:t xml:space="preserve"> will </w:t>
            </w:r>
            <w:proofErr w:type="gramStart"/>
            <w:r>
              <w:t>be cited</w:t>
            </w:r>
            <w:proofErr w:type="gramEnd"/>
          </w:p>
        </w:tc>
      </w:tr>
      <w:tr w:rsidR="000D5BEC" w14:paraId="1F703E1B" w14:textId="77777777">
        <w:tc>
          <w:tcPr>
            <w:tcW w:w="2250" w:type="dxa"/>
            <w:tcMar>
              <w:top w:w="100" w:type="dxa"/>
              <w:left w:w="100" w:type="dxa"/>
              <w:bottom w:w="100" w:type="dxa"/>
              <w:right w:w="100" w:type="dxa"/>
            </w:tcMar>
          </w:tcPr>
          <w:p w14:paraId="250B62BC" w14:textId="77777777" w:rsidR="000D5BEC" w:rsidRDefault="00000000">
            <w:pPr>
              <w:widowControl w:val="0"/>
              <w:pBdr>
                <w:top w:val="nil"/>
                <w:left w:val="nil"/>
                <w:bottom w:val="nil"/>
                <w:right w:val="nil"/>
                <w:between w:val="nil"/>
              </w:pBdr>
              <w:spacing w:after="0" w:line="240" w:lineRule="auto"/>
            </w:pPr>
            <w:r>
              <w:t xml:space="preserve">ESA </w:t>
            </w:r>
            <w:proofErr w:type="spellStart"/>
            <w:r>
              <w:t>DISCOSweb</w:t>
            </w:r>
            <w:proofErr w:type="spellEnd"/>
            <w:r>
              <w:t xml:space="preserve"> (European Space Agency, 2026)</w:t>
            </w:r>
          </w:p>
        </w:tc>
        <w:tc>
          <w:tcPr>
            <w:tcW w:w="2370" w:type="dxa"/>
            <w:tcMar>
              <w:top w:w="100" w:type="dxa"/>
              <w:left w:w="100" w:type="dxa"/>
              <w:bottom w:w="100" w:type="dxa"/>
              <w:right w:w="100" w:type="dxa"/>
            </w:tcMar>
          </w:tcPr>
          <w:p w14:paraId="40D796C5" w14:textId="77777777" w:rsidR="000D5BEC" w:rsidRDefault="00000000">
            <w:pPr>
              <w:widowControl w:val="0"/>
              <w:pBdr>
                <w:top w:val="nil"/>
                <w:left w:val="nil"/>
                <w:bottom w:val="nil"/>
                <w:right w:val="nil"/>
                <w:between w:val="nil"/>
              </w:pBdr>
              <w:spacing w:after="0" w:line="240" w:lineRule="auto"/>
            </w:pPr>
            <w:r>
              <w:t xml:space="preserve">Mass, </w:t>
            </w:r>
            <w:proofErr w:type="gramStart"/>
            <w:r>
              <w:t>cross-section</w:t>
            </w:r>
            <w:proofErr w:type="gramEnd"/>
            <w:r>
              <w:t xml:space="preserve"> and initial orbits of intact objects (no debris fragments)</w:t>
            </w:r>
          </w:p>
        </w:tc>
        <w:tc>
          <w:tcPr>
            <w:tcW w:w="2040" w:type="dxa"/>
            <w:tcMar>
              <w:top w:w="100" w:type="dxa"/>
              <w:left w:w="100" w:type="dxa"/>
              <w:bottom w:w="100" w:type="dxa"/>
              <w:right w:w="100" w:type="dxa"/>
            </w:tcMar>
          </w:tcPr>
          <w:p w14:paraId="29BFE08E" w14:textId="77777777" w:rsidR="000D5BEC" w:rsidRDefault="00000000">
            <w:pPr>
              <w:widowControl w:val="0"/>
              <w:pBdr>
                <w:top w:val="nil"/>
                <w:left w:val="nil"/>
                <w:bottom w:val="nil"/>
                <w:right w:val="nil"/>
                <w:between w:val="nil"/>
              </w:pBdr>
              <w:spacing w:after="0" w:line="240" w:lineRule="auto"/>
            </w:pPr>
            <w:r>
              <w:t>51382 matched objects with an initial orbit reaching LEO</w:t>
            </w:r>
          </w:p>
        </w:tc>
        <w:tc>
          <w:tcPr>
            <w:tcW w:w="2385" w:type="dxa"/>
            <w:tcMar>
              <w:top w:w="100" w:type="dxa"/>
              <w:left w:w="100" w:type="dxa"/>
              <w:bottom w:w="100" w:type="dxa"/>
              <w:right w:w="100" w:type="dxa"/>
            </w:tcMar>
          </w:tcPr>
          <w:p w14:paraId="41166B06" w14:textId="77777777" w:rsidR="000D5BEC" w:rsidRDefault="00000000">
            <w:pPr>
              <w:widowControl w:val="0"/>
              <w:pBdr>
                <w:top w:val="nil"/>
                <w:left w:val="nil"/>
                <w:bottom w:val="nil"/>
                <w:right w:val="nil"/>
                <w:between w:val="nil"/>
              </w:pBdr>
              <w:spacing w:after="0" w:line="240" w:lineRule="auto"/>
            </w:pPr>
            <w:r>
              <w:t xml:space="preserve">Registered </w:t>
            </w:r>
            <w:proofErr w:type="gramStart"/>
            <w:r>
              <w:t>account;</w:t>
            </w:r>
            <w:proofErr w:type="gramEnd"/>
          </w:p>
          <w:p w14:paraId="14148AF1" w14:textId="77777777" w:rsidR="000D5BEC" w:rsidRDefault="00000000">
            <w:pPr>
              <w:widowControl w:val="0"/>
              <w:spacing w:after="0" w:line="240" w:lineRule="auto"/>
            </w:pPr>
            <w:r>
              <w:t xml:space="preserve">ESA </w:t>
            </w:r>
            <w:proofErr w:type="spellStart"/>
            <w:r>
              <w:t>DISCOSweb</w:t>
            </w:r>
            <w:proofErr w:type="spellEnd"/>
            <w:r>
              <w:t xml:space="preserve"> will be </w:t>
            </w:r>
            <w:proofErr w:type="gramStart"/>
            <w:r>
              <w:t>cited;</w:t>
            </w:r>
            <w:proofErr w:type="gramEnd"/>
          </w:p>
          <w:p w14:paraId="7322F725" w14:textId="77777777" w:rsidR="000D5BEC" w:rsidRDefault="00000000">
            <w:pPr>
              <w:widowControl w:val="0"/>
              <w:spacing w:after="0" w:line="240" w:lineRule="auto"/>
            </w:pPr>
            <w:r>
              <w:t xml:space="preserve">raw data will not </w:t>
            </w:r>
            <w:proofErr w:type="gramStart"/>
            <w:r>
              <w:t>be republished</w:t>
            </w:r>
            <w:proofErr w:type="gramEnd"/>
          </w:p>
        </w:tc>
      </w:tr>
      <w:tr w:rsidR="000D5BEC" w14:paraId="618CA2DC" w14:textId="77777777">
        <w:tc>
          <w:tcPr>
            <w:tcW w:w="2250" w:type="dxa"/>
            <w:tcMar>
              <w:top w:w="100" w:type="dxa"/>
              <w:left w:w="100" w:type="dxa"/>
              <w:bottom w:w="100" w:type="dxa"/>
              <w:right w:w="100" w:type="dxa"/>
            </w:tcMar>
          </w:tcPr>
          <w:p w14:paraId="300B486F" w14:textId="77777777" w:rsidR="000D5BEC" w:rsidRDefault="00000000">
            <w:pPr>
              <w:widowControl w:val="0"/>
              <w:pBdr>
                <w:top w:val="nil"/>
                <w:left w:val="nil"/>
                <w:bottom w:val="nil"/>
                <w:right w:val="nil"/>
                <w:between w:val="nil"/>
              </w:pBdr>
              <w:spacing w:after="0" w:line="240" w:lineRule="auto"/>
            </w:pPr>
            <w:r>
              <w:t>GCAT (McDowell, 2020)</w:t>
            </w:r>
          </w:p>
        </w:tc>
        <w:tc>
          <w:tcPr>
            <w:tcW w:w="2370" w:type="dxa"/>
            <w:tcMar>
              <w:top w:w="100" w:type="dxa"/>
              <w:left w:w="100" w:type="dxa"/>
              <w:bottom w:w="100" w:type="dxa"/>
              <w:right w:w="100" w:type="dxa"/>
            </w:tcMar>
          </w:tcPr>
          <w:p w14:paraId="3BE68DC3" w14:textId="77777777" w:rsidR="000D5BEC" w:rsidRDefault="00000000">
            <w:pPr>
              <w:widowControl w:val="0"/>
              <w:pBdr>
                <w:top w:val="nil"/>
                <w:left w:val="nil"/>
                <w:bottom w:val="nil"/>
                <w:right w:val="nil"/>
                <w:between w:val="nil"/>
              </w:pBdr>
              <w:spacing w:after="0" w:line="240" w:lineRule="auto"/>
            </w:pPr>
            <w:r>
              <w:t xml:space="preserve">Independent mass and size estimates for </w:t>
            </w:r>
            <w:proofErr w:type="gramStart"/>
            <w:r>
              <w:t>cross-checking;</w:t>
            </w:r>
            <w:proofErr w:type="gramEnd"/>
          </w:p>
          <w:p w14:paraId="16D9379A" w14:textId="77777777" w:rsidR="000D5BEC" w:rsidRDefault="00000000">
            <w:pPr>
              <w:widowControl w:val="0"/>
              <w:pBdr>
                <w:top w:val="nil"/>
                <w:left w:val="nil"/>
                <w:bottom w:val="nil"/>
                <w:right w:val="nil"/>
                <w:between w:val="nil"/>
              </w:pBdr>
              <w:spacing w:after="0" w:line="240" w:lineRule="auto"/>
            </w:pPr>
            <w:r>
              <w:t>payload end-of-life data</w:t>
            </w:r>
          </w:p>
        </w:tc>
        <w:tc>
          <w:tcPr>
            <w:tcW w:w="2040" w:type="dxa"/>
            <w:tcMar>
              <w:top w:w="100" w:type="dxa"/>
              <w:left w:w="100" w:type="dxa"/>
              <w:bottom w:w="100" w:type="dxa"/>
              <w:right w:w="100" w:type="dxa"/>
            </w:tcMar>
          </w:tcPr>
          <w:p w14:paraId="2636C68B" w14:textId="77777777" w:rsidR="000D5BEC" w:rsidRDefault="00000000">
            <w:pPr>
              <w:widowControl w:val="0"/>
              <w:pBdr>
                <w:top w:val="nil"/>
                <w:left w:val="nil"/>
                <w:bottom w:val="nil"/>
                <w:right w:val="nil"/>
                <w:between w:val="nil"/>
              </w:pBdr>
              <w:spacing w:after="0" w:line="240" w:lineRule="auto"/>
            </w:pPr>
            <w:r>
              <w:t xml:space="preserve">About </w:t>
            </w:r>
            <w:proofErr w:type="gramStart"/>
            <w:r>
              <w:t>70000</w:t>
            </w:r>
            <w:proofErr w:type="gramEnd"/>
            <w:r>
              <w:t xml:space="preserve"> catalogued objects</w:t>
            </w:r>
          </w:p>
        </w:tc>
        <w:tc>
          <w:tcPr>
            <w:tcW w:w="2385" w:type="dxa"/>
            <w:tcMar>
              <w:top w:w="100" w:type="dxa"/>
              <w:left w:w="100" w:type="dxa"/>
              <w:bottom w:w="100" w:type="dxa"/>
              <w:right w:w="100" w:type="dxa"/>
            </w:tcMar>
          </w:tcPr>
          <w:p w14:paraId="1E6B93CC" w14:textId="77777777" w:rsidR="000D5BEC" w:rsidRDefault="00000000">
            <w:pPr>
              <w:widowControl w:val="0"/>
              <w:spacing w:after="0" w:line="240" w:lineRule="auto"/>
            </w:pPr>
            <w:r>
              <w:t xml:space="preserve">CC BY 4.0 </w:t>
            </w:r>
            <w:proofErr w:type="gramStart"/>
            <w:r>
              <w:t>licence;</w:t>
            </w:r>
            <w:proofErr w:type="gramEnd"/>
          </w:p>
          <w:p w14:paraId="2011AFA9" w14:textId="77777777" w:rsidR="000D5BEC" w:rsidRDefault="00000000">
            <w:pPr>
              <w:widowControl w:val="0"/>
              <w:spacing w:after="0" w:line="240" w:lineRule="auto"/>
            </w:pPr>
            <w:r>
              <w:t xml:space="preserve">GCAT will </w:t>
            </w:r>
            <w:proofErr w:type="gramStart"/>
            <w:r>
              <w:t>be cited</w:t>
            </w:r>
            <w:proofErr w:type="gramEnd"/>
          </w:p>
        </w:tc>
      </w:tr>
    </w:tbl>
    <w:p w14:paraId="6B50C22A" w14:textId="77777777" w:rsidR="000D5BEC" w:rsidRDefault="000D5BEC"/>
    <w:p w14:paraId="1435A2D9" w14:textId="77777777" w:rsidR="000D5BEC" w:rsidRDefault="00000000">
      <w:pPr>
        <w:jc w:val="both"/>
      </w:pPr>
      <w:r>
        <w:t xml:space="preserve">A feasibility </w:t>
      </w:r>
      <w:proofErr w:type="gramStart"/>
      <w:r>
        <w:t>check</w:t>
      </w:r>
      <w:proofErr w:type="gramEnd"/>
      <w:r>
        <w:t xml:space="preserve"> on one sample year (1990) found 1716288 orbit records for 6800 objects. Of these, 566993 records belong to 2078 objects with a known later re-entry date. </w:t>
      </w:r>
    </w:p>
    <w:p w14:paraId="68B50D5C" w14:textId="77777777" w:rsidR="000D5BEC" w:rsidRDefault="00000000">
      <w:pPr>
        <w:jc w:val="both"/>
      </w:pPr>
      <w:r>
        <w:t xml:space="preserve">Each object has </w:t>
      </w:r>
      <w:proofErr w:type="gramStart"/>
      <w:r>
        <w:t>many</w:t>
      </w:r>
      <w:proofErr w:type="gramEnd"/>
      <w:r>
        <w:t xml:space="preserve"> rows, one for each weekly orbit record. These rows are not independent, because they describe the same object over time. Therefore, all analysis will group the rows by object. The report will state both the number of rows and the number of distinct objects. The training and sets will </w:t>
      </w:r>
      <w:proofErr w:type="gramStart"/>
      <w:r>
        <w:t>be split</w:t>
      </w:r>
      <w:proofErr w:type="gramEnd"/>
      <w:r>
        <w:t xml:space="preserve"> by object, so that no object appears in both. The statistical tests and Cox model will also treat each object, not each row, as one unit.</w:t>
      </w:r>
    </w:p>
    <w:p w14:paraId="4F912D48" w14:textId="77777777" w:rsidR="00C44482" w:rsidRDefault="00C44482">
      <w:pPr>
        <w:jc w:val="both"/>
      </w:pPr>
    </w:p>
    <w:p w14:paraId="2FDD0C8D" w14:textId="77777777" w:rsidR="00C44482" w:rsidRDefault="00C44482">
      <w:pPr>
        <w:jc w:val="both"/>
      </w:pPr>
    </w:p>
    <w:p w14:paraId="26291587" w14:textId="0C337F75" w:rsidR="00C93387" w:rsidRDefault="00C44482" w:rsidP="00C44482">
      <w:pPr>
        <w:pStyle w:val="Heading2"/>
        <w:numPr>
          <w:ilvl w:val="0"/>
          <w:numId w:val="3"/>
        </w:numPr>
      </w:pPr>
      <w:r>
        <w:lastRenderedPageBreak/>
        <w:t>Expected Deliverables</w:t>
      </w:r>
    </w:p>
    <w:p w14:paraId="71885679" w14:textId="0F301364" w:rsidR="00C44482" w:rsidRDefault="00C44482" w:rsidP="00C44482">
      <w:pPr>
        <w:jc w:val="both"/>
      </w:pPr>
      <w:r>
        <w:t>By the end of Semester 2 the project will deliver:</w:t>
      </w:r>
    </w:p>
    <w:p w14:paraId="2A1C55F0" w14:textId="54F11208" w:rsidR="00C44482" w:rsidRDefault="00C44482" w:rsidP="00C44482">
      <w:pPr>
        <w:pStyle w:val="ListParagraph"/>
        <w:numPr>
          <w:ilvl w:val="0"/>
          <w:numId w:val="5"/>
        </w:numPr>
        <w:jc w:val="both"/>
      </w:pPr>
      <w:r>
        <w:t>A documented, reproducible data pipeline and cleaned dataset.</w:t>
      </w:r>
    </w:p>
    <w:p w14:paraId="70DC8114" w14:textId="1F7A451A" w:rsidR="00C44482" w:rsidRDefault="00C44482" w:rsidP="00C44482">
      <w:pPr>
        <w:pStyle w:val="ListParagraph"/>
        <w:numPr>
          <w:ilvl w:val="0"/>
          <w:numId w:val="5"/>
        </w:numPr>
        <w:jc w:val="both"/>
      </w:pPr>
      <w:r>
        <w:t>An exploratory analysis with survival curves and statistical tests.</w:t>
      </w:r>
    </w:p>
    <w:p w14:paraId="490D8B18" w14:textId="61D784F1" w:rsidR="00C44482" w:rsidRDefault="00C44482" w:rsidP="00C44482">
      <w:pPr>
        <w:pStyle w:val="ListParagraph"/>
        <w:numPr>
          <w:ilvl w:val="0"/>
          <w:numId w:val="5"/>
        </w:numPr>
        <w:jc w:val="both"/>
      </w:pPr>
      <w:r>
        <w:t>An evaluated lifetime model, compared with the baseline, and the hypothesis-test result.</w:t>
      </w:r>
    </w:p>
    <w:p w14:paraId="745A121F" w14:textId="57717D0A" w:rsidR="00C44482" w:rsidRDefault="00C44482" w:rsidP="00C44482">
      <w:pPr>
        <w:pStyle w:val="ListParagraph"/>
        <w:numPr>
          <w:ilvl w:val="0"/>
          <w:numId w:val="5"/>
        </w:numPr>
        <w:jc w:val="both"/>
      </w:pPr>
      <w:r>
        <w:t>A five-year compliance classifier with calibrated probabilities.</w:t>
      </w:r>
    </w:p>
    <w:p w14:paraId="47763088" w14:textId="2D3EA490" w:rsidR="00C44482" w:rsidRDefault="00C44482" w:rsidP="00C44482">
      <w:pPr>
        <w:pStyle w:val="ListParagraph"/>
        <w:numPr>
          <w:ilvl w:val="0"/>
          <w:numId w:val="5"/>
        </w:numPr>
        <w:jc w:val="both"/>
      </w:pPr>
      <w:r>
        <w:t xml:space="preserve">An interactive </w:t>
      </w:r>
      <w:proofErr w:type="spellStart"/>
      <w:r>
        <w:t>Streamlit</w:t>
      </w:r>
      <w:proofErr w:type="spellEnd"/>
      <w:r>
        <w:t xml:space="preserve"> dashboard for looking up a tracked object.</w:t>
      </w:r>
    </w:p>
    <w:p w14:paraId="2FE4351D" w14:textId="01F59DDF" w:rsidR="00C44482" w:rsidRDefault="00C44482" w:rsidP="00C44482">
      <w:pPr>
        <w:pStyle w:val="ListParagraph"/>
        <w:numPr>
          <w:ilvl w:val="0"/>
          <w:numId w:val="5"/>
        </w:numPr>
        <w:jc w:val="both"/>
      </w:pPr>
      <w:r>
        <w:t>A GitHub repository with all code.</w:t>
      </w:r>
    </w:p>
    <w:p w14:paraId="578E1BA2" w14:textId="0BDD8C1F" w:rsidR="00C44482" w:rsidRDefault="00C44482" w:rsidP="00C44482">
      <w:pPr>
        <w:pStyle w:val="ListParagraph"/>
        <w:numPr>
          <w:ilvl w:val="0"/>
          <w:numId w:val="5"/>
        </w:numPr>
        <w:jc w:val="both"/>
      </w:pPr>
      <w:r>
        <w:t>A final report.</w:t>
      </w:r>
    </w:p>
    <w:p w14:paraId="5BC34694" w14:textId="7A5370C2" w:rsidR="00C44482" w:rsidRDefault="00C44482" w:rsidP="00C44482">
      <w:pPr>
        <w:pStyle w:val="ListParagraph"/>
        <w:numPr>
          <w:ilvl w:val="0"/>
          <w:numId w:val="5"/>
        </w:numPr>
        <w:jc w:val="both"/>
      </w:pPr>
      <w:r>
        <w:t>A presentation of project.</w:t>
      </w:r>
    </w:p>
    <w:p w14:paraId="76EC1D20" w14:textId="7F53D3D3" w:rsidR="00C93387" w:rsidRDefault="00C93387" w:rsidP="00C93387">
      <w:pPr>
        <w:pStyle w:val="Heading2"/>
        <w:ind w:left="720"/>
      </w:pPr>
    </w:p>
    <w:p w14:paraId="04CE7AE9" w14:textId="77777777" w:rsidR="000D5BEC" w:rsidRDefault="000D5BEC">
      <w:pPr>
        <w:pStyle w:val="Heading1"/>
      </w:pPr>
      <w:bookmarkStart w:id="16" w:name="_3k22tv9gdiso" w:colFirst="0" w:colLast="0"/>
      <w:bookmarkEnd w:id="16"/>
    </w:p>
    <w:p w14:paraId="004DF31F" w14:textId="77777777" w:rsidR="000D5BEC" w:rsidRDefault="000D5BEC">
      <w:pPr>
        <w:pStyle w:val="Heading1"/>
      </w:pPr>
      <w:bookmarkStart w:id="17" w:name="_ai323nifdfh4" w:colFirst="0" w:colLast="0"/>
      <w:bookmarkEnd w:id="17"/>
    </w:p>
    <w:p w14:paraId="4974A1C3" w14:textId="77777777" w:rsidR="000D5BEC" w:rsidRDefault="000D5BEC">
      <w:pPr>
        <w:pStyle w:val="Heading1"/>
      </w:pPr>
      <w:bookmarkStart w:id="18" w:name="_pndu2nfdxm1u" w:colFirst="0" w:colLast="0"/>
      <w:bookmarkEnd w:id="18"/>
    </w:p>
    <w:p w14:paraId="1A6E83D8" w14:textId="77777777" w:rsidR="000D5BEC" w:rsidRDefault="000D5BEC">
      <w:pPr>
        <w:pStyle w:val="Heading1"/>
      </w:pPr>
      <w:bookmarkStart w:id="19" w:name="_rggpl75d8155" w:colFirst="0" w:colLast="0"/>
      <w:bookmarkEnd w:id="19"/>
    </w:p>
    <w:p w14:paraId="1CC4BAB4" w14:textId="77777777" w:rsidR="000D5BEC" w:rsidRDefault="000D5BEC">
      <w:pPr>
        <w:pStyle w:val="Heading1"/>
      </w:pPr>
      <w:bookmarkStart w:id="20" w:name="_gwt1fxe33dd8" w:colFirst="0" w:colLast="0"/>
      <w:bookmarkEnd w:id="20"/>
    </w:p>
    <w:p w14:paraId="423B5EF0" w14:textId="77777777" w:rsidR="000D5BEC" w:rsidRDefault="000D5BEC">
      <w:pPr>
        <w:pStyle w:val="Heading1"/>
      </w:pPr>
      <w:bookmarkStart w:id="21" w:name="_x5kvy6u7ezws" w:colFirst="0" w:colLast="0"/>
      <w:bookmarkEnd w:id="21"/>
    </w:p>
    <w:p w14:paraId="7AB5E4F7" w14:textId="77777777" w:rsidR="000D5BEC" w:rsidRDefault="000D5BEC">
      <w:pPr>
        <w:pStyle w:val="Heading1"/>
      </w:pPr>
      <w:bookmarkStart w:id="22" w:name="_jz72l7voa8td" w:colFirst="0" w:colLast="0"/>
      <w:bookmarkEnd w:id="22"/>
    </w:p>
    <w:p w14:paraId="2F1DD862" w14:textId="77777777" w:rsidR="000D5BEC" w:rsidRDefault="000D5BEC">
      <w:pPr>
        <w:pStyle w:val="Heading1"/>
      </w:pPr>
      <w:bookmarkStart w:id="23" w:name="_e4dm2bk22n6o" w:colFirst="0" w:colLast="0"/>
      <w:bookmarkEnd w:id="23"/>
    </w:p>
    <w:p w14:paraId="2702FCCC" w14:textId="77777777" w:rsidR="000D5BEC" w:rsidRDefault="000D5BEC">
      <w:pPr>
        <w:pStyle w:val="Heading1"/>
      </w:pPr>
      <w:bookmarkStart w:id="24" w:name="_t0hz7sr7dvkj" w:colFirst="0" w:colLast="0"/>
      <w:bookmarkEnd w:id="24"/>
    </w:p>
    <w:p w14:paraId="38A8E5BE" w14:textId="77777777" w:rsidR="000D5BEC" w:rsidRDefault="000D5BEC"/>
    <w:p w14:paraId="42827660" w14:textId="77777777" w:rsidR="000D5BEC" w:rsidRDefault="000D5BEC"/>
    <w:p w14:paraId="22041E3D" w14:textId="77777777" w:rsidR="000D5BEC" w:rsidRDefault="000D5BEC"/>
    <w:p w14:paraId="1308CA14" w14:textId="77777777" w:rsidR="000D5BEC" w:rsidRDefault="000D5BEC"/>
    <w:p w14:paraId="533D126B" w14:textId="77777777" w:rsidR="000D5BEC" w:rsidRDefault="000D5BEC"/>
    <w:p w14:paraId="68F872B4" w14:textId="77777777" w:rsidR="000D5BEC" w:rsidRDefault="00000000">
      <w:pPr>
        <w:pStyle w:val="Heading1"/>
      </w:pPr>
      <w:bookmarkStart w:id="25" w:name="_9uuzpv61bt43" w:colFirst="0" w:colLast="0"/>
      <w:bookmarkEnd w:id="25"/>
      <w:r>
        <w:lastRenderedPageBreak/>
        <w:t>References</w:t>
      </w:r>
    </w:p>
    <w:p w14:paraId="1E554972" w14:textId="77777777" w:rsidR="000D5BEC" w:rsidRDefault="000D5BEC"/>
    <w:p w14:paraId="48EF5D06" w14:textId="77777777" w:rsidR="000D5BEC" w:rsidRDefault="00000000">
      <w:pPr>
        <w:rPr>
          <w:color w:val="FF00FF"/>
        </w:rPr>
      </w:pPr>
      <w:r>
        <w:rPr>
          <w:color w:val="FF00FF"/>
        </w:rPr>
        <w:t xml:space="preserve">Braun, V., Funke, Q., Lemmens, S. and </w:t>
      </w:r>
      <w:proofErr w:type="spellStart"/>
      <w:r>
        <w:rPr>
          <w:color w:val="FF00FF"/>
        </w:rPr>
        <w:t>Sanvido</w:t>
      </w:r>
      <w:proofErr w:type="spellEnd"/>
      <w:r>
        <w:rPr>
          <w:color w:val="FF00FF"/>
        </w:rPr>
        <w:t xml:space="preserve">, S. (2020) ‘DRAMA 3.0 – Upgrade of ESA’s debris risk assessment and mitigation analysis tool suite’, Journal of Space Safety Engineering, 7(3), pp. 206–212. </w:t>
      </w:r>
      <w:proofErr w:type="spellStart"/>
      <w:r>
        <w:rPr>
          <w:color w:val="FF00FF"/>
        </w:rPr>
        <w:t>doi</w:t>
      </w:r>
      <w:proofErr w:type="spellEnd"/>
      <w:r>
        <w:rPr>
          <w:color w:val="FF00FF"/>
        </w:rPr>
        <w:t>: 10.1016/j.jsse.2020.07.020.</w:t>
      </w:r>
    </w:p>
    <w:p w14:paraId="21D09B61" w14:textId="77777777" w:rsidR="000D5BEC" w:rsidRDefault="00000000">
      <w:r>
        <w:t xml:space="preserve">European Space Agency (2023) ESA leads the way towards a Zero Debris future. Available at: </w:t>
      </w:r>
      <w:hyperlink r:id="rId11">
        <w:r>
          <w:rPr>
            <w:color w:val="1155CC"/>
            <w:u w:val="single"/>
          </w:rPr>
          <w:t>https://www.esa.int/Space_Safety/Space_Debris/ESA_leads_the_way_towards_a_Zero_Debris_future</w:t>
        </w:r>
      </w:hyperlink>
      <w:r>
        <w:t xml:space="preserve"> (Accessed: 5 October 2026).</w:t>
      </w:r>
    </w:p>
    <w:p w14:paraId="5AE596CD" w14:textId="77777777" w:rsidR="000D5BEC" w:rsidRDefault="00000000">
      <w:r>
        <w:t xml:space="preserve">European Space Agency (2025) ESA Space Environment Report 2025. Available at: </w:t>
      </w:r>
      <w:hyperlink r:id="rId12">
        <w:r>
          <w:rPr>
            <w:color w:val="1155CC"/>
            <w:u w:val="single"/>
          </w:rPr>
          <w:t>https://www.esa.int/Space_Safety/Space_Debris/ESA_Space_Environment_Report_2025</w:t>
        </w:r>
      </w:hyperlink>
      <w:r>
        <w:t xml:space="preserve"> (Accessed: 5 October 2026).</w:t>
      </w:r>
    </w:p>
    <w:p w14:paraId="34D72A03" w14:textId="77777777" w:rsidR="000D5BEC" w:rsidRDefault="00000000">
      <w:r>
        <w:t xml:space="preserve">Federal Communications Commission (2024) ‘Space Innovation; Mitigation of Orbital Debris in the New Space Age’, Federal Register, 89(154), 9 August. Available at: </w:t>
      </w:r>
      <w:hyperlink r:id="rId13">
        <w:r>
          <w:rPr>
            <w:color w:val="1155CC"/>
            <w:u w:val="single"/>
          </w:rPr>
          <w:t>https://www.federalregister.gov/documents/2024/08/09/2024-17093/space-innovation-mitigation-of-orbital-debris-in-the-new-space-age</w:t>
        </w:r>
      </w:hyperlink>
      <w:r>
        <w:t>. (Accessed: 9 October 2026)</w:t>
      </w:r>
    </w:p>
    <w:p w14:paraId="3D739260" w14:textId="77777777" w:rsidR="000D5BEC" w:rsidRDefault="00000000">
      <w:r>
        <w:t xml:space="preserve">European Space Agency (2018) ESA Re-entry Prediction Front-end User Guide. GEN-REN-MAN-00232-OPS-GR, Issue 0.0. Darmstadt: ESA Space Debris Office. Available at: </w:t>
      </w:r>
      <w:hyperlink r:id="rId14">
        <w:r>
          <w:rPr>
            <w:color w:val="1155CC"/>
            <w:u w:val="single"/>
          </w:rPr>
          <w:t>https://reentry.esoc.esa.int/files/public/GEN-REN-MAN-00232-OPS-GR%20ESA%20Re-entry%20Prediction%20Front-end%20User%20Guide.pdf</w:t>
        </w:r>
      </w:hyperlink>
      <w:r>
        <w:t xml:space="preserve"> (Accessed: 11 October 2026).</w:t>
      </w:r>
    </w:p>
    <w:p w14:paraId="15C34C30" w14:textId="77777777" w:rsidR="000D5BEC" w:rsidRDefault="00000000">
      <w:r>
        <w:rPr>
          <w:color w:val="FF00FF"/>
        </w:rPr>
        <w:t xml:space="preserve">Fang, T., </w:t>
      </w:r>
      <w:proofErr w:type="spellStart"/>
      <w:r>
        <w:rPr>
          <w:color w:val="FF00FF"/>
        </w:rPr>
        <w:t>Kubaryk</w:t>
      </w:r>
      <w:proofErr w:type="spellEnd"/>
      <w:r>
        <w:rPr>
          <w:color w:val="FF00FF"/>
        </w:rPr>
        <w:t xml:space="preserve">, A., Goldstein, D., Li, Z., Fuller-Rowell, T., Millward, G., Singer, H.J., Steenburgh, R., Westerman, S. and Babcock, E. (2022) ‘Space weather environment during the SpaceX Starlink satellite loss in February 2022’, Space Weather, 20(11). </w:t>
      </w:r>
      <w:proofErr w:type="spellStart"/>
      <w:r>
        <w:rPr>
          <w:color w:val="FF00FF"/>
        </w:rPr>
        <w:t>doi</w:t>
      </w:r>
      <w:proofErr w:type="spellEnd"/>
      <w:r>
        <w:rPr>
          <w:color w:val="FF00FF"/>
        </w:rPr>
        <w:t>: 10.1029/2022SW003193</w:t>
      </w:r>
      <w:r>
        <w:t>.</w:t>
      </w:r>
    </w:p>
    <w:p w14:paraId="004E82B7" w14:textId="77777777" w:rsidR="000D5BEC" w:rsidRDefault="000D5BEC"/>
    <w:p w14:paraId="5EF95F93" w14:textId="77777777" w:rsidR="000D5BEC" w:rsidRDefault="000D5BEC"/>
    <w:p w14:paraId="1FD473FB" w14:textId="77777777" w:rsidR="000D5BEC" w:rsidRDefault="000D5BEC"/>
    <w:p w14:paraId="3472236D" w14:textId="77777777" w:rsidR="000D5BEC" w:rsidRDefault="000D5BEC"/>
    <w:p w14:paraId="19C5CBC4" w14:textId="77777777" w:rsidR="000D5BEC" w:rsidRDefault="000D5BEC"/>
    <w:p w14:paraId="5426D666" w14:textId="77777777" w:rsidR="000D5BEC" w:rsidRDefault="000D5BEC"/>
    <w:p w14:paraId="70FBE9BC" w14:textId="77777777" w:rsidR="000D5BEC" w:rsidRDefault="000D5BEC"/>
    <w:p w14:paraId="0B42B39B" w14:textId="77777777" w:rsidR="000D5BEC" w:rsidRDefault="000D5BEC"/>
    <w:p w14:paraId="18F100C7" w14:textId="77777777" w:rsidR="000D5BEC" w:rsidRDefault="000D5BEC"/>
    <w:p w14:paraId="70B77FFF" w14:textId="77777777" w:rsidR="000D5BEC" w:rsidRDefault="000D5BEC"/>
    <w:p w14:paraId="4AB65232" w14:textId="77777777" w:rsidR="000D5BEC" w:rsidRDefault="000D5BEC"/>
    <w:p w14:paraId="4F7C2C0B" w14:textId="77777777" w:rsidR="000D5BEC" w:rsidRDefault="000D5BEC"/>
    <w:p w14:paraId="69B280B4" w14:textId="77777777" w:rsidR="000D5BEC" w:rsidRDefault="000D5BEC"/>
    <w:p w14:paraId="00006A03" w14:textId="77777777" w:rsidR="000D5BEC" w:rsidRDefault="000D5BEC"/>
    <w:p w14:paraId="2AEFA8CB" w14:textId="77777777" w:rsidR="000D5BEC" w:rsidRDefault="000D5BEC"/>
    <w:p w14:paraId="472B33F6" w14:textId="77777777" w:rsidR="000D5BEC" w:rsidRDefault="000D5BEC">
      <w:pPr>
        <w:pBdr>
          <w:top w:val="nil"/>
          <w:left w:val="nil"/>
          <w:bottom w:val="nil"/>
          <w:right w:val="nil"/>
          <w:between w:val="nil"/>
        </w:pBdr>
        <w:spacing w:after="0" w:line="240" w:lineRule="auto"/>
        <w:rPr>
          <w:color w:val="000000"/>
        </w:rPr>
      </w:pPr>
    </w:p>
    <w:p w14:paraId="5F753F2E" w14:textId="77777777" w:rsidR="000D5BEC" w:rsidRDefault="000D5BEC"/>
    <w:p w14:paraId="3005A73F" w14:textId="77777777" w:rsidR="000D5BEC" w:rsidRDefault="000D5BEC"/>
    <w:p w14:paraId="63EDE610" w14:textId="77777777" w:rsidR="000D5BEC" w:rsidRDefault="00000000">
      <w:pPr>
        <w:pStyle w:val="Heading1"/>
      </w:pPr>
      <w:bookmarkStart w:id="26" w:name="_sqjbz8het4id" w:colFirst="0" w:colLast="0"/>
      <w:bookmarkEnd w:id="26"/>
      <w:r>
        <w:t>Appendix</w:t>
      </w:r>
    </w:p>
    <w:p w14:paraId="389FED46" w14:textId="77777777" w:rsidR="000D5BEC" w:rsidRDefault="000D5BEC"/>
    <w:p w14:paraId="6A5E5AC3" w14:textId="77777777" w:rsidR="000D5BEC" w:rsidRDefault="000D5BEC">
      <w:pPr>
        <w:rPr>
          <w:color w:val="FF0000"/>
        </w:rPr>
      </w:pPr>
    </w:p>
    <w:p w14:paraId="40CCDDDB" w14:textId="77777777" w:rsidR="000D5BEC" w:rsidRDefault="00000000">
      <w:pPr>
        <w:rPr>
          <w:color w:val="FF0000"/>
        </w:rPr>
      </w:pPr>
      <w:r>
        <w:rPr>
          <w:color w:val="FF0000"/>
        </w:rPr>
        <w:t xml:space="preserve">If you have used AI tools in your work, you must include screenshots of your requests in the appendix. </w:t>
      </w:r>
    </w:p>
    <w:p w14:paraId="0E67ED6F" w14:textId="77777777" w:rsidR="000D5BEC" w:rsidRDefault="00000000">
      <w:pPr>
        <w:rPr>
          <w:color w:val="FF0000"/>
        </w:rPr>
      </w:pPr>
      <w:r>
        <w:rPr>
          <w:color w:val="FF0000"/>
        </w:rPr>
        <w:t xml:space="preserve">The appendix serves as a repository for additional or supplementary information that </w:t>
      </w:r>
      <w:proofErr w:type="gramStart"/>
      <w:r>
        <w:rPr>
          <w:color w:val="FF0000"/>
        </w:rPr>
        <w:t>is deemed</w:t>
      </w:r>
      <w:proofErr w:type="gramEnd"/>
      <w:r>
        <w:rPr>
          <w:color w:val="FF0000"/>
        </w:rPr>
        <w:t xml:space="preserve"> too extensive or detailed for integration into the main body of the text. This supplementary content can encompass data tables, charts, graphs, questionnaires, or any other supporting materials that contribute to a comprehensive understanding of the research.</w:t>
      </w:r>
    </w:p>
    <w:p w14:paraId="440C6AC1" w14:textId="77777777" w:rsidR="000D5BEC" w:rsidRDefault="00000000">
      <w:pPr>
        <w:rPr>
          <w:color w:val="FF0000"/>
        </w:rPr>
      </w:pPr>
      <w:r>
        <w:rPr>
          <w:color w:val="FF0000"/>
        </w:rPr>
        <w:t xml:space="preserve">If you </w:t>
      </w:r>
      <w:proofErr w:type="gramStart"/>
      <w:r>
        <w:rPr>
          <w:color w:val="FF0000"/>
        </w:rPr>
        <w:t>haven't</w:t>
      </w:r>
      <w:proofErr w:type="gramEnd"/>
      <w:r>
        <w:rPr>
          <w:color w:val="FF0000"/>
        </w:rPr>
        <w:t xml:space="preserve"> used AI tools and </w:t>
      </w:r>
      <w:proofErr w:type="gramStart"/>
      <w:r>
        <w:rPr>
          <w:color w:val="FF0000"/>
        </w:rPr>
        <w:t>there's</w:t>
      </w:r>
      <w:proofErr w:type="gramEnd"/>
      <w:r>
        <w:rPr>
          <w:color w:val="FF0000"/>
        </w:rPr>
        <w:t xml:space="preserve"> no need for supplementary data, you can remove the appendix section entirely.</w:t>
      </w:r>
    </w:p>
    <w:p w14:paraId="2B684721" w14:textId="77777777" w:rsidR="000D5BEC" w:rsidRDefault="000D5BEC">
      <w:pPr>
        <w:rPr>
          <w:color w:val="FF0000"/>
        </w:rPr>
      </w:pPr>
    </w:p>
    <w:p w14:paraId="5A7D8EBC" w14:textId="77777777" w:rsidR="000D5BEC" w:rsidRDefault="000D5BEC"/>
    <w:sectPr w:rsidR="000D5BEC">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CF53D" w14:textId="77777777" w:rsidR="00044096" w:rsidRDefault="00044096">
      <w:pPr>
        <w:spacing w:after="0" w:line="240" w:lineRule="auto"/>
      </w:pPr>
      <w:r>
        <w:separator/>
      </w:r>
    </w:p>
  </w:endnote>
  <w:endnote w:type="continuationSeparator" w:id="0">
    <w:p w14:paraId="3725ECBE" w14:textId="77777777" w:rsidR="00044096" w:rsidRDefault="00044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141B15A-1D31-4555-AB59-A1FAACCB7397}"/>
    <w:embedBold r:id="rId2" w:fontKey="{B00DAB01-47B7-441B-968F-A3ABD1EEF8B4}"/>
    <w:embedItalic r:id="rId3" w:fontKey="{22AF4468-8F7F-4C73-A81E-8CBABA1B6CF6}"/>
  </w:font>
  <w:font w:name="Play">
    <w:charset w:val="00"/>
    <w:family w:val="auto"/>
    <w:pitch w:val="default"/>
    <w:embedRegular r:id="rId4" w:fontKey="{7E7ABA3A-9856-4598-ADF2-1F2B25569B1D}"/>
  </w:font>
  <w:font w:name="Aptos">
    <w:charset w:val="00"/>
    <w:family w:val="swiss"/>
    <w:pitch w:val="variable"/>
    <w:sig w:usb0="20000287" w:usb1="00000003" w:usb2="00000000" w:usb3="00000000" w:csb0="0000019F" w:csb1="00000000"/>
    <w:embedRegular r:id="rId5" w:fontKey="{F7083940-DA8E-4580-8192-487616FF3CA6}"/>
  </w:font>
  <w:font w:name="Cambria">
    <w:panose1 w:val="02040503050406030204"/>
    <w:charset w:val="00"/>
    <w:family w:val="roman"/>
    <w:pitch w:val="variable"/>
    <w:sig w:usb0="E00006FF" w:usb1="420024FF" w:usb2="02000000" w:usb3="00000000" w:csb0="0000019F" w:csb1="00000000"/>
    <w:embedRegular r:id="rId6" w:fontKey="{FE59E075-6C91-4F60-B516-A5BF7B38A1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0EE4C" w14:textId="77777777" w:rsidR="000D5BEC" w:rsidRDefault="000D5BEC">
    <w:pPr>
      <w:pBdr>
        <w:top w:val="nil"/>
        <w:left w:val="nil"/>
        <w:bottom w:val="nil"/>
        <w:right w:val="nil"/>
        <w:between w:val="nil"/>
      </w:pBdr>
      <w:tabs>
        <w:tab w:val="center" w:pos="4513"/>
        <w:tab w:val="right" w:pos="9026"/>
      </w:tabs>
      <w:spacing w:after="0" w:line="240" w:lineRule="auto"/>
      <w:jc w:val="center"/>
      <w:rPr>
        <w:color w:val="000000"/>
      </w:rPr>
    </w:pPr>
  </w:p>
  <w:p w14:paraId="57229F4B" w14:textId="77777777" w:rsidR="000D5BEC" w:rsidRDefault="000D5BEC">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1495" w14:textId="3D40FC8D" w:rsidR="000D5BEC" w:rsidRDefault="00000000">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C933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262D2" w14:textId="77777777" w:rsidR="00044096" w:rsidRDefault="00044096">
      <w:pPr>
        <w:spacing w:after="0" w:line="240" w:lineRule="auto"/>
      </w:pPr>
      <w:r>
        <w:separator/>
      </w:r>
    </w:p>
  </w:footnote>
  <w:footnote w:type="continuationSeparator" w:id="0">
    <w:p w14:paraId="6FC46704" w14:textId="77777777" w:rsidR="00044096" w:rsidRDefault="00044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343B3"/>
    <w:multiLevelType w:val="multilevel"/>
    <w:tmpl w:val="FC9A2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851D3F"/>
    <w:multiLevelType w:val="multilevel"/>
    <w:tmpl w:val="B824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012852"/>
    <w:multiLevelType w:val="multilevel"/>
    <w:tmpl w:val="141A70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1AB00AD"/>
    <w:multiLevelType w:val="multilevel"/>
    <w:tmpl w:val="5A0045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5FF2E31"/>
    <w:multiLevelType w:val="hybridMultilevel"/>
    <w:tmpl w:val="6F3829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957834790">
    <w:abstractNumId w:val="1"/>
  </w:num>
  <w:num w:numId="2" w16cid:durableId="498888506">
    <w:abstractNumId w:val="0"/>
  </w:num>
  <w:num w:numId="3" w16cid:durableId="624312329">
    <w:abstractNumId w:val="2"/>
  </w:num>
  <w:num w:numId="4" w16cid:durableId="1629702704">
    <w:abstractNumId w:val="3"/>
  </w:num>
  <w:num w:numId="5" w16cid:durableId="12928578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BEC"/>
    <w:rsid w:val="00044096"/>
    <w:rsid w:val="000D5BEC"/>
    <w:rsid w:val="009D42C4"/>
    <w:rsid w:val="00C44482"/>
    <w:rsid w:val="00C9338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C39A"/>
  <w15:docId w15:val="{E7222DE5-CE1E-4DAE-AEAC-FD2564F8A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40" w:lineRule="auto"/>
      <w:outlineLvl w:val="0"/>
    </w:pPr>
    <w:rPr>
      <w:color w:val="3A3A3A"/>
      <w:sz w:val="40"/>
      <w:szCs w:val="40"/>
    </w:rPr>
  </w:style>
  <w:style w:type="paragraph" w:styleId="Heading2">
    <w:name w:val="heading 2"/>
    <w:basedOn w:val="Normal"/>
    <w:next w:val="Normal"/>
    <w:uiPriority w:val="9"/>
    <w:unhideWhenUsed/>
    <w:qFormat/>
    <w:pPr>
      <w:keepNext/>
      <w:keepLines/>
      <w:spacing w:before="160" w:after="80" w:line="240" w:lineRule="auto"/>
      <w:outlineLvl w:val="1"/>
    </w:pPr>
    <w:rPr>
      <w:color w:val="3A3A3A"/>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3A3A3A"/>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paragraph" w:styleId="Revision">
    <w:name w:val="Revision"/>
    <w:hidden/>
    <w:uiPriority w:val="99"/>
    <w:semiHidden/>
    <w:rsid w:val="00C93387"/>
    <w:pPr>
      <w:spacing w:after="0" w:line="240" w:lineRule="auto"/>
    </w:pPr>
  </w:style>
  <w:style w:type="paragraph" w:styleId="ListParagraph">
    <w:name w:val="List Paragraph"/>
    <w:basedOn w:val="Normal"/>
    <w:uiPriority w:val="34"/>
    <w:qFormat/>
    <w:rsid w:val="00C933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ederalregister.gov/documents/2024/08/09/2024-17093/space-innovation-mitigation-of-orbital-debris-in-the-new-space-age" TargetMode="Externa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hyperlink" Target="https://www.esa.int/Space_Safety/Space_Debris/ESA_Space_Environment_Report_202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sa.int/Space_Safety/Space_Debris/ESA_leads_the_way_towards_a_Zero_Debris_futur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reentry.esoc.esa.int/files/public/GEN-REN-MAN-00232-OPS-GR%20ESA%20Re-entry%20Prediction%20Front-end%20User%20Guide.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2333</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Oleksii Taranov</cp:lastModifiedBy>
  <cp:revision>2</cp:revision>
  <dcterms:created xsi:type="dcterms:W3CDTF">2026-10-19T20:43:00Z</dcterms:created>
  <dcterms:modified xsi:type="dcterms:W3CDTF">2026-10-19T21:02:00Z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