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Research Pack: Incident Prediction in IT Service Management Using Public Data</w:t>
      </w:r>
    </w:p>
    <w:p>
      <w:pPr/>
      <w:r>
        <w:t xml:space="preserve">Oct 11, 2026</w:t>
      </w:r>
      <w:r>
        <w:t xml:space="preserve"> · </w:t>
      </w:r>
      <w:r>
        <w:t xml:space="preserve">@Pedro</w:t>
      </w:r>
    </w:p>
    <w:p>
      <w:pPr/>
      <w:r>
        <w:t xml:space="preserve">Predicting SLA breaches from public ServiceNow data is feasible within two semesters, but no public ITSM dataset supports every question in the brainstorm. The main decisions are scope, dataset and the core predictive task; the evidence and options are below, and the choices are yours.</w:t>
      </w:r>
    </w:p>
    <w:p>
      <w:pPr>
        <w:pStyle w:val="Heading2"/>
      </w:pPr>
      <w:r>
        <w:t xml:space="preserve">The brainstorm, restated</w:t>
      </w:r>
    </w:p>
    <w:p>
      <w:pPr/>
      <w:r>
        <w:t xml:space="preserve">The brainstorm describes one business problem made of seven sub-problems, and each needs different data and techniques.</w:t>
      </w:r>
    </w:p>
    <w:p>
      <w:pPr/>
      <w:r>
        <w:rPr>
          <w:b/>
        </w:rPr>
        <w:t xml:space="preserve">Business problem.</w:t>
      </w:r>
      <w:r>
        <w:t xml:space="preserve"> Large organisations log thousands of incidents, problems and changes every month in ITSM tools such as ServiceNow. Inconsistent priority setting, unclear ticket notes and manual categorisation make it hard to see which services will fail next, or which incidents will miss their SLA, before the impact happens.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Sub-problem in the brainstorm</w:t>
            </w:r>
          </w:p>
        </w:tc>
        <w:tc>
          <w:tcPr>
            <w:tcW w:w="2340" w:type="dxa"/>
            <w:shd w:val="clear" w:color="auto" w:fill="F2F2F2"/>
          </w:tcPr>
          <w:p>
            <w:pPr/>
            <w:r>
              <w:t xml:space="preserve">Plain-language version</w:t>
            </w:r>
          </w:p>
        </w:tc>
        <w:tc>
          <w:tcPr>
            <w:tcW w:w="2340" w:type="dxa"/>
            <w:shd w:val="clear" w:color="auto" w:fill="F2F2F2"/>
          </w:tcPr>
          <w:p>
            <w:pPr/>
            <w:r>
              <w:t xml:space="preserve">Techniques that could fit</w:t>
            </w:r>
          </w:p>
        </w:tc>
      </w:tr>
      <w:tr>
        <w:tc>
          <w:tcPr>
            <w:tcW w:w="2340" w:type="dxa"/>
          </w:tcPr>
          <w:p>
            <w:pPr/>
            <w:r>
              <w:t xml:space="preserve">A</w:t>
            </w:r>
          </w:p>
        </w:tc>
        <w:tc>
          <w:tcPr>
            <w:tcW w:w="2340" w:type="dxa"/>
          </w:tcPr>
          <w:p>
            <w:pPr/>
            <w:r>
              <w:t xml:space="preserve">Priority raised too high or too low</w:t>
            </w:r>
          </w:p>
        </w:tc>
        <w:tc>
          <w:tcPr>
            <w:tcW w:w="2340" w:type="dxa"/>
          </w:tcPr>
          <w:p>
            <w:pPr/>
            <w:r>
              <w:t xml:space="preserve">People choose the wrong impact or urgency</w:t>
            </w:r>
          </w:p>
        </w:tc>
        <w:tc>
          <w:tcPr>
            <w:tcW w:w="2340" w:type="dxa"/>
          </w:tcPr>
          <w:p>
            <w:pPr/>
            <w:r>
              <w:t xml:space="preserve">Hypothesis testing; classification</w:t>
            </w:r>
          </w:p>
        </w:tc>
      </w:tr>
      <w:tr>
        <w:tc>
          <w:tcPr>
            <w:tcW w:w="2340" w:type="dxa"/>
          </w:tcPr>
          <w:p>
            <w:pPr/>
            <w:r>
              <w:t xml:space="preserve">B</w:t>
            </w:r>
          </w:p>
        </w:tc>
        <w:tc>
          <w:tcPr>
            <w:tcW w:w="2340" w:type="dxa"/>
          </w:tcPr>
          <w:p>
            <w:pPr/>
            <w:r>
              <w:t xml:space="preserve">Notes incomplete, unclear or too technical</w:t>
            </w:r>
          </w:p>
        </w:tc>
        <w:tc>
          <w:tcPr>
            <w:tcW w:w="2340" w:type="dxa"/>
          </w:tcPr>
          <w:p>
            <w:pPr/>
            <w:r>
              <w:t xml:space="preserve">Records don't explain what happened</w:t>
            </w:r>
          </w:p>
        </w:tc>
        <w:tc>
          <w:tcPr>
            <w:tcW w:w="2340" w:type="dxa"/>
          </w:tcPr>
          <w:p>
            <w:pPr/>
            <w:r>
              <w:t xml:space="preserve">Text analytics (needs a text field)</w:t>
            </w:r>
          </w:p>
        </w:tc>
      </w:tr>
      <w:tr>
        <w:tc>
          <w:tcPr>
            <w:tcW w:w="2340" w:type="dxa"/>
          </w:tcPr>
          <w:p>
            <w:pPr/>
            <w:r>
              <w:t xml:space="preserve">C</w:t>
            </w:r>
          </w:p>
        </w:tc>
        <w:tc>
          <w:tcPr>
            <w:tcW w:w="2340" w:type="dxa"/>
          </w:tcPr>
          <w:p>
            <w:pPr/>
            <w:r>
              <w:t xml:space="preserve">Manual "bucketing" of incidents</w:t>
            </w:r>
          </w:p>
        </w:tc>
        <w:tc>
          <w:tcPr>
            <w:tcW w:w="2340" w:type="dxa"/>
          </w:tcPr>
          <w:p>
            <w:pPr/>
            <w:r>
              <w:t xml:space="preserve">Too many tickets to read one by one</w:t>
            </w:r>
          </w:p>
        </w:tc>
        <w:tc>
          <w:tcPr>
            <w:tcW w:w="2340" w:type="dxa"/>
          </w:tcPr>
          <w:p>
            <w:pPr/>
            <w:r>
              <w:t xml:space="preserve">Clustering; topic modelling</w:t>
            </w:r>
          </w:p>
        </w:tc>
      </w:tr>
      <w:tr>
        <w:tc>
          <w:tcPr>
            <w:tcW w:w="2340" w:type="dxa"/>
          </w:tcPr>
          <w:p>
            <w:pPr/>
            <w:r>
              <w:t xml:space="preserve">D</w:t>
            </w:r>
          </w:p>
        </w:tc>
        <w:tc>
          <w:tcPr>
            <w:tcW w:w="2340" w:type="dxa"/>
          </w:tcPr>
          <w:p>
            <w:pPr/>
            <w:r>
              <w:t xml:space="preserve">Incidents caused by changes</w:t>
            </w:r>
          </w:p>
        </w:tc>
        <w:tc>
          <w:tcPr>
            <w:tcW w:w="2340" w:type="dxa"/>
          </w:tcPr>
          <w:p>
            <w:pPr/>
            <w:r>
              <w:t xml:space="preserve">A deployment broke something</w:t>
            </w:r>
          </w:p>
        </w:tc>
        <w:tc>
          <w:tcPr>
            <w:tcW w:w="2340" w:type="dxa"/>
          </w:tcPr>
          <w:p>
            <w:pPr/>
            <w:r>
              <w:t xml:space="preserve">Change-risk classification; linking records</w:t>
            </w:r>
          </w:p>
        </w:tc>
      </w:tr>
      <w:tr>
        <w:tc>
          <w:tcPr>
            <w:tcW w:w="2340" w:type="dxa"/>
          </w:tcPr>
          <w:p>
            <w:pPr/>
            <w:r>
              <w:t xml:space="preserve">E</w:t>
            </w:r>
          </w:p>
        </w:tc>
        <w:tc>
          <w:tcPr>
            <w:tcW w:w="2340" w:type="dxa"/>
          </w:tcPr>
          <w:p>
            <w:pPr/>
            <w:r>
              <w:t xml:space="preserve">Recurrence</w:t>
            </w:r>
          </w:p>
        </w:tc>
        <w:tc>
          <w:tcPr>
            <w:tcW w:w="2340" w:type="dxa"/>
          </w:tcPr>
          <w:p>
            <w:pPr/>
            <w:r>
              <w:t xml:space="preserve">The same component fails again</w:t>
            </w:r>
          </w:p>
        </w:tc>
        <w:tc>
          <w:tcPr>
            <w:tcW w:w="2340" w:type="dxa"/>
          </w:tcPr>
          <w:p>
            <w:pPr/>
            <w:r>
              <w:t xml:space="preserve">Time-series forecasting; survival analysis</w:t>
            </w:r>
          </w:p>
        </w:tc>
      </w:tr>
      <w:tr>
        <w:tc>
          <w:tcPr>
            <w:tcW w:w="2340" w:type="dxa"/>
          </w:tcPr>
          <w:p>
            <w:pPr/>
            <w:r>
              <w:t xml:space="preserve">F</w:t>
            </w:r>
          </w:p>
        </w:tc>
        <w:tc>
          <w:tcPr>
            <w:tcW w:w="2340" w:type="dxa"/>
          </w:tcPr>
          <w:p>
            <w:pPr/>
            <w:r>
              <w:t xml:space="preserve">Linking incidents, problems, changes, outages</w:t>
            </w:r>
          </w:p>
        </w:tc>
        <w:tc>
          <w:tcPr>
            <w:tcW w:w="2340" w:type="dxa"/>
          </w:tcPr>
          <w:p>
            <w:pPr/>
            <w:r>
              <w:t xml:space="preserve">Seeing the full backstory</w:t>
            </w:r>
          </w:p>
        </w:tc>
        <w:tc>
          <w:tcPr>
            <w:tcW w:w="2340" w:type="dxa"/>
          </w:tcPr>
          <w:p>
            <w:pPr/>
            <w:r>
              <w:t xml:space="preserve">Relational or graph analysis; similarity search</w:t>
            </w:r>
          </w:p>
        </w:tc>
      </w:tr>
      <w:tr>
        <w:tc>
          <w:tcPr>
            <w:tcW w:w="2340" w:type="dxa"/>
          </w:tcPr>
          <w:p>
            <w:pPr/>
            <w:r>
              <w:t xml:space="preserve">G</w:t>
            </w:r>
          </w:p>
        </w:tc>
        <w:tc>
          <w:tcPr>
            <w:tcW w:w="2340" w:type="dxa"/>
          </w:tcPr>
          <w:p>
            <w:pPr/>
            <w:r>
              <w:t xml:space="preserve">Insight for leadership</w:t>
            </w:r>
          </w:p>
        </w:tc>
        <w:tc>
          <w:tcPr>
            <w:tcW w:w="2340" w:type="dxa"/>
          </w:tcPr>
          <w:p>
            <w:pPr/>
            <w:r>
              <w:t xml:space="preserve">Executives need simple answers</w:t>
            </w:r>
          </w:p>
        </w:tc>
        <w:tc>
          <w:tcPr>
            <w:tcW w:w="2340" w:type="dxa"/>
          </w:tcPr>
          <w:p>
            <w:pPr/>
            <w:r>
              <w:t xml:space="preserve">Dashboards; KPIs</w:t>
            </w:r>
          </w:p>
        </w:tc>
      </w:tr>
    </w:tbl>
    <w:p>
      <w:pPr/>
      <w:r>
        <w:t xml:space="preserve">Covering all seven is likely more than two semesters of work, so which ones are in scope is a decision (see the last section).</w:t>
      </w:r>
    </w:p>
    <w:p>
      <w:pPr>
        <w:pStyle w:val="Heading2"/>
      </w:pPr>
      <w:r>
        <w:t xml:space="preserve">Key ITSM terms</w:t>
      </w:r>
    </w:p>
    <w:p>
      <w:pPr/>
      <w:r>
        <w:t xml:space="preserve">Most terms follow ITIL 4, the common framework for IT service management.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w:t>
            </w:r>
          </w:p>
        </w:tc>
        <w:tc>
          <w:tcPr>
            <w:tcW w:w="3120" w:type="dxa"/>
            <w:shd w:val="clear" w:color="auto" w:fill="F2F2F2"/>
          </w:tcPr>
          <w:p>
            <w:pPr/>
            <w:r>
              <w:t xml:space="preserve">Meaning</w:t>
            </w:r>
          </w:p>
        </w:tc>
        <w:tc>
          <w:tcPr>
            <w:tcW w:w="3120" w:type="dxa"/>
            <w:shd w:val="clear" w:color="auto" w:fill="F2F2F2"/>
          </w:tcPr>
          <w:p>
            <w:pPr/>
            <w:r>
              <w:t xml:space="preserve">Example</w:t>
            </w:r>
          </w:p>
        </w:tc>
      </w:tr>
      <w:tr>
        <w:tc>
          <w:tcPr>
            <w:tcW w:w="3120" w:type="dxa"/>
          </w:tcPr>
          <w:p>
            <w:pPr/>
            <w:r>
              <w:t xml:space="preserve">Incident</w:t>
            </w:r>
          </w:p>
        </w:tc>
        <w:tc>
          <w:tcPr>
            <w:tcW w:w="3120" w:type="dxa"/>
          </w:tcPr>
          <w:p>
            <w:pPr/>
            <w:r>
              <w:t xml:space="preserve">An unplanned interruption to a service, or a drop in its quality</w:t>
            </w:r>
          </w:p>
        </w:tc>
        <w:tc>
          <w:tcPr>
            <w:tcW w:w="3120" w:type="dxa"/>
          </w:tcPr>
          <w:p>
            <w:pPr/>
            <w:r>
              <w:t xml:space="preserve">Mobile banking login fails</w:t>
            </w:r>
          </w:p>
        </w:tc>
      </w:tr>
      <w:tr>
        <w:tc>
          <w:tcPr>
            <w:tcW w:w="3120" w:type="dxa"/>
          </w:tcPr>
          <w:p>
            <w:pPr/>
            <w:r>
              <w:t xml:space="preserve">Problem</w:t>
            </w:r>
          </w:p>
        </w:tc>
        <w:tc>
          <w:tcPr>
            <w:tcW w:w="3120" w:type="dxa"/>
          </w:tcPr>
          <w:p>
            <w:pPr/>
            <w:r>
              <w:t xml:space="preserve">The underlying cause of one or more incidents</w:t>
            </w:r>
          </w:p>
        </w:tc>
        <w:tc>
          <w:tcPr>
            <w:tcW w:w="3120" w:type="dxa"/>
          </w:tcPr>
          <w:p>
            <w:pPr/>
            <w:r>
              <w:t xml:space="preserve">A memory leak that keeps crashing the login service</w:t>
            </w:r>
          </w:p>
        </w:tc>
      </w:tr>
      <w:tr>
        <w:tc>
          <w:tcPr>
            <w:tcW w:w="3120" w:type="dxa"/>
          </w:tcPr>
          <w:p>
            <w:pPr/>
            <w:r>
              <w:t xml:space="preserve">Change (RFC)</w:t>
            </w:r>
          </w:p>
        </w:tc>
        <w:tc>
          <w:tcPr>
            <w:tcW w:w="3120" w:type="dxa"/>
          </w:tcPr>
          <w:p>
            <w:pPr/>
            <w:r>
              <w:t xml:space="preserve">Adding, modifying or removing anything that could affect a service</w:t>
            </w:r>
          </w:p>
        </w:tc>
        <w:tc>
          <w:tcPr>
            <w:tcW w:w="3120" w:type="dxa"/>
          </w:tcPr>
          <w:p>
            <w:pPr/>
            <w:r>
              <w:t xml:space="preserve">Deploying a new app version</w:t>
            </w:r>
          </w:p>
        </w:tc>
      </w:tr>
      <w:tr>
        <w:tc>
          <w:tcPr>
            <w:tcW w:w="3120" w:type="dxa"/>
          </w:tcPr>
          <w:p>
            <w:pPr/>
            <w:r>
              <w:t xml:space="preserve">Major incident</w:t>
            </w:r>
          </w:p>
        </w:tc>
        <w:tc>
          <w:tcPr>
            <w:tcW w:w="3120" w:type="dxa"/>
          </w:tcPr>
          <w:p>
            <w:pPr/>
            <w:r>
              <w:t xml:space="preserve">An incident with impact high enough to need a separate, faster process</w:t>
            </w:r>
          </w:p>
        </w:tc>
        <w:tc>
          <w:tcPr>
            <w:tcW w:w="3120" w:type="dxa"/>
          </w:tcPr>
          <w:p>
            <w:pPr/>
            <w:r>
              <w:t xml:space="preserve">A P1 outage of card payments</w:t>
            </w:r>
          </w:p>
        </w:tc>
      </w:tr>
      <w:tr>
        <w:tc>
          <w:tcPr>
            <w:tcW w:w="3120" w:type="dxa"/>
          </w:tcPr>
          <w:p>
            <w:pPr/>
            <w:r>
              <w:t xml:space="preserve">Configuration item (CI)</w:t>
            </w:r>
          </w:p>
        </w:tc>
        <w:tc>
          <w:tcPr>
            <w:tcW w:w="3120" w:type="dxa"/>
          </w:tcPr>
          <w:p>
            <w:pPr/>
            <w:r>
              <w:t xml:space="preserve">Any component needed to deliver a service</w:t>
            </w:r>
          </w:p>
        </w:tc>
        <w:tc>
          <w:tcPr>
            <w:tcW w:w="3120" w:type="dxa"/>
          </w:tcPr>
          <w:p>
            <w:pPr/>
            <w:r>
              <w:t xml:space="preserve">A server, database or application</w:t>
            </w:r>
          </w:p>
        </w:tc>
      </w:tr>
      <w:tr>
        <w:tc>
          <w:tcPr>
            <w:tcW w:w="3120" w:type="dxa"/>
          </w:tcPr>
          <w:p>
            <w:pPr/>
            <w:r>
              <w:t xml:space="preserve">CMDB</w:t>
            </w:r>
          </w:p>
        </w:tc>
        <w:tc>
          <w:tcPr>
            <w:tcW w:w="3120" w:type="dxa"/>
          </w:tcPr>
          <w:p>
            <w:pPr/>
            <w:r>
              <w:t xml:space="preserve">The register of CIs and how they depend on each other</w:t>
            </w:r>
          </w:p>
        </w:tc>
        <w:tc>
          <w:tcPr>
            <w:tcW w:w="3120" w:type="dxa"/>
          </w:tcPr>
          <w:p>
            <w:pPr/>
            <w:r>
              <w:t xml:space="preserve">Payments app runs on database X</w:t>
            </w:r>
          </w:p>
        </w:tc>
      </w:tr>
      <w:tr>
        <w:tc>
          <w:tcPr>
            <w:tcW w:w="3120" w:type="dxa"/>
          </w:tcPr>
          <w:p>
            <w:pPr/>
            <w:r>
              <w:t xml:space="preserve">Priority</w:t>
            </w:r>
          </w:p>
        </w:tc>
        <w:tc>
          <w:tcPr>
            <w:tcW w:w="3120" w:type="dxa"/>
          </w:tcPr>
          <w:p>
            <w:pPr/>
            <w:r>
              <w:t xml:space="preserve">Calculated from impact (how much is affected) and urgency (how fast it must be fixed)</w:t>
            </w:r>
          </w:p>
        </w:tc>
        <w:tc>
          <w:tcPr>
            <w:tcW w:w="3120" w:type="dxa"/>
          </w:tcPr>
          <w:p>
            <w:pPr/>
            <w:r>
              <w:t xml:space="preserve">High impact + high urgency = P1</w:t>
            </w:r>
          </w:p>
        </w:tc>
      </w:tr>
      <w:tr>
        <w:tc>
          <w:tcPr>
            <w:tcW w:w="3120" w:type="dxa"/>
          </w:tcPr>
          <w:p>
            <w:pPr/>
            <w:r>
              <w:t xml:space="preserve">SLA</w:t>
            </w:r>
          </w:p>
        </w:tc>
        <w:tc>
          <w:tcPr>
            <w:tcW w:w="3120" w:type="dxa"/>
          </w:tcPr>
          <w:p>
            <w:pPr/>
            <w:r>
              <w:t xml:space="preserve">The agreed target time to respond to or resolve an incident</w:t>
            </w:r>
          </w:p>
        </w:tc>
        <w:tc>
          <w:tcPr>
            <w:tcW w:w="3120" w:type="dxa"/>
          </w:tcPr>
          <w:p>
            <w:pPr/>
            <w:r>
              <w:t xml:space="preserve">Resolve P3 within 3 days</w:t>
            </w:r>
          </w:p>
        </w:tc>
      </w:tr>
      <w:tr>
        <w:tc>
          <w:tcPr>
            <w:tcW w:w="3120" w:type="dxa"/>
          </w:tcPr>
          <w:p>
            <w:pPr/>
            <w:r>
              <w:t xml:space="preserve">MTTR</w:t>
            </w:r>
          </w:p>
        </w:tc>
        <w:tc>
          <w:tcPr>
            <w:tcW w:w="3120" w:type="dxa"/>
          </w:tcPr>
          <w:p>
            <w:pPr/>
            <w:r>
              <w:t xml:space="preserve">Mean time to restore: average time from opening to service restored</w:t>
            </w:r>
          </w:p>
        </w:tc>
        <w:tc>
          <w:tcPr>
            <w:tcW w:w="3120" w:type="dxa"/>
          </w:tcPr>
          <w:p>
            <w:pPr/>
            <w:r>
              <w:t xml:space="preserve">Opened 09:00, restored 17:00 = 8 hours</w:t>
            </w:r>
          </w:p>
        </w:tc>
      </w:tr>
      <w:tr>
        <w:tc>
          <w:tcPr>
            <w:tcW w:w="3120" w:type="dxa"/>
          </w:tcPr>
          <w:p>
            <w:pPr/>
            <w:r>
              <w:t xml:space="preserve">Reassignment</w:t>
            </w:r>
          </w:p>
        </w:tc>
        <w:tc>
          <w:tcPr>
            <w:tcW w:w="3120" w:type="dxa"/>
          </w:tcPr>
          <w:p>
            <w:pPr/>
            <w:r>
              <w:t xml:space="preserve">A ticket passed from one support group to another</w:t>
            </w:r>
          </w:p>
        </w:tc>
        <w:tc>
          <w:tcPr>
            <w:tcW w:w="3120" w:type="dxa"/>
          </w:tcPr>
          <w:p>
            <w:pPr/>
            <w:r>
              <w:t xml:space="preserve">Service desk → network team → database team</w:t>
            </w:r>
          </w:p>
        </w:tc>
      </w:tr>
      <w:tr>
        <w:tc>
          <w:tcPr>
            <w:tcW w:w="3120" w:type="dxa"/>
          </w:tcPr>
          <w:p>
            <w:pPr/>
            <w:r>
              <w:t xml:space="preserve">Event log</w:t>
            </w:r>
          </w:p>
        </w:tc>
        <w:tc>
          <w:tcPr>
            <w:tcW w:w="3120" w:type="dxa"/>
          </w:tcPr>
          <w:p>
            <w:pPr/>
            <w:r>
              <w:t xml:space="preserve">A file with one row per update, not one row per item</w:t>
            </w:r>
          </w:p>
        </w:tc>
        <w:tc>
          <w:tcPr>
            <w:tcW w:w="3120" w:type="dxa"/>
          </w:tcPr>
          <w:p>
            <w:pPr/>
            <w:r>
              <w:t xml:space="preserve">A parcel's tracking history</w:t>
            </w:r>
          </w:p>
        </w:tc>
      </w:tr>
      <w:tr>
        <w:tc>
          <w:tcPr>
            <w:tcW w:w="3120" w:type="dxa"/>
          </w:tcPr>
          <w:p>
            <w:pPr/>
            <w:r>
              <w:t xml:space="preserve">AIOps</w:t>
            </w:r>
          </w:p>
        </w:tc>
        <w:tc>
          <w:tcPr>
            <w:tcW w:w="3120" w:type="dxa"/>
          </w:tcPr>
          <w:p>
            <w:pPr/>
            <w:r>
              <w:t xml:space="preserve">Machine learning applied to IT operations data</w:t>
            </w:r>
          </w:p>
        </w:tc>
        <w:tc>
          <w:tcPr>
            <w:tcW w:w="3120" w:type="dxa"/>
          </w:tcPr>
          <w:p>
            <w:pPr/>
            <w:r>
              <w:t xml:space="preserve">Auto-grouping related alerts</w:t>
            </w:r>
          </w:p>
        </w:tc>
      </w:tr>
    </w:tbl>
    <w:p>
      <w:pPr/>
      <w:r>
        <w:t xml:space="preserve">In ServiceNow, priority is computed from impact and urgency, so predicting priority from those two fields is trivial; the real errors happen when people choose impact and urgency.</w:t>
      </w:r>
    </w:p>
    <w:p>
      <w:pPr>
        <w:pStyle w:val="Heading2"/>
      </w:pPr>
      <w:r>
        <w:t xml:space="preserve">Similar case studies</w:t>
      </w:r>
    </w:p>
    <w:p>
      <w:pPr/>
      <w:r>
        <w:t xml:space="preserve">Banks and large cloud providers report the same problems as the brainstorm; the closest match is ING's incident-management research.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Case</w:t>
            </w:r>
          </w:p>
        </w:tc>
        <w:tc>
          <w:tcPr>
            <w:tcW w:w="2340" w:type="dxa"/>
            <w:shd w:val="clear" w:color="auto" w:fill="F2F2F2"/>
          </w:tcPr>
          <w:p>
            <w:pPr/>
            <w:r>
              <w:t xml:space="preserve">What it did</w:t>
            </w:r>
          </w:p>
        </w:tc>
        <w:tc>
          <w:tcPr>
            <w:tcW w:w="2340" w:type="dxa"/>
            <w:shd w:val="clear" w:color="auto" w:fill="F2F2F2"/>
          </w:tcPr>
          <w:p>
            <w:pPr/>
            <w:r>
              <w:t xml:space="preserve">Why it is relevant</w:t>
            </w:r>
          </w:p>
        </w:tc>
        <w:tc>
          <w:tcPr>
            <w:tcW w:w="2340" w:type="dxa"/>
            <w:shd w:val="clear" w:color="auto" w:fill="F2F2F2"/>
          </w:tcPr>
          <w:p>
            <w:pPr/>
            <w:r>
              <w:t xml:space="preserve">Type of source</w:t>
            </w:r>
          </w:p>
        </w:tc>
      </w:tr>
      <w:tr>
        <w:tc>
          <w:tcPr>
            <w:tcW w:w="2340" w:type="dxa"/>
          </w:tcPr>
          <w:p>
            <w:pPr/>
            <w:hyperlink r:id="rId3" w:history="1">
              <w:r>
                <w:rPr>
                  <w:rStyle w:val="Hyperlink"/>
                </w:rPr>
                <w:t xml:space="preserve">ING incident-management case study</w:t>
              </w:r>
            </w:hyperlink>
            <w:r>
              <w:t xml:space="preserve"> (Kapel et al., 2024)</w:t>
            </w:r>
          </w:p>
        </w:tc>
        <w:tc>
          <w:tcPr>
            <w:tcW w:w="2340" w:type="dxa"/>
          </w:tcPr>
          <w:p>
            <w:pPr/>
            <w:r>
              <w:t xml:space="preserve">Interviewed 15 incident-management experts at a large bank</w:t>
            </w:r>
          </w:p>
        </w:tc>
        <w:tc>
          <w:tcPr>
            <w:tcW w:w="2340" w:type="dxa"/>
          </w:tcPr>
          <w:p>
            <w:pPr/>
            <w:r>
              <w:t xml:space="preserve">Found poor data quality, complex environments and a need for incident clustering and regulatory support</w:t>
            </w:r>
          </w:p>
        </w:tc>
        <w:tc>
          <w:tcPr>
            <w:tcW w:w="2340" w:type="dxa"/>
          </w:tcPr>
          <w:p>
            <w:pPr/>
            <w:r>
              <w:t xml:space="preserve">Peer-reviewed workshop paper</w:t>
            </w:r>
          </w:p>
        </w:tc>
      </w:tr>
      <w:tr>
        <w:tc>
          <w:tcPr>
            <w:tcW w:w="2340" w:type="dxa"/>
          </w:tcPr>
          <w:p>
            <w:pPr/>
            <w:hyperlink r:id="rId4" w:history="1">
              <w:r>
                <w:rPr>
                  <w:rStyle w:val="Hyperlink"/>
                </w:rPr>
                <w:t xml:space="preserve">ING change-risk models</w:t>
              </w:r>
            </w:hyperlink>
            <w:r>
              <w:t xml:space="preserve"> (Kapel et al., 2026)</w:t>
            </w:r>
          </w:p>
        </w:tc>
        <w:tc>
          <w:tcPr>
            <w:tcW w:w="2340" w:type="dxa"/>
          </w:tcPr>
          <w:p>
            <w:pPr/>
            <w:r>
              <w:t xml:space="preserve">Compared rule-based change-risk scoring with HGBC, LightGBM and XGBoost on one year of data</w:t>
            </w:r>
          </w:p>
        </w:tc>
        <w:tc>
          <w:tcPr>
            <w:tcW w:w="2340" w:type="dxa"/>
          </w:tcPr>
          <w:p>
            <w:pPr/>
            <w:r>
              <w:t xml:space="preserve">LightGBM performed best; SHAP was used to explain predictions for compliance</w:t>
            </w:r>
          </w:p>
        </w:tc>
        <w:tc>
          <w:tcPr>
            <w:tcW w:w="2340" w:type="dxa"/>
          </w:tcPr>
          <w:p>
            <w:pPr/>
            <w:r>
              <w:t xml:space="preserve">Preprint, not yet peer-reviewed</w:t>
            </w:r>
          </w:p>
        </w:tc>
      </w:tr>
      <w:tr>
        <w:tc>
          <w:tcPr>
            <w:tcW w:w="2340" w:type="dxa"/>
          </w:tcPr>
          <w:p>
            <w:pPr/>
            <w:hyperlink r:id="rId5" w:history="1">
              <w:r>
                <w:rPr>
                  <w:rStyle w:val="Hyperlink"/>
                </w:rPr>
                <w:t xml:space="preserve">Microsoft intelligent incident management</w:t>
              </w:r>
            </w:hyperlink>
            <w:r>
              <w:t xml:space="preserve"> (Chen, Z. et al., 2020)</w:t>
            </w:r>
          </w:p>
        </w:tc>
        <w:tc>
          <w:tcPr>
            <w:tcW w:w="2340" w:type="dxa"/>
          </w:tcPr>
          <w:p>
            <w:pPr/>
            <w:r>
              <w:t xml:space="preserve">Studied two years of incident management and proposed an AIOps framework</w:t>
            </w:r>
          </w:p>
        </w:tc>
        <w:tc>
          <w:tcPr>
            <w:tcW w:w="2340" w:type="dxa"/>
          </w:tcPr>
          <w:p>
            <w:pPr/>
            <w:r>
              <w:t xml:space="preserve">Shows where machine learning helps across detection, triage and fixing</w:t>
            </w:r>
          </w:p>
        </w:tc>
        <w:tc>
          <w:tcPr>
            <w:tcW w:w="2340" w:type="dxa"/>
          </w:tcPr>
          <w:p>
            <w:pPr/>
            <w:r>
              <w:t xml:space="preserve">Peer-reviewed</w:t>
            </w:r>
          </w:p>
        </w:tc>
      </w:tr>
      <w:tr>
        <w:tc>
          <w:tcPr>
            <w:tcW w:w="2340" w:type="dxa"/>
          </w:tcPr>
          <w:p>
            <w:pPr/>
            <w:hyperlink r:id="rId6" w:history="1">
              <w:r>
                <w:rPr>
                  <w:rStyle w:val="Hyperlink"/>
                </w:rPr>
                <w:t xml:space="preserve">Microsoft LiDAR</w:t>
              </w:r>
            </w:hyperlink>
            <w:r>
              <w:t xml:space="preserve"> (Chen, Y. et al., 2020)</w:t>
            </w:r>
          </w:p>
        </w:tc>
        <w:tc>
          <w:tcPr>
            <w:tcW w:w="2340" w:type="dxa"/>
          </w:tcPr>
          <w:p>
            <w:pPr/>
            <w:r>
              <w:t xml:space="preserve">Linked related or duplicate incidents using text and component dependencies</w:t>
            </w:r>
          </w:p>
        </w:tc>
        <w:tc>
          <w:tcPr>
            <w:tcW w:w="2340" w:type="dxa"/>
          </w:tcPr>
          <w:p>
            <w:pPr/>
            <w:r>
              <w:t xml:space="preserve">Matches "did this happen before?"</w:t>
            </w:r>
          </w:p>
        </w:tc>
        <w:tc>
          <w:tcPr>
            <w:tcW w:w="2340" w:type="dxa"/>
          </w:tcPr>
          <w:p>
            <w:pPr/>
            <w:r>
              <w:t xml:space="preserve">Peer-reviewed</w:t>
            </w:r>
          </w:p>
        </w:tc>
      </w:tr>
      <w:tr>
        <w:tc>
          <w:tcPr>
            <w:tcW w:w="2340" w:type="dxa"/>
          </w:tcPr>
          <w:p>
            <w:pPr/>
            <w:hyperlink r:id="rId7" w:history="1">
              <w:r>
                <w:rPr>
                  <w:rStyle w:val="Hyperlink"/>
                </w:rPr>
                <w:t xml:space="preserve">Microsoft Gandalf</w:t>
              </w:r>
            </w:hyperlink>
            <w:r>
              <w:t xml:space="preserve"> (Li et al., 2020)</w:t>
            </w:r>
          </w:p>
        </w:tc>
        <w:tc>
          <w:tcPr>
            <w:tcW w:w="2340" w:type="dxa"/>
          </w:tcPr>
          <w:p>
            <w:pPr/>
            <w:r>
              <w:t xml:space="preserve">Detected bad deployments early to support rollback</w:t>
            </w:r>
          </w:p>
        </w:tc>
        <w:tc>
          <w:tcPr>
            <w:tcW w:w="2340" w:type="dxa"/>
          </w:tcPr>
          <w:p>
            <w:pPr/>
            <w:r>
              <w:t xml:space="preserve">Matches "which change caused this incident?"</w:t>
            </w:r>
          </w:p>
        </w:tc>
        <w:tc>
          <w:tcPr>
            <w:tcW w:w="2340" w:type="dxa"/>
          </w:tcPr>
          <w:p>
            <w:pPr/>
            <w:r>
              <w:t xml:space="preserve">Peer-reviewed; vendor blog</w:t>
            </w:r>
          </w:p>
        </w:tc>
      </w:tr>
      <w:tr>
        <w:tc>
          <w:tcPr>
            <w:tcW w:w="2340" w:type="dxa"/>
          </w:tcPr>
          <w:p>
            <w:pPr/>
            <w:hyperlink r:id="rId8" w:history="1">
              <w:r>
                <w:rPr>
                  <w:rStyle w:val="Hyperlink"/>
                </w:rPr>
                <w:t xml:space="preserve">Rabobank, BPI Challenge 2014</w:t>
              </w:r>
            </w:hyperlink>
          </w:p>
        </w:tc>
        <w:tc>
          <w:tcPr>
            <w:tcW w:w="2340" w:type="dxa"/>
          </w:tcPr>
          <w:p>
            <w:pPr/>
            <w:r>
              <w:t xml:space="preserve">Released incident and change data and asked for a draft predictive model to reduce service-desk workload after changes</w:t>
            </w:r>
          </w:p>
        </w:tc>
        <w:tc>
          <w:tcPr>
            <w:tcW w:w="2340" w:type="dxa"/>
          </w:tcPr>
          <w:p>
            <w:pPr/>
            <w:r>
              <w:t xml:space="preserve">One challenge report found only about 1% of changes marked as linked to incidents</w:t>
            </w:r>
          </w:p>
        </w:tc>
        <w:tc>
          <w:tcPr>
            <w:tcW w:w="2340" w:type="dxa"/>
          </w:tcPr>
          <w:p>
            <w:pPr/>
            <w:r>
              <w:t xml:space="preserve">Public dataset and challenge reports</w:t>
            </w:r>
          </w:p>
        </w:tc>
      </w:tr>
      <w:tr>
        <w:tc>
          <w:tcPr>
            <w:tcW w:w="2340" w:type="dxa"/>
          </w:tcPr>
          <w:p>
            <w:pPr/>
            <w:hyperlink r:id="rId9" w:history="1">
              <w:r>
                <w:rPr>
                  <w:rStyle w:val="Hyperlink"/>
                </w:rPr>
                <w:t xml:space="preserve">ServiceNow Predictive Intelligence</w:t>
              </w:r>
            </w:hyperlink>
          </w:p>
        </w:tc>
        <w:tc>
          <w:tcPr>
            <w:tcW w:w="2340" w:type="dxa"/>
          </w:tcPr>
          <w:p>
            <w:pPr/>
            <w:r>
              <w:t xml:space="preserve">Built-in classification, similarity, clustering and regression on ticket records</w:t>
            </w:r>
          </w:p>
        </w:tc>
        <w:tc>
          <w:tcPr>
            <w:tcW w:w="2340" w:type="dxa"/>
          </w:tcPr>
          <w:p>
            <w:pPr/>
            <w:r>
              <w:t xml:space="preserve">Shows the commercial version of the same ideas</w:t>
            </w:r>
          </w:p>
        </w:tc>
        <w:tc>
          <w:tcPr>
            <w:tcW w:w="2340" w:type="dxa"/>
          </w:tcPr>
          <w:p>
            <w:pPr/>
            <w:r>
              <w:t xml:space="preserve">Vendor community; treat outcome claims as marketing</w:t>
            </w:r>
          </w:p>
        </w:tc>
      </w:tr>
    </w:tbl>
    <w:p>
      <w:pPr/>
      <w:r>
        <w:t xml:space="preserve">Most AIOps research uses cloud monitoring data from technology firms; studies using ticket data from regulated financial firms are rare, which could support the project's significance.</w:t>
      </w:r>
    </w:p>
    <w:p>
      <w:pPr>
        <w:pStyle w:val="Heading2"/>
      </w:pPr>
      <w:r>
        <w:t xml:space="preserve">Academic papers to read</w:t>
      </w:r>
    </w:p>
    <w:p>
      <w:pPr/>
      <w:r>
        <w:t xml:space="preserve">These papers cover the main themes; open each one and check it supports the point before citing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Theme</w:t>
            </w:r>
          </w:p>
        </w:tc>
        <w:tc>
          <w:tcPr>
            <w:tcW w:w="3120" w:type="dxa"/>
            <w:shd w:val="clear" w:color="auto" w:fill="F2F2F2"/>
          </w:tcPr>
          <w:p>
            <w:pPr/>
            <w:r>
              <w:t xml:space="preserve">Reference (Harvard details)</w:t>
            </w:r>
          </w:p>
        </w:tc>
        <w:tc>
          <w:tcPr>
            <w:tcW w:w="3120" w:type="dxa"/>
            <w:shd w:val="clear" w:color="auto" w:fill="F2F2F2"/>
          </w:tcPr>
          <w:p>
            <w:pPr/>
            <w:r>
              <w:t xml:space="preserve">What it offers</w:t>
            </w:r>
          </w:p>
        </w:tc>
      </w:tr>
      <w:tr>
        <w:tc>
          <w:tcPr>
            <w:tcW w:w="3120" w:type="dxa"/>
          </w:tcPr>
          <w:p>
            <w:pPr/>
            <w:r>
              <w:t xml:space="preserve">AIOps overview</w:t>
            </w:r>
          </w:p>
        </w:tc>
        <w:tc>
          <w:tcPr>
            <w:tcW w:w="3120" w:type="dxa"/>
          </w:tcPr>
          <w:p>
            <w:pPr/>
            <w:r>
              <w:t xml:space="preserve">Dang, Y., Lin, Q. and Huang, P. (2019) 'AIOps: real-world challenges and research innovations', </w:t>
            </w:r>
            <w:r>
              <w:rPr>
                <w:i/>
              </w:rPr>
              <w:t xml:space="preserve">ICSE-Companion 2019</w:t>
            </w:r>
            <w:r>
              <w:t xml:space="preserve">. IEEE, pp. 4–5. doi: 10.1109/ICSE-Companion.2019.00023</w:t>
            </w:r>
          </w:p>
        </w:tc>
        <w:tc>
          <w:tcPr>
            <w:tcW w:w="3120" w:type="dxa"/>
          </w:tcPr>
          <w:p>
            <w:pPr/>
            <w:r>
              <w:t xml:space="preserve">Defines AIOps and its practical challenges</w:t>
            </w:r>
          </w:p>
        </w:tc>
      </w:tr>
      <w:tr>
        <w:tc>
          <w:tcPr>
            <w:tcW w:w="3120" w:type="dxa"/>
          </w:tcPr>
          <w:p>
            <w:pPr/>
            <w:r>
              <w:t xml:space="preserve">AIOps survey</w:t>
            </w:r>
          </w:p>
        </w:tc>
        <w:tc>
          <w:tcPr>
            <w:tcW w:w="3120" w:type="dxa"/>
          </w:tcPr>
          <w:p>
            <w:pPr/>
            <w:r>
              <w:t xml:space="preserve">Notaro, P., Cardoso, J. and Gerndt, M. (2021) 'A survey of AIOps methods for failure management', </w:t>
            </w:r>
            <w:r>
              <w:rPr>
                <w:i/>
              </w:rPr>
              <w:t xml:space="preserve">ACM Transactions on Intelligent Systems and Technology</w:t>
            </w:r>
            <w:r>
              <w:t xml:space="preserve">, 12(6), pp. 1–45. doi: 10.1145/3483424</w:t>
            </w:r>
          </w:p>
        </w:tc>
        <w:tc>
          <w:tcPr>
            <w:tcW w:w="3120" w:type="dxa"/>
          </w:tcPr>
          <w:p>
            <w:pPr/>
            <w:r>
              <w:t xml:space="preserve">Reviews methods for failure prevention, prediction and detection</w:t>
            </w:r>
          </w:p>
        </w:tc>
      </w:tr>
      <w:tr>
        <w:tc>
          <w:tcPr>
            <w:tcW w:w="3120" w:type="dxa"/>
          </w:tcPr>
          <w:p>
            <w:pPr/>
            <w:r>
              <w:t xml:space="preserve">AIOps mapping</w:t>
            </w:r>
          </w:p>
        </w:tc>
        <w:tc>
          <w:tcPr>
            <w:tcW w:w="3120" w:type="dxa"/>
          </w:tcPr>
          <w:p>
            <w:pPr/>
            <w:r>
              <w:t xml:space="preserve">Notaro, P., Cardoso, J. and Gerndt, M. (2020) 'A systematic mapping study in AIOps', </w:t>
            </w:r>
            <w:r>
              <w:rPr>
                <w:i/>
              </w:rPr>
              <w:t xml:space="preserve">ICSOC 2020 Workshops</w:t>
            </w:r>
            <w:r>
              <w:t xml:space="preserve">. Springer. doi: 10.1007/978-3-030-76352-7_15</w:t>
            </w:r>
          </w:p>
        </w:tc>
        <w:tc>
          <w:tcPr>
            <w:tcW w:w="3120" w:type="dxa"/>
          </w:tcPr>
          <w:p>
            <w:pPr/>
            <w:r>
              <w:t xml:space="preserve">Shows most AIOps work targets failures</w:t>
            </w:r>
          </w:p>
        </w:tc>
      </w:tr>
      <w:tr>
        <w:tc>
          <w:tcPr>
            <w:tcW w:w="3120" w:type="dxa"/>
          </w:tcPr>
          <w:p>
            <w:pPr/>
            <w:r>
              <w:t xml:space="preserve">Incident management at scale</w:t>
            </w:r>
          </w:p>
        </w:tc>
        <w:tc>
          <w:tcPr>
            <w:tcW w:w="3120" w:type="dxa"/>
          </w:tcPr>
          <w:p>
            <w:pPr/>
            <w:r>
              <w:t xml:space="preserve">Chen, Z. et al. (2020) 'Towards intelligent incident management: why we need it and how we make it', </w:t>
            </w:r>
            <w:r>
              <w:rPr>
                <w:i/>
              </w:rPr>
              <w:t xml:space="preserve">ESEC/FSE 2020</w:t>
            </w:r>
            <w:r>
              <w:t xml:space="preserve">, pp. 1487–1497. doi: 10.1145/3368089.3417055</w:t>
            </w:r>
          </w:p>
        </w:tc>
        <w:tc>
          <w:tcPr>
            <w:tcW w:w="3120" w:type="dxa"/>
          </w:tcPr>
          <w:p>
            <w:pPr/>
            <w:r>
              <w:t xml:space="preserve">Industrial motivation for ML in incident handling</w:t>
            </w:r>
          </w:p>
        </w:tc>
      </w:tr>
      <w:tr>
        <w:tc>
          <w:tcPr>
            <w:tcW w:w="3120" w:type="dxa"/>
          </w:tcPr>
          <w:p>
            <w:pPr/>
            <w:r>
              <w:t xml:space="preserve">Linked incidents</w:t>
            </w:r>
          </w:p>
        </w:tc>
        <w:tc>
          <w:tcPr>
            <w:tcW w:w="3120" w:type="dxa"/>
          </w:tcPr>
          <w:p>
            <w:pPr/>
            <w:r>
              <w:t xml:space="preserve">Chen, Y. et al. (2020) 'Identifying linked incidents in large-scale online service systems', </w:t>
            </w:r>
            <w:r>
              <w:rPr>
                <w:i/>
              </w:rPr>
              <w:t xml:space="preserve">ESEC/FSE 2020</w:t>
            </w:r>
            <w:r>
              <w:t xml:space="preserve">, pp. 304–314. doi: 10.1145/3368089.3409768</w:t>
            </w:r>
          </w:p>
        </w:tc>
        <w:tc>
          <w:tcPr>
            <w:tcW w:w="3120" w:type="dxa"/>
          </w:tcPr>
          <w:p>
            <w:pPr/>
            <w:r>
              <w:t xml:space="preserve">Detecting related or duplicate incidents</w:t>
            </w:r>
          </w:p>
        </w:tc>
      </w:tr>
      <w:tr>
        <w:tc>
          <w:tcPr>
            <w:tcW w:w="3120" w:type="dxa"/>
          </w:tcPr>
          <w:p>
            <w:pPr/>
            <w:r>
              <w:t xml:space="preserve">Banking case study</w:t>
            </w:r>
          </w:p>
        </w:tc>
        <w:tc>
          <w:tcPr>
            <w:tcW w:w="3120" w:type="dxa"/>
          </w:tcPr>
          <w:p>
            <w:pPr/>
            <w:r>
              <w:t xml:space="preserve">Kapel, E., Cruz, L., Spinellis, D. and van Deursen, A. (2024) 'Enhancing incident management: insights from a case study at ING', </w:t>
            </w:r>
            <w:r>
              <w:rPr>
                <w:i/>
              </w:rPr>
              <w:t xml:space="preserve">FinanSE '24</w:t>
            </w:r>
            <w:r>
              <w:t xml:space="preserve">. ACM, pp. 1–8. doi: 10.1145/3643665.3648048</w:t>
            </w:r>
          </w:p>
        </w:tc>
        <w:tc>
          <w:tcPr>
            <w:tcW w:w="3120" w:type="dxa"/>
          </w:tcPr>
          <w:p>
            <w:pPr/>
            <w:r>
              <w:t xml:space="preserve">Validates the problem in a bank</w:t>
            </w:r>
          </w:p>
        </w:tc>
      </w:tr>
      <w:tr>
        <w:tc>
          <w:tcPr>
            <w:tcW w:w="3120" w:type="dxa"/>
          </w:tcPr>
          <w:p>
            <w:pPr/>
            <w:r>
              <w:t xml:space="preserve">Change risk in a bank</w:t>
            </w:r>
          </w:p>
        </w:tc>
        <w:tc>
          <w:tcPr>
            <w:tcW w:w="3120" w:type="dxa"/>
          </w:tcPr>
          <w:p>
            <w:pPr/>
            <w:r>
              <w:t xml:space="preserve">Kapel, E., Lennartz, J., Cruz, L., Spinellis, D. and van Deursen, A. (2026) 'Learning from change: predictive models for incident prevention in a regulated IT environment', arXiv:2604.13462</w:t>
            </w:r>
          </w:p>
        </w:tc>
        <w:tc>
          <w:tcPr>
            <w:tcW w:w="3120" w:type="dxa"/>
          </w:tcPr>
          <w:p>
            <w:pPr/>
            <w:r>
              <w:t xml:space="preserve">ML vs rule-based risk scoring; preprint</w:t>
            </w:r>
          </w:p>
        </w:tc>
      </w:tr>
      <w:tr>
        <w:tc>
          <w:tcPr>
            <w:tcW w:w="3120" w:type="dxa"/>
          </w:tcPr>
          <w:p>
            <w:pPr/>
            <w:r>
              <w:t xml:space="preserve">Prediction on the UCI data</w:t>
            </w:r>
          </w:p>
        </w:tc>
        <w:tc>
          <w:tcPr>
            <w:tcW w:w="3120" w:type="dxa"/>
          </w:tcPr>
          <w:p>
            <w:pPr/>
            <w:r>
              <w:t xml:space="preserve">Amaral, C.A.L., Fantinato, M., Reijers, H.A. and Peres, S.M. (2019) 'Enhancing completion time prediction through attribute selection', in </w:t>
            </w:r>
            <w:r>
              <w:rPr>
                <w:i/>
              </w:rPr>
              <w:t xml:space="preserve">Information Technology for Management</w:t>
            </w:r>
            <w:r>
              <w:t xml:space="preserve">. Springer, pp. 3–23. doi: 10.1007/978-3-030-15154-6_1</w:t>
            </w:r>
          </w:p>
        </w:tc>
        <w:tc>
          <w:tcPr>
            <w:tcW w:w="3120" w:type="dxa"/>
          </w:tcPr>
          <w:p>
            <w:pPr/>
            <w:r>
              <w:t xml:space="preserve">Earlier work on the same dataset</w:t>
            </w:r>
          </w:p>
        </w:tc>
      </w:tr>
      <w:tr>
        <w:tc>
          <w:tcPr>
            <w:tcW w:w="3120" w:type="dxa"/>
          </w:tcPr>
          <w:p>
            <w:pPr/>
            <w:r>
              <w:t xml:space="preserve">Feature selection on the UCI data</w:t>
            </w:r>
          </w:p>
        </w:tc>
        <w:tc>
          <w:tcPr>
            <w:tcW w:w="3120" w:type="dxa"/>
          </w:tcPr>
          <w:p>
            <w:pPr/>
            <w:r>
              <w:t xml:space="preserve">Amaral, C.A.L., Fantinato, M. and Peres, S.M. (2018) 'Attribute selection with filter and wrapper: an application on incident management process', </w:t>
            </w:r>
            <w:r>
              <w:rPr>
                <w:i/>
              </w:rPr>
              <w:t xml:space="preserve">FedCSIS 2018</w:t>
            </w:r>
            <w:r>
              <w:t xml:space="preserve">, pp. 679–682. doi: 10.15439/2018F126</w:t>
            </w:r>
          </w:p>
        </w:tc>
        <w:tc>
          <w:tcPr>
            <w:tcW w:w="3120" w:type="dxa"/>
          </w:tcPr>
          <w:p>
            <w:pPr/>
            <w:r>
              <w:t xml:space="preserve">Choosing which fields to use</w:t>
            </w:r>
          </w:p>
        </w:tc>
      </w:tr>
      <w:tr>
        <w:tc>
          <w:tcPr>
            <w:tcW w:w="3120" w:type="dxa"/>
          </w:tcPr>
          <w:p>
            <w:pPr/>
            <w:r>
              <w:t xml:space="preserve">Reassignment prediction</w:t>
            </w:r>
          </w:p>
        </w:tc>
        <w:tc>
          <w:tcPr>
            <w:tcW w:w="3120" w:type="dxa"/>
          </w:tcPr>
          <w:p>
            <w:pPr/>
            <w:r>
              <w:t xml:space="preserve">Schad, J., Sambasivan, R. and Woodward, C. (2022) 'Predicting help desk ticket reassignments with graph convolutional networks', </w:t>
            </w:r>
            <w:r>
              <w:rPr>
                <w:i/>
              </w:rPr>
              <w:t xml:space="preserve">Machine Learning with Applications</w:t>
            </w:r>
            <w:r>
              <w:t xml:space="preserve">, 7, 100237. doi: 10.1016/j.mlwa.2021.100237</w:t>
            </w:r>
          </w:p>
        </w:tc>
        <w:tc>
          <w:tcPr>
            <w:tcW w:w="3120" w:type="dxa"/>
          </w:tcPr>
          <w:p>
            <w:pPr/>
            <w:r>
              <w:t xml:space="preserve">Uses the UCI dataset; open access</w:t>
            </w:r>
          </w:p>
        </w:tc>
      </w:tr>
      <w:tr>
        <w:tc>
          <w:tcPr>
            <w:tcW w:w="3120" w:type="dxa"/>
          </w:tcPr>
          <w:p>
            <w:pPr/>
            <w:r>
              <w:t xml:space="preserve">Ticket text classification</w:t>
            </w:r>
          </w:p>
        </w:tc>
        <w:tc>
          <w:tcPr>
            <w:tcW w:w="3120" w:type="dxa"/>
          </w:tcPr>
          <w:p>
            <w:pPr/>
            <w:r>
              <w:t xml:space="preserve">Liu, Z., Benge, C. and Jiang, S. (2023) 'Ticket-BERT: labeling incident management tickets with language models', arXiv:2307.00108</w:t>
            </w:r>
          </w:p>
        </w:tc>
        <w:tc>
          <w:tcPr>
            <w:tcW w:w="3120" w:type="dxa"/>
          </w:tcPr>
          <w:p>
            <w:pPr/>
            <w:r>
              <w:t xml:space="preserve">Text approach, if text data is ever available</w:t>
            </w:r>
          </w:p>
        </w:tc>
      </w:tr>
      <w:tr>
        <w:tc>
          <w:tcPr>
            <w:tcW w:w="3120" w:type="dxa"/>
          </w:tcPr>
          <w:p>
            <w:pPr/>
            <w:r>
              <w:t xml:space="preserve">Topic modelling</w:t>
            </w:r>
          </w:p>
        </w:tc>
        <w:tc>
          <w:tcPr>
            <w:tcW w:w="3120" w:type="dxa"/>
          </w:tcPr>
          <w:p>
            <w:pPr/>
            <w:r>
              <w:t xml:space="preserve">Blei, D.M., Ng, A.Y. and Jordan, M.I. (2003) 'Latent Dirichlet allocation', </w:t>
            </w:r>
            <w:r>
              <w:rPr>
                <w:i/>
              </w:rPr>
              <w:t xml:space="preserve">Journal of Machine Learning Research</w:t>
            </w:r>
            <w:r>
              <w:t xml:space="preserve">, 3, pp. 993–1022</w:t>
            </w:r>
          </w:p>
        </w:tc>
        <w:tc>
          <w:tcPr>
            <w:tcW w:w="3120" w:type="dxa"/>
          </w:tcPr>
          <w:p>
            <w:pPr/>
            <w:r>
              <w:t xml:space="preserve">Grouping documents by theme</w:t>
            </w:r>
          </w:p>
        </w:tc>
      </w:tr>
      <w:tr>
        <w:tc>
          <w:tcPr>
            <w:tcW w:w="3120" w:type="dxa"/>
          </w:tcPr>
          <w:p>
            <w:pPr/>
            <w:r>
              <w:t xml:space="preserve">Process model</w:t>
            </w:r>
          </w:p>
        </w:tc>
        <w:tc>
          <w:tcPr>
            <w:tcW w:w="3120" w:type="dxa"/>
          </w:tcPr>
          <w:p>
            <w:pPr/>
            <w:r>
              <w:t xml:space="preserve">Chapman, P. et al. (2000) </w:t>
            </w:r>
            <w:r>
              <w:rPr>
                <w:i/>
              </w:rPr>
              <w:t xml:space="preserve">CRISP-DM 1.0: step-by-step data mining guide</w:t>
            </w:r>
            <w:r>
              <w:t xml:space="preserve">. SPSS Inc.</w:t>
            </w:r>
          </w:p>
        </w:tc>
        <w:tc>
          <w:tcPr>
            <w:tcW w:w="3120" w:type="dxa"/>
          </w:tcPr>
          <w:p>
            <w:pPr/>
            <w:r>
              <w:t xml:space="preserve">Standard project process for data mining</w:t>
            </w:r>
          </w:p>
        </w:tc>
      </w:tr>
    </w:tbl>
    <w:p>
      <w:pPr>
        <w:pStyle w:val="Heading2"/>
      </w:pPr>
      <w:r>
        <w:t xml:space="preserve">Public ITSM datasets (Kaggle excluded)</w:t>
      </w:r>
    </w:p>
    <w:p>
      <w:pPr/>
      <w:r>
        <w:t xml:space="preserve">Two public event logs fit the topic: UCI (ServiceNow) and BPI Challenge 2014 (Rabobank); neither contains free-text ticket descriptions.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Dataset</w:t>
            </w:r>
          </w:p>
        </w:tc>
        <w:tc>
          <w:tcPr>
            <w:tcW w:w="1560" w:type="dxa"/>
            <w:shd w:val="clear" w:color="auto" w:fill="F2F2F2"/>
          </w:tcPr>
          <w:p>
            <w:pPr/>
            <w:r>
              <w:t xml:space="preserve">Size</w:t>
            </w:r>
          </w:p>
        </w:tc>
        <w:tc>
          <w:tcPr>
            <w:tcW w:w="1560" w:type="dxa"/>
            <w:shd w:val="clear" w:color="auto" w:fill="F2F2F2"/>
          </w:tcPr>
          <w:p>
            <w:pPr/>
            <w:r>
              <w:t xml:space="preserve">Licence</w:t>
            </w:r>
          </w:p>
        </w:tc>
        <w:tc>
          <w:tcPr>
            <w:tcW w:w="1560" w:type="dxa"/>
            <w:shd w:val="clear" w:color="auto" w:fill="F2F2F2"/>
          </w:tcPr>
          <w:p>
            <w:pPr/>
            <w:r>
              <w:t xml:space="preserve">Text field</w:t>
            </w:r>
          </w:p>
        </w:tc>
        <w:tc>
          <w:tcPr>
            <w:tcW w:w="1560" w:type="dxa"/>
            <w:shd w:val="clear" w:color="auto" w:fill="F2F2F2"/>
          </w:tcPr>
          <w:p>
            <w:pPr/>
            <w:r>
              <w:t xml:space="preserve">Links to changes and CIs</w:t>
            </w:r>
          </w:p>
        </w:tc>
        <w:tc>
          <w:tcPr>
            <w:tcW w:w="1560" w:type="dxa"/>
            <w:shd w:val="clear" w:color="auto" w:fill="F2F2F2"/>
          </w:tcPr>
          <w:p>
            <w:pPr/>
            <w:r>
              <w:t xml:space="preserve">Main limitation</w:t>
            </w:r>
          </w:p>
        </w:tc>
      </w:tr>
      <w:tr>
        <w:tc>
          <w:tcPr>
            <w:tcW w:w="1560" w:type="dxa"/>
          </w:tcPr>
          <w:p>
            <w:pPr/>
            <w:hyperlink r:id="rId10" w:history="1">
              <w:r>
                <w:rPr>
                  <w:rStyle w:val="Hyperlink"/>
                </w:rPr>
                <w:t xml:space="preserve">UCI Incident Management Event Log</w:t>
              </w:r>
            </w:hyperlink>
            <w:r>
              <w:t xml:space="preserve"> (ServiceNow, Mar 2016–Feb 2017)</w:t>
            </w:r>
          </w:p>
        </w:tc>
        <w:tc>
          <w:tcPr>
            <w:tcW w:w="1560" w:type="dxa"/>
          </w:tcPr>
          <w:p>
            <w:pPr/>
            <w:r>
              <w:t xml:space="preserve">141,712 events; 24,918 incidents; 36 attributes</w:t>
            </w:r>
          </w:p>
        </w:tc>
        <w:tc>
          <w:tcPr>
            <w:tcW w:w="1560" w:type="dxa"/>
          </w:tcPr>
          <w:p>
            <w:pPr/>
            <w:r>
              <w:t xml:space="preserve">CC BY 4.0</w:t>
            </w:r>
          </w:p>
        </w:tc>
        <w:tc>
          <w:tcPr>
            <w:tcW w:w="1560" w:type="dxa"/>
          </w:tcPr>
          <w:p>
            <w:pPr/>
            <w:r>
              <w:t xml:space="preserve">No</w:t>
            </w:r>
          </w:p>
        </w:tc>
        <w:tc>
          <w:tcPr>
            <w:tcW w:w="1560" w:type="dxa"/>
          </w:tcPr>
          <w:p>
            <w:pPr/>
            <w:r>
              <w:t xml:space="preserve">Change field on 179 incidents; CI on 56; problem on 381</w:t>
            </w:r>
          </w:p>
        </w:tc>
        <w:tc>
          <w:tcPr>
            <w:tcW w:w="1560" w:type="dxa"/>
          </w:tcPr>
          <w:p>
            <w:pPr/>
            <w:r>
              <w:t xml:space="preserve">One row per update, so it must be reshaped; links to other records almost empty</w:t>
            </w:r>
          </w:p>
        </w:tc>
      </w:tr>
      <w:tr>
        <w:tc>
          <w:tcPr>
            <w:tcW w:w="1560" w:type="dxa"/>
          </w:tcPr>
          <w:p>
            <w:pPr/>
            <w:hyperlink r:id="rId11" w:history="1">
              <w:r>
                <w:rPr>
                  <w:rStyle w:val="Hyperlink"/>
                </w:rPr>
                <w:t xml:space="preserve">BPI Challenge 2014</w:t>
              </w:r>
            </w:hyperlink>
            <w:r>
              <w:t xml:space="preserve"> (Rabobank ICT, mainly Oct 2013–Mar 2014)</w:t>
            </w:r>
          </w:p>
        </w:tc>
        <w:tc>
          <w:tcPr>
            <w:tcW w:w="1560" w:type="dxa"/>
          </w:tcPr>
          <w:p>
            <w:pPr/>
            <w:r>
              <w:t xml:space="preserve">About 46,600 incidents, 147,000 interactions, 466,000 incident activities, 30,000 changes</w:t>
            </w:r>
          </w:p>
        </w:tc>
        <w:tc>
          <w:tcPr>
            <w:tcW w:w="1560" w:type="dxa"/>
          </w:tcPr>
          <w:p>
            <w:pPr/>
            <w:r>
              <w:t xml:space="preserve">4TU General Terms of Use; </w:t>
            </w:r>
            <w:hyperlink r:id="rId12" w:history="1">
              <w:r>
                <w:rPr>
                  <w:rStyle w:val="Hyperlink"/>
                </w:rPr>
                <w:t xml:space="preserve">OCEL</w:t>
              </w:r>
            </w:hyperlink>
            <w:r>
              <w:t xml:space="preserve"> and </w:t>
            </w:r>
            <w:hyperlink r:id="rId13" w:history="1">
              <w:r>
                <w:rPr>
                  <w:rStyle w:val="Hyperlink"/>
                </w:rPr>
                <w:t xml:space="preserve">event-graph</w:t>
              </w:r>
            </w:hyperlink>
            <w:r>
              <w:t xml:space="preserve"> versions are CC BY 4.0</w:t>
            </w:r>
          </w:p>
        </w:tc>
        <w:tc>
          <w:tcPr>
            <w:tcW w:w="1560" w:type="dxa"/>
          </w:tcPr>
          <w:p>
            <w:pPr/>
            <w:r>
              <w:t xml:space="preserve">Not documented</w:t>
            </w:r>
          </w:p>
        </w:tc>
        <w:tc>
          <w:tcPr>
            <w:tcW w:w="1560" w:type="dxa"/>
          </w:tcPr>
          <w:p>
            <w:pPr/>
            <w:r>
              <w:t xml:space="preserve">Incident, change and CI fields linked</w:t>
            </w:r>
          </w:p>
        </w:tc>
        <w:tc>
          <w:tcPr>
            <w:tcW w:w="1560" w:type="dxa"/>
          </w:tcPr>
          <w:p>
            <w:pPr/>
            <w:r>
              <w:t xml:space="preserve">Several files; counts differ between reports; only about 1% of changes marked as related</w:t>
            </w:r>
          </w:p>
        </w:tc>
      </w:tr>
      <w:tr>
        <w:tc>
          <w:tcPr>
            <w:tcW w:w="1560" w:type="dxa"/>
          </w:tcPr>
          <w:p>
            <w:pPr/>
            <w:hyperlink r:id="rId14" w:history="1">
              <w:r>
                <w:rPr>
                  <w:rStyle w:val="Hyperlink"/>
                </w:rPr>
                <w:t xml:space="preserve">BPI Challenge 2013</w:t>
              </w:r>
            </w:hyperlink>
            <w:r>
              <w:t xml:space="preserve"> (Volvo IT)</w:t>
            </w:r>
          </w:p>
        </w:tc>
        <w:tc>
          <w:tcPr>
            <w:tcW w:w="1560" w:type="dxa"/>
          </w:tcPr>
          <w:p>
            <w:pPr/>
            <w:r>
              <w:t xml:space="preserve">About 7,550 incident cases; 2,300 problem cases</w:t>
            </w:r>
          </w:p>
        </w:tc>
        <w:tc>
          <w:tcPr>
            <w:tcW w:w="1560" w:type="dxa"/>
          </w:tcPr>
          <w:p>
            <w:pPr/>
            <w:r>
              <w:t xml:space="preserve">Check on the 4TU page</w:t>
            </w:r>
          </w:p>
        </w:tc>
        <w:tc>
          <w:tcPr>
            <w:tcW w:w="1560" w:type="dxa"/>
          </w:tcPr>
          <w:p>
            <w:pPr/>
            <w:r>
              <w:t xml:space="preserve">No</w:t>
            </w:r>
          </w:p>
        </w:tc>
        <w:tc>
          <w:tcPr>
            <w:tcW w:w="1560" w:type="dxa"/>
          </w:tcPr>
          <w:p>
            <w:pPr/>
            <w:r>
              <w:t xml:space="preserve">No</w:t>
            </w:r>
          </w:p>
        </w:tc>
        <w:tc>
          <w:tcPr>
            <w:tcW w:w="1560" w:type="dxa"/>
          </w:tcPr>
          <w:p>
            <w:pPr/>
            <w:r>
              <w:t xml:space="preserve">Below the 20,000-record minimum</w:t>
            </w:r>
          </w:p>
        </w:tc>
      </w:tr>
      <w:tr>
        <w:tc>
          <w:tcPr>
            <w:tcW w:w="1560" w:type="dxa"/>
          </w:tcPr>
          <w:p>
            <w:pPr/>
            <w:hyperlink r:id="rId15" w:history="1">
              <w:r>
                <w:rPr>
                  <w:rStyle w:val="Hyperlink"/>
                </w:rPr>
                <w:t xml:space="preserve">Synthetic help-desk tickets</w:t>
              </w:r>
            </w:hyperlink>
            <w:r>
              <w:t xml:space="preserve"> (Hugging Face)</w:t>
            </w:r>
          </w:p>
        </w:tc>
        <w:tc>
          <w:tcPr>
            <w:tcW w:w="1560" w:type="dxa"/>
          </w:tcPr>
          <w:p>
            <w:pPr/>
            <w:r>
              <w:t xml:space="preserve">1,000 tickets in the free sample</w:t>
            </w:r>
          </w:p>
        </w:tc>
        <w:tc>
          <w:tcPr>
            <w:tcW w:w="1560" w:type="dxa"/>
          </w:tcPr>
          <w:p>
            <w:pPr/>
            <w:r>
              <w:t xml:space="preserve">CC BY-NC 4.0</w:t>
            </w:r>
          </w:p>
        </w:tc>
        <w:tc>
          <w:tcPr>
            <w:tcW w:w="1560" w:type="dxa"/>
          </w:tcPr>
          <w:p>
            <w:pPr/>
            <w:r>
              <w:t xml:space="preserve">Yes</w:t>
            </w:r>
          </w:p>
        </w:tc>
        <w:tc>
          <w:tcPr>
            <w:tcW w:w="1560" w:type="dxa"/>
          </w:tcPr>
          <w:p>
            <w:pPr/>
            <w:r>
              <w:t xml:space="preserve">No</w:t>
            </w:r>
          </w:p>
        </w:tc>
        <w:tc>
          <w:tcPr>
            <w:tcW w:w="1560" w:type="dxa"/>
          </w:tcPr>
          <w:p>
            <w:pPr/>
            <w:r>
              <w:t xml:space="preserve">Synthetic, so weak as evidence about real tickets</w:t>
            </w:r>
          </w:p>
        </w:tc>
      </w:tr>
    </w:tbl>
    <w:p>
      <w:pPr/>
      <w:r>
        <w:rPr>
          <w:b/>
        </w:rPr>
        <w:t xml:space="preserve">First checks on the UCI file:</w:t>
      </w:r>
    </w:p>
    <w:p>
      <w:pPr>
        <w:pStyle w:val="ListParagraph"/>
        <w:numPr>
          <w:ilvl w:val="0"/>
          <w:numId w:val="2"/>
        </w:numPr>
      </w:pPr>
      <w:r>
        <w:t xml:space="preserve">23,994 incidents remain after removing those missing core fields, above the 20,000-record minimum. Removing incidents with a missing symptom instead drops it to 18,587.</w:t>
      </w:r>
    </w:p>
    <w:p>
      <w:pPr>
        <w:pStyle w:val="ListParagraph"/>
        <w:numPr>
          <w:ilvl w:val="0"/>
          <w:numId w:val="2"/>
        </w:numPr>
      </w:pPr>
      <w:r>
        <w:t xml:space="preserve">36.6% of incidents breached their SLA, so the two outcomes are reasonably balanced.</w:t>
      </w:r>
    </w:p>
    <w:p>
      <w:pPr>
        <w:pStyle w:val="ListParagraph"/>
        <w:numPr>
          <w:ilvl w:val="0"/>
          <w:numId w:val="2"/>
        </w:numPr>
      </w:pPr>
      <w:r>
        <w:t xml:space="preserve">95% of incidents were recorded as P3, and priority always matches the impact × urgency matrix.</w:t>
      </w:r>
    </w:p>
    <w:p>
      <w:pPr/>
      <w:r>
        <w:rPr>
          <w:b/>
        </w:rPr>
        <w:t xml:space="preserve">Text analysis without Kaggle:</w:t>
      </w:r>
      <w:r>
        <w:t xml:space="preserve"> neither real dataset has ticket text, so sub-problems B and C (unclear notes, text bucketing) have no strong public source. Options are to leave text out, to cluster on structured fields (category, symptom) or to generate synthetic text, which risks the clusters just repeating the rules used to create it.</w:t>
      </w:r>
    </w:p>
    <w:p>
      <w:pPr>
        <w:pStyle w:val="Heading2"/>
      </w:pPr>
      <w:r>
        <w:t xml:space="preserve">Possible analysis directions</w:t>
      </w:r>
    </w:p>
    <w:p>
      <w:pPr/>
      <w:r>
        <w:t xml:space="preserve">SLA-breach prediction is the most feasible predictive task on the UCI data; the other directions are supporting analyses or stretch goals.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Direction</w:t>
            </w:r>
          </w:p>
        </w:tc>
        <w:tc>
          <w:tcPr>
            <w:tcW w:w="1560" w:type="dxa"/>
            <w:shd w:val="clear" w:color="auto" w:fill="F2F2F2"/>
          </w:tcPr>
          <w:p>
            <w:pPr/>
            <w:r>
              <w:t xml:space="preserve">Business question</w:t>
            </w:r>
          </w:p>
        </w:tc>
        <w:tc>
          <w:tcPr>
            <w:tcW w:w="1560" w:type="dxa"/>
            <w:shd w:val="clear" w:color="auto" w:fill="F2F2F2"/>
          </w:tcPr>
          <w:p>
            <w:pPr/>
            <w:r>
              <w:t xml:space="preserve">Technique</w:t>
            </w:r>
          </w:p>
        </w:tc>
        <w:tc>
          <w:tcPr>
            <w:tcW w:w="1560" w:type="dxa"/>
            <w:shd w:val="clear" w:color="auto" w:fill="F2F2F2"/>
          </w:tcPr>
          <w:p>
            <w:pPr/>
            <w:r>
              <w:t xml:space="preserve">Data support</w:t>
            </w:r>
          </w:p>
        </w:tc>
        <w:tc>
          <w:tcPr>
            <w:tcW w:w="1560" w:type="dxa"/>
            <w:shd w:val="clear" w:color="auto" w:fill="F2F2F2"/>
          </w:tcPr>
          <w:p>
            <w:pPr/>
            <w:r>
              <w:t xml:space="preserve">Feasibility</w:t>
            </w:r>
          </w:p>
        </w:tc>
        <w:tc>
          <w:tcPr>
            <w:tcW w:w="1560" w:type="dxa"/>
            <w:shd w:val="clear" w:color="auto" w:fill="F2F2F2"/>
          </w:tcPr>
          <w:p>
            <w:pPr/>
            <w:r>
              <w:t xml:space="preserve">Related module</w:t>
            </w:r>
          </w:p>
        </w:tc>
      </w:tr>
      <w:tr>
        <w:tc>
          <w:tcPr>
            <w:tcW w:w="1560" w:type="dxa"/>
          </w:tcPr>
          <w:p>
            <w:pPr/>
            <w:r>
              <w:t xml:space="preserve">SLA-breach prediction</w:t>
            </w:r>
          </w:p>
        </w:tc>
        <w:tc>
          <w:tcPr>
            <w:tcW w:w="1560" w:type="dxa"/>
          </w:tcPr>
          <w:p>
            <w:pPr/>
            <w:r>
              <w:t xml:space="preserve">Will this incident miss its SLA?</w:t>
            </w:r>
          </w:p>
        </w:tc>
        <w:tc>
          <w:tcPr>
            <w:tcW w:w="1560" w:type="dxa"/>
          </w:tcPr>
          <w:p>
            <w:pPr/>
            <w:r>
              <w:t xml:space="preserve">Classification</w:t>
            </w:r>
          </w:p>
        </w:tc>
        <w:tc>
          <w:tcPr>
            <w:tcW w:w="1560" w:type="dxa"/>
          </w:tcPr>
          <w:p>
            <w:pPr/>
            <w:r>
              <w:t xml:space="preserve">UCI SLA outcome field</w:t>
            </w:r>
          </w:p>
        </w:tc>
        <w:tc>
          <w:tcPr>
            <w:tcW w:w="1560" w:type="dxa"/>
          </w:tcPr>
          <w:p>
            <w:pPr/>
            <w:r>
              <w:t xml:space="preserve">High</w:t>
            </w:r>
          </w:p>
        </w:tc>
        <w:tc>
          <w:tcPr>
            <w:tcW w:w="1560" w:type="dxa"/>
          </w:tcPr>
          <w:p>
            <w:pPr/>
            <w:r>
              <w:t xml:space="preserve">Machine Learning</w:t>
            </w:r>
          </w:p>
        </w:tc>
      </w:tr>
      <w:tr>
        <w:tc>
          <w:tcPr>
            <w:tcW w:w="1560" w:type="dxa"/>
          </w:tcPr>
          <w:p>
            <w:pPr/>
            <w:r>
              <w:t xml:space="preserve">Priority consistency</w:t>
            </w:r>
          </w:p>
        </w:tc>
        <w:tc>
          <w:tcPr>
            <w:tcW w:w="1560" w:type="dxa"/>
          </w:tcPr>
          <w:p>
            <w:pPr/>
            <w:r>
              <w:t xml:space="preserve">Does assigned priority match what happens?</w:t>
            </w:r>
          </w:p>
        </w:tc>
        <w:tc>
          <w:tcPr>
            <w:tcW w:w="1560" w:type="dxa"/>
          </w:tcPr>
          <w:p>
            <w:pPr/>
            <w:r>
              <w:t xml:space="preserve">Chi-square; Kruskal–Wallis</w:t>
            </w:r>
          </w:p>
        </w:tc>
        <w:tc>
          <w:tcPr>
            <w:tcW w:w="1560" w:type="dxa"/>
          </w:tcPr>
          <w:p>
            <w:pPr/>
            <w:r>
              <w:t xml:space="preserve">UCI priority, SLA outcome, timestamps</w:t>
            </w:r>
          </w:p>
        </w:tc>
        <w:tc>
          <w:tcPr>
            <w:tcW w:w="1560" w:type="dxa"/>
          </w:tcPr>
          <w:p>
            <w:pPr/>
            <w:r>
              <w:t xml:space="preserve">High</w:t>
            </w:r>
          </w:p>
        </w:tc>
        <w:tc>
          <w:tcPr>
            <w:tcW w:w="1560" w:type="dxa"/>
          </w:tcPr>
          <w:p>
            <w:pPr/>
            <w:r>
              <w:t xml:space="preserve">Statistical Techniques</w:t>
            </w:r>
          </w:p>
        </w:tc>
      </w:tr>
      <w:tr>
        <w:tc>
          <w:tcPr>
            <w:tcW w:w="1560" w:type="dxa"/>
          </w:tcPr>
          <w:p>
            <w:pPr/>
            <w:r>
              <w:t xml:space="preserve">Hotspot ranking</w:t>
            </w:r>
          </w:p>
        </w:tc>
        <w:tc>
          <w:tcPr>
            <w:tcW w:w="1560" w:type="dxa"/>
          </w:tcPr>
          <w:p>
            <w:pPr/>
            <w:r>
              <w:t xml:space="preserve">Which categories, locations or support groups have the most incidents and breaches?</w:t>
            </w:r>
          </w:p>
        </w:tc>
        <w:tc>
          <w:tcPr>
            <w:tcW w:w="1560" w:type="dxa"/>
          </w:tcPr>
          <w:p>
            <w:pPr/>
            <w:r>
              <w:t xml:space="preserve">Descriptive statistics; clustering</w:t>
            </w:r>
          </w:p>
        </w:tc>
        <w:tc>
          <w:tcPr>
            <w:tcW w:w="1560" w:type="dxa"/>
          </w:tcPr>
          <w:p>
            <w:pPr/>
            <w:r>
              <w:t xml:space="preserve">UCI category, location, group (CI field almost empty)</w:t>
            </w:r>
          </w:p>
        </w:tc>
        <w:tc>
          <w:tcPr>
            <w:tcW w:w="1560" w:type="dxa"/>
          </w:tcPr>
          <w:p>
            <w:pPr/>
            <w:r>
              <w:t xml:space="preserve">High</w:t>
            </w:r>
          </w:p>
        </w:tc>
        <w:tc>
          <w:tcPr>
            <w:tcW w:w="1560" w:type="dxa"/>
          </w:tcPr>
          <w:p>
            <w:pPr/>
            <w:r>
              <w:t xml:space="preserve">Data Visualisation; ML for Business</w:t>
            </w:r>
          </w:p>
        </w:tc>
      </w:tr>
      <w:tr>
        <w:tc>
          <w:tcPr>
            <w:tcW w:w="1560" w:type="dxa"/>
          </w:tcPr>
          <w:p>
            <w:pPr/>
            <w:r>
              <w:t xml:space="preserve">Resolution-time prediction</w:t>
            </w:r>
          </w:p>
        </w:tc>
        <w:tc>
          <w:tcPr>
            <w:tcW w:w="1560" w:type="dxa"/>
          </w:tcPr>
          <w:p>
            <w:pPr/>
            <w:r>
              <w:t xml:space="preserve">How long will this incident take?</w:t>
            </w:r>
          </w:p>
        </w:tc>
        <w:tc>
          <w:tcPr>
            <w:tcW w:w="1560" w:type="dxa"/>
          </w:tcPr>
          <w:p>
            <w:pPr/>
            <w:r>
              <w:t xml:space="preserve">Regression</w:t>
            </w:r>
          </w:p>
        </w:tc>
        <w:tc>
          <w:tcPr>
            <w:tcW w:w="1560" w:type="dxa"/>
          </w:tcPr>
          <w:p>
            <w:pPr/>
            <w:r>
              <w:t xml:space="preserve">UCI timestamps; very skewed; 1,556 resolved dates missing</w:t>
            </w:r>
          </w:p>
        </w:tc>
        <w:tc>
          <w:tcPr>
            <w:tcW w:w="1560" w:type="dxa"/>
          </w:tcPr>
          <w:p>
            <w:pPr/>
            <w:r>
              <w:t xml:space="preserve">Medium</w:t>
            </w:r>
          </w:p>
        </w:tc>
        <w:tc>
          <w:tcPr>
            <w:tcW w:w="1560" w:type="dxa"/>
          </w:tcPr>
          <w:p>
            <w:pPr/>
            <w:r>
              <w:t xml:space="preserve">Machine Learning</w:t>
            </w:r>
          </w:p>
        </w:tc>
      </w:tr>
      <w:tr>
        <w:tc>
          <w:tcPr>
            <w:tcW w:w="1560" w:type="dxa"/>
          </w:tcPr>
          <w:p>
            <w:pPr/>
            <w:r>
              <w:t xml:space="preserve">Reassignment prediction</w:t>
            </w:r>
          </w:p>
        </w:tc>
        <w:tc>
          <w:tcPr>
            <w:tcW w:w="1560" w:type="dxa"/>
          </w:tcPr>
          <w:p>
            <w:pPr/>
            <w:r>
              <w:t xml:space="preserve">Will this ticket bounce between teams?</w:t>
            </w:r>
          </w:p>
        </w:tc>
        <w:tc>
          <w:tcPr>
            <w:tcW w:w="1560" w:type="dxa"/>
          </w:tcPr>
          <w:p>
            <w:pPr/>
            <w:r>
              <w:t xml:space="preserve">Classification</w:t>
            </w:r>
          </w:p>
        </w:tc>
        <w:tc>
          <w:tcPr>
            <w:tcW w:w="1560" w:type="dxa"/>
          </w:tcPr>
          <w:p>
            <w:pPr/>
            <w:r>
              <w:t xml:space="preserve">UCI reassignment count</w:t>
            </w:r>
          </w:p>
        </w:tc>
        <w:tc>
          <w:tcPr>
            <w:tcW w:w="1560" w:type="dxa"/>
          </w:tcPr>
          <w:p>
            <w:pPr/>
            <w:r>
              <w:t xml:space="preserve">Medium</w:t>
            </w:r>
          </w:p>
        </w:tc>
        <w:tc>
          <w:tcPr>
            <w:tcW w:w="1560" w:type="dxa"/>
          </w:tcPr>
          <w:p>
            <w:pPr/>
            <w:r>
              <w:t xml:space="preserve">Machine Learning</w:t>
            </w:r>
          </w:p>
        </w:tc>
      </w:tr>
      <w:tr>
        <w:tc>
          <w:tcPr>
            <w:tcW w:w="1560" w:type="dxa"/>
          </w:tcPr>
          <w:p>
            <w:pPr/>
            <w:r>
              <w:t xml:space="preserve">Volume trends</w:t>
            </w:r>
          </w:p>
        </w:tc>
        <w:tc>
          <w:tcPr>
            <w:tcW w:w="1560" w:type="dxa"/>
          </w:tcPr>
          <w:p>
            <w:pPr/>
            <w:r>
              <w:t xml:space="preserve">How many incidents next week?</w:t>
            </w:r>
          </w:p>
        </w:tc>
        <w:tc>
          <w:tcPr>
            <w:tcW w:w="1560" w:type="dxa"/>
          </w:tcPr>
          <w:p>
            <w:pPr/>
            <w:r>
              <w:t xml:space="preserve">Time-series analysis</w:t>
            </w:r>
          </w:p>
        </w:tc>
        <w:tc>
          <w:tcPr>
            <w:tcW w:w="1560" w:type="dxa"/>
          </w:tcPr>
          <w:p>
            <w:pPr/>
            <w:r>
              <w:t xml:space="preserve">Only 12 months of UCI data</w:t>
            </w:r>
          </w:p>
        </w:tc>
        <w:tc>
          <w:tcPr>
            <w:tcW w:w="1560" w:type="dxa"/>
          </w:tcPr>
          <w:p>
            <w:pPr/>
            <w:r>
              <w:t xml:space="preserve">Medium</w:t>
            </w:r>
          </w:p>
        </w:tc>
        <w:tc>
          <w:tcPr>
            <w:tcW w:w="1560" w:type="dxa"/>
          </w:tcPr>
          <w:p>
            <w:pPr/>
            <w:r>
              <w:t xml:space="preserve">ML for Business</w:t>
            </w:r>
          </w:p>
        </w:tc>
      </w:tr>
      <w:tr>
        <w:tc>
          <w:tcPr>
            <w:tcW w:w="1560" w:type="dxa"/>
          </w:tcPr>
          <w:p>
            <w:pPr/>
            <w:r>
              <w:t xml:space="preserve">Recurrence</w:t>
            </w:r>
          </w:p>
        </w:tc>
        <w:tc>
          <w:tcPr>
            <w:tcW w:w="1560" w:type="dxa"/>
          </w:tcPr>
          <w:p>
            <w:pPr/>
            <w:r>
              <w:t xml:space="preserve">How long until the same component fails again?</w:t>
            </w:r>
          </w:p>
        </w:tc>
        <w:tc>
          <w:tcPr>
            <w:tcW w:w="1560" w:type="dxa"/>
          </w:tcPr>
          <w:p>
            <w:pPr/>
            <w:r>
              <w:t xml:space="preserve">Survival analysis</w:t>
            </w:r>
          </w:p>
        </w:tc>
        <w:tc>
          <w:tcPr>
            <w:tcW w:w="1560" w:type="dxa"/>
          </w:tcPr>
          <w:p>
            <w:pPr/>
            <w:r>
              <w:t xml:space="preserve">Needs CI data, which UCI lacks</w:t>
            </w:r>
          </w:p>
        </w:tc>
        <w:tc>
          <w:tcPr>
            <w:tcW w:w="1560" w:type="dxa"/>
          </w:tcPr>
          <w:p>
            <w:pPr/>
            <w:r>
              <w:t xml:space="preserve">Low</w:t>
            </w:r>
          </w:p>
        </w:tc>
        <w:tc>
          <w:tcPr>
            <w:tcW w:w="1560" w:type="dxa"/>
          </w:tcPr>
          <w:p>
            <w:pPr/>
            <w:r>
              <w:t xml:space="preserve">Statistical Techniques</w:t>
            </w:r>
          </w:p>
        </w:tc>
      </w:tr>
      <w:tr>
        <w:tc>
          <w:tcPr>
            <w:tcW w:w="1560" w:type="dxa"/>
          </w:tcPr>
          <w:p>
            <w:pPr/>
            <w:r>
              <w:t xml:space="preserve">Change-caused incidents</w:t>
            </w:r>
          </w:p>
        </w:tc>
        <w:tc>
          <w:tcPr>
            <w:tcW w:w="1560" w:type="dxa"/>
          </w:tcPr>
          <w:p>
            <w:pPr/>
            <w:r>
              <w:t xml:space="preserve">Which changes lead to incidents?</w:t>
            </w:r>
          </w:p>
        </w:tc>
        <w:tc>
          <w:tcPr>
            <w:tcW w:w="1560" w:type="dxa"/>
          </w:tcPr>
          <w:p>
            <w:pPr/>
            <w:r>
              <w:t xml:space="preserve">Classification; record linking</w:t>
            </w:r>
          </w:p>
        </w:tc>
        <w:tc>
          <w:tcPr>
            <w:tcW w:w="1560" w:type="dxa"/>
          </w:tcPr>
          <w:p>
            <w:pPr/>
            <w:r>
              <w:t xml:space="preserve">BPIC 2014 only, with weak links</w:t>
            </w:r>
          </w:p>
        </w:tc>
        <w:tc>
          <w:tcPr>
            <w:tcW w:w="1560" w:type="dxa"/>
          </w:tcPr>
          <w:p>
            <w:pPr/>
            <w:r>
              <w:t xml:space="preserve">Low to medium</w:t>
            </w:r>
          </w:p>
        </w:tc>
        <w:tc>
          <w:tcPr>
            <w:tcW w:w="1560" w:type="dxa"/>
          </w:tcPr>
          <w:p>
            <w:pPr/>
            <w:r>
              <w:t xml:space="preserve">Stretch goal</w:t>
            </w:r>
          </w:p>
        </w:tc>
      </w:tr>
      <w:tr>
        <w:tc>
          <w:tcPr>
            <w:tcW w:w="1560" w:type="dxa"/>
          </w:tcPr>
          <w:p>
            <w:pPr/>
            <w:r>
              <w:t xml:space="preserve">Text bucketing and note quality</w:t>
            </w:r>
          </w:p>
        </w:tc>
        <w:tc>
          <w:tcPr>
            <w:tcW w:w="1560" w:type="dxa"/>
          </w:tcPr>
          <w:p>
            <w:pPr/>
            <w:r>
              <w:t xml:space="preserve">What themes appear in ticket notes?</w:t>
            </w:r>
          </w:p>
        </w:tc>
        <w:tc>
          <w:tcPr>
            <w:tcW w:w="1560" w:type="dxa"/>
          </w:tcPr>
          <w:p>
            <w:pPr/>
            <w:r>
              <w:t xml:space="preserve">Text analytics</w:t>
            </w:r>
          </w:p>
        </w:tc>
        <w:tc>
          <w:tcPr>
            <w:tcW w:w="1560" w:type="dxa"/>
          </w:tcPr>
          <w:p>
            <w:pPr/>
            <w:r>
              <w:t xml:space="preserve">No public non-Kaggle source</w:t>
            </w:r>
          </w:p>
        </w:tc>
        <w:tc>
          <w:tcPr>
            <w:tcW w:w="1560" w:type="dxa"/>
          </w:tcPr>
          <w:p>
            <w:pPr/>
            <w:r>
              <w:t xml:space="preserve">Low</w:t>
            </w:r>
          </w:p>
        </w:tc>
        <w:tc>
          <w:tcPr>
            <w:tcW w:w="1560" w:type="dxa"/>
          </w:tcPr>
          <w:p>
            <w:pPr/>
            <w:r>
              <w:t xml:space="preserve">ML for Business</w:t>
            </w:r>
          </w:p>
        </w:tc>
      </w:tr>
    </w:tbl>
    <w:p>
      <w:pPr/>
      <w:r>
        <w:rPr>
          <w:b/>
        </w:rPr>
        <w:t xml:space="preserve">Pitfalls to research before choosing:</w:t>
      </w:r>
    </w:p>
    <w:p>
      <w:pPr>
        <w:pStyle w:val="ListParagraph"/>
        <w:numPr>
          <w:ilvl w:val="0"/>
          <w:numId w:val="3"/>
        </w:numPr>
      </w:pPr>
      <w:r>
        <w:rPr>
          <w:b/>
        </w:rPr>
        <w:t xml:space="preserve">Data leakage</w:t>
      </w:r>
      <w:r>
        <w:t xml:space="preserve">: using information the model would not have at prediction time. Example: the total number of updates per incident is only known after it closes.</w:t>
      </w:r>
    </w:p>
    <w:p>
      <w:pPr>
        <w:pStyle w:val="ListParagraph"/>
        <w:numPr>
          <w:ilvl w:val="0"/>
          <w:numId w:val="3"/>
        </w:numPr>
      </w:pPr>
      <w:r>
        <w:rPr>
          <w:b/>
        </w:rPr>
        <w:t xml:space="preserve">Priority as a target</w:t>
      </w:r>
      <w:r>
        <w:t xml:space="preserve">: it is calculated from impact and urgency, so predicting it adds nothing.</w:t>
      </w:r>
    </w:p>
    <w:p>
      <w:pPr>
        <w:pStyle w:val="ListParagraph"/>
        <w:numPr>
          <w:ilvl w:val="0"/>
          <w:numId w:val="3"/>
        </w:numPr>
      </w:pPr>
      <w:r>
        <w:rPr>
          <w:b/>
        </w:rPr>
        <w:t xml:space="preserve">Class imbalance</w:t>
      </w:r>
      <w:r>
        <w:t xml:space="preserve">: if one outcome is rare, accuracy alone is misleading; precision, recall and F1 give a fuller picture.</w:t>
      </w:r>
    </w:p>
    <w:p>
      <w:pPr>
        <w:pStyle w:val="ListParagraph"/>
        <w:numPr>
          <w:ilvl w:val="0"/>
          <w:numId w:val="3"/>
        </w:numPr>
      </w:pPr>
      <w:r>
        <w:rPr>
          <w:b/>
        </w:rPr>
        <w:t xml:space="preserve">Train/test split</w:t>
      </w:r>
      <w:r>
        <w:t xml:space="preserve">: a split by time (train on earlier months, test on later ones) is closer to real use than a random split.</w:t>
      </w:r>
    </w:p>
    <w:p>
      <w:pPr>
        <w:pStyle w:val="Heading2"/>
      </w:pPr>
      <w:r>
        <w:t xml:space="preserve">Methodology and tool options</w:t>
      </w:r>
    </w:p>
    <w:p>
      <w:pPr/>
      <w:r>
        <w:t xml:space="preserve">CRISP-DM is a widely used process model for this type of project; the tool choice is mainly a trade-off between open-source and proprietary software.</w:t>
      </w:r>
    </w:p>
    <w:p>
      <w:pPr/>
      <w:r>
        <w:rPr>
          <w:b/>
        </w:rPr>
        <w:t xml:space="preserve">Process models to compare:</w:t>
      </w:r>
    </w:p>
    <w:p>
      <w:pPr>
        <w:pStyle w:val="ListParagraph"/>
        <w:numPr>
          <w:ilvl w:val="0"/>
          <w:numId w:val="4"/>
        </w:numPr>
      </w:pPr>
      <w:r>
        <w:rPr>
          <w:b/>
        </w:rPr>
        <w:t xml:space="preserve">CRISP-DM</w:t>
      </w:r>
      <w:r>
        <w:t xml:space="preserve"> (Chapman et al., 2000): business understanding → data understanding → data preparation → modelling → evaluation → deployment. It starts from the business question and lets you go back to earlier phases.</w:t>
      </w:r>
    </w:p>
    <w:p>
      <w:pPr>
        <w:pStyle w:val="ListParagraph"/>
        <w:numPr>
          <w:ilvl w:val="0"/>
          <w:numId w:val="4"/>
        </w:numPr>
      </w:pPr>
      <w:r>
        <w:rPr>
          <w:b/>
        </w:rPr>
        <w:t xml:space="preserve">KDD</w:t>
      </w:r>
      <w:r>
        <w:t xml:space="preserve"> (Fayyad, Piatetsky-Shapiro and Smyth, 1996): selection → preprocessing → transformation → data mining → interpretation. More data-focused, with less on business understanding and deployment.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Open-source options</w:t>
            </w:r>
          </w:p>
        </w:tc>
        <w:tc>
          <w:tcPr>
            <w:tcW w:w="3120" w:type="dxa"/>
            <w:shd w:val="clear" w:color="auto" w:fill="F2F2F2"/>
          </w:tcPr>
          <w:p>
            <w:pPr/>
            <w:r>
              <w:t xml:space="preserve">Proprietary options</w:t>
            </w:r>
          </w:p>
        </w:tc>
      </w:tr>
      <w:tr>
        <w:tc>
          <w:tcPr>
            <w:tcW w:w="3120" w:type="dxa"/>
          </w:tcPr>
          <w:p>
            <w:pPr/>
            <w:r>
              <w:t xml:space="preserve">Storage</w:t>
            </w:r>
          </w:p>
        </w:tc>
        <w:tc>
          <w:tcPr>
            <w:tcW w:w="3120" w:type="dxa"/>
          </w:tcPr>
          <w:p>
            <w:pPr/>
            <w:r>
              <w:t xml:space="preserve">SQLite, PostgreSQL</w:t>
            </w:r>
          </w:p>
        </w:tc>
        <w:tc>
          <w:tcPr>
            <w:tcW w:w="3120" w:type="dxa"/>
          </w:tcPr>
          <w:p>
            <w:pPr/>
            <w:r>
              <w:t xml:space="preserve">SQL Server, Snowflake</w:t>
            </w:r>
          </w:p>
        </w:tc>
      </w:tr>
      <w:tr>
        <w:tc>
          <w:tcPr>
            <w:tcW w:w="3120" w:type="dxa"/>
          </w:tcPr>
          <w:p>
            <w:pPr/>
            <w:r>
              <w:t xml:space="preserve">Data preparation</w:t>
            </w:r>
          </w:p>
        </w:tc>
        <w:tc>
          <w:tcPr>
            <w:tcW w:w="3120" w:type="dxa"/>
          </w:tcPr>
          <w:p>
            <w:pPr/>
            <w:r>
              <w:t xml:space="preserve">Python (pandas, NumPy)</w:t>
            </w:r>
          </w:p>
        </w:tc>
        <w:tc>
          <w:tcPr>
            <w:tcW w:w="3120" w:type="dxa"/>
          </w:tcPr>
          <w:p>
            <w:pPr/>
            <w:r>
              <w:t xml:space="preserve">SAS, Alteryx</w:t>
            </w:r>
          </w:p>
        </w:tc>
      </w:tr>
      <w:tr>
        <w:tc>
          <w:tcPr>
            <w:tcW w:w="3120" w:type="dxa"/>
          </w:tcPr>
          <w:p>
            <w:pPr/>
            <w:r>
              <w:t xml:space="preserve">Statistics</w:t>
            </w:r>
          </w:p>
        </w:tc>
        <w:tc>
          <w:tcPr>
            <w:tcW w:w="3120" w:type="dxa"/>
          </w:tcPr>
          <w:p>
            <w:pPr/>
            <w:r>
              <w:t xml:space="preserve">SciPy, statsmodels</w:t>
            </w:r>
          </w:p>
        </w:tc>
        <w:tc>
          <w:tcPr>
            <w:tcW w:w="3120" w:type="dxa"/>
          </w:tcPr>
          <w:p>
            <w:pPr/>
            <w:r>
              <w:t xml:space="preserve">SPSS</w:t>
            </w:r>
          </w:p>
        </w:tc>
      </w:tr>
      <w:tr>
        <w:tc>
          <w:tcPr>
            <w:tcW w:w="3120" w:type="dxa"/>
          </w:tcPr>
          <w:p>
            <w:pPr/>
            <w:r>
              <w:t xml:space="preserve">Machine learning</w:t>
            </w:r>
          </w:p>
        </w:tc>
        <w:tc>
          <w:tcPr>
            <w:tcW w:w="3120" w:type="dxa"/>
          </w:tcPr>
          <w:p>
            <w:pPr/>
            <w:r>
              <w:t xml:space="preserve">scikit-learn, LightGBM, XGBoost</w:t>
            </w:r>
          </w:p>
        </w:tc>
        <w:tc>
          <w:tcPr>
            <w:tcW w:w="3120" w:type="dxa"/>
          </w:tcPr>
          <w:p>
            <w:pPr/>
            <w:r>
              <w:t xml:space="preserve">Azure Machine Learning, ServiceNow Predictive Intelligence</w:t>
            </w:r>
          </w:p>
        </w:tc>
      </w:tr>
      <w:tr>
        <w:tc>
          <w:tcPr>
            <w:tcW w:w="3120" w:type="dxa"/>
          </w:tcPr>
          <w:p>
            <w:pPr/>
            <w:r>
              <w:t xml:space="preserve">Dashboard</w:t>
            </w:r>
          </w:p>
        </w:tc>
        <w:tc>
          <w:tcPr>
            <w:tcW w:w="3120" w:type="dxa"/>
          </w:tcPr>
          <w:p>
            <w:pPr/>
            <w:r>
              <w:t xml:space="preserve">Streamlit</w:t>
            </w:r>
          </w:p>
        </w:tc>
        <w:tc>
          <w:tcPr>
            <w:tcW w:w="3120" w:type="dxa"/>
          </w:tcPr>
          <w:p>
            <w:pPr/>
            <w:r>
              <w:t xml:space="preserve">Power BI, Tableau</w:t>
            </w:r>
          </w:p>
        </w:tc>
      </w:tr>
      <w:tr>
        <w:tc>
          <w:tcPr>
            <w:tcW w:w="3120" w:type="dxa"/>
          </w:tcPr>
          <w:p>
            <w:pPr/>
            <w:r>
              <w:t xml:space="preserve">Version control</w:t>
            </w:r>
          </w:p>
        </w:tc>
        <w:tc>
          <w:tcPr>
            <w:tcW w:w="3120" w:type="dxa"/>
          </w:tcPr>
          <w:p>
            <w:pPr/>
            <w:r>
              <w:t xml:space="preserve">Git and GitHub (required by the brief)</w:t>
            </w:r>
          </w:p>
        </w:tc>
        <w:tc>
          <w:tcPr>
            <w:tcW w:w="3120" w:type="dxa"/>
          </w:tcPr>
          <w:p>
            <w:pPr/>
            <w:r>
              <w:t xml:space="preserve">—</w:t>
            </w:r>
          </w:p>
        </w:tc>
      </w:tr>
    </w:tbl>
    <w:p>
      <w:pPr/>
      <w:r>
        <w:t xml:space="preserve">Open-source tools are free, transparent and reproducible, so a marker can rerun the work. Proprietary tools offer integration and support but add licence costs and can be harder to explain, which matters where regulators expect explainable decisions. This trade-off links to learning outcome 2.</w:t>
      </w:r>
    </w:p>
    <w:p>
      <w:pPr/>
      <w:r>
        <w:rPr>
          <w:b/>
        </w:rPr>
        <w:t xml:space="preserve">Components an architecture diagram usually shows:</w:t>
      </w:r>
    </w:p>
    <w:p>
      <w:pPr>
        <w:pStyle w:val="ListParagraph"/>
        <w:numPr>
          <w:ilvl w:val="0"/>
          <w:numId w:val="5"/>
        </w:numPr>
      </w:pPr>
      <w:r>
        <w:t xml:space="preserve">Data source</w:t>
      </w:r>
    </w:p>
    <w:p>
      <w:pPr>
        <w:pStyle w:val="ListParagraph"/>
        <w:numPr>
          <w:ilvl w:val="0"/>
          <w:numId w:val="5"/>
        </w:numPr>
      </w:pPr>
      <w:r>
        <w:t xml:space="preserve">Loading into storage</w:t>
      </w:r>
    </w:p>
    <w:p>
      <w:pPr>
        <w:pStyle w:val="ListParagraph"/>
        <w:numPr>
          <w:ilvl w:val="0"/>
          <w:numId w:val="5"/>
        </w:numPr>
      </w:pPr>
      <w:r>
        <w:t xml:space="preserve">Cleaning and reshaping</w:t>
      </w:r>
    </w:p>
    <w:p>
      <w:pPr>
        <w:pStyle w:val="ListParagraph"/>
        <w:numPr>
          <w:ilvl w:val="0"/>
          <w:numId w:val="5"/>
        </w:numPr>
      </w:pPr>
      <w:r>
        <w:t xml:space="preserve">Feature preparation</w:t>
      </w:r>
    </w:p>
    <w:p>
      <w:pPr>
        <w:pStyle w:val="ListParagraph"/>
        <w:numPr>
          <w:ilvl w:val="0"/>
          <w:numId w:val="5"/>
        </w:numPr>
      </w:pPr>
      <w:r>
        <w:t xml:space="preserve">Analysis and models</w:t>
      </w:r>
    </w:p>
    <w:p>
      <w:pPr>
        <w:pStyle w:val="ListParagraph"/>
        <w:numPr>
          <w:ilvl w:val="0"/>
          <w:numId w:val="5"/>
        </w:numPr>
      </w:pPr>
      <w:r>
        <w:t xml:space="preserve">Evaluation</w:t>
      </w:r>
    </w:p>
    <w:p>
      <w:pPr>
        <w:pStyle w:val="ListParagraph"/>
        <w:numPr>
          <w:ilvl w:val="0"/>
          <w:numId w:val="5"/>
        </w:numPr>
      </w:pPr>
      <w:r>
        <w:t xml:space="preserve">Dashboard or other output</w:t>
      </w:r>
    </w:p>
    <w:p>
      <w:pPr>
        <w:pStyle w:val="ListParagraph"/>
        <w:numPr>
          <w:ilvl w:val="0"/>
          <w:numId w:val="5"/>
        </w:numPr>
      </w:pPr>
      <w:r>
        <w:t xml:space="preserve">Governance applied across all steps (version control, data dictionary, licences)</w:t>
      </w:r>
    </w:p>
    <w:p>
      <w:pPr>
        <w:pStyle w:val="Heading2"/>
      </w:pPr>
      <w:r>
        <w:t xml:space="preserve">Ethical and legal points</w:t>
      </w:r>
    </w:p>
    <w:p>
      <w:pPr/>
      <w:r>
        <w:t xml:space="preserve">Using public, anonymised data keeps the project within the CCT ethics form; the remaining risks are licences, re-identification and how results are presented.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What to consider</w:t>
            </w:r>
          </w:p>
        </w:tc>
        <w:tc>
          <w:tcPr>
            <w:tcW w:w="3120" w:type="dxa"/>
            <w:shd w:val="clear" w:color="auto" w:fill="F2F2F2"/>
          </w:tcPr>
          <w:p>
            <w:pPr/>
            <w:r>
              <w:t xml:space="preserve">Source to check</w:t>
            </w:r>
          </w:p>
        </w:tc>
      </w:tr>
      <w:tr>
        <w:tc>
          <w:tcPr>
            <w:tcW w:w="3120" w:type="dxa"/>
          </w:tcPr>
          <w:p>
            <w:pPr/>
            <w:r>
              <w:t xml:space="preserve">Data protection</w:t>
            </w:r>
          </w:p>
        </w:tc>
        <w:tc>
          <w:tcPr>
            <w:tcW w:w="3120" w:type="dxa"/>
          </w:tcPr>
          <w:p>
            <w:pPr/>
            <w:r>
              <w:t xml:space="preserve">Both datasets are anonymised by their publishers; do not try to re-identify anyone, and collect no personal data</w:t>
            </w:r>
          </w:p>
        </w:tc>
        <w:tc>
          <w:tcPr>
            <w:tcW w:w="3120" w:type="dxa"/>
          </w:tcPr>
          <w:p>
            <w:pPr/>
            <w:r>
              <w:t xml:space="preserve">GDPR, Regulation (EU) 2016/679</w:t>
            </w:r>
          </w:p>
        </w:tc>
      </w:tr>
      <w:tr>
        <w:tc>
          <w:tcPr>
            <w:tcW w:w="3120" w:type="dxa"/>
          </w:tcPr>
          <w:p>
            <w:pPr/>
            <w:r>
              <w:t xml:space="preserve">Licences</w:t>
            </w:r>
          </w:p>
        </w:tc>
        <w:tc>
          <w:tcPr>
            <w:tcW w:w="3120" w:type="dxa"/>
          </w:tcPr>
          <w:p>
            <w:pPr/>
            <w:r>
              <w:t xml:space="preserve">UCI requires attribution (CC BY 4.0); BPIC 2014 follows the 4TU terms</w:t>
            </w:r>
          </w:p>
        </w:tc>
        <w:tc>
          <w:tcPr>
            <w:tcW w:w="3120" w:type="dxa"/>
          </w:tcPr>
          <w:p>
            <w:pPr/>
            <w:r>
              <w:t xml:space="preserve">Dataset pages</w:t>
            </w:r>
          </w:p>
        </w:tc>
      </w:tr>
      <w:tr>
        <w:tc>
          <w:tcPr>
            <w:tcW w:w="3120" w:type="dxa"/>
          </w:tcPr>
          <w:p>
            <w:pPr/>
            <w:r>
              <w:t xml:space="preserve">Employer confidentiality</w:t>
            </w:r>
          </w:p>
        </w:tc>
        <w:tc>
          <w:tcPr>
            <w:tcW w:w="3120" w:type="dxa"/>
          </w:tcPr>
          <w:p>
            <w:pPr/>
            <w:r>
              <w:t xml:space="preserve">No employer data, systems or figures; keep work examples generic</w:t>
            </w:r>
          </w:p>
        </w:tc>
        <w:tc>
          <w:tcPr>
            <w:tcW w:w="3120" w:type="dxa"/>
          </w:tcPr>
          <w:p>
            <w:pPr/>
            <w:r>
              <w:t xml:space="preserve">Employer policy</w:t>
            </w:r>
          </w:p>
        </w:tc>
      </w:tr>
      <w:tr>
        <w:tc>
          <w:tcPr>
            <w:tcW w:w="3120" w:type="dxa"/>
          </w:tcPr>
          <w:p>
            <w:pPr/>
            <w:r>
              <w:t xml:space="preserve">Fair use of results</w:t>
            </w:r>
          </w:p>
        </w:tc>
        <w:tc>
          <w:tcPr>
            <w:tcW w:w="3120" w:type="dxa"/>
          </w:tcPr>
          <w:p>
            <w:pPr/>
            <w:r>
              <w:t xml:space="preserve">Results about support groups or locations should read as process insights, not staff performance ratings; AI used to evaluate workers is high-risk under the EU AI Act</w:t>
            </w:r>
          </w:p>
        </w:tc>
        <w:tc>
          <w:tcPr>
            <w:tcW w:w="3120" w:type="dxa"/>
          </w:tcPr>
          <w:p>
            <w:pPr/>
            <w:r>
              <w:t xml:space="preserve">Regulation (EU) 2024/1689, Annex III</w:t>
            </w:r>
          </w:p>
        </w:tc>
      </w:tr>
      <w:tr>
        <w:tc>
          <w:tcPr>
            <w:tcW w:w="3120" w:type="dxa"/>
          </w:tcPr>
          <w:p>
            <w:pPr/>
            <w:r>
              <w:t xml:space="preserve">Security</w:t>
            </w:r>
          </w:p>
        </w:tc>
        <w:tc>
          <w:tcPr>
            <w:tcW w:w="3120" w:type="dxa"/>
          </w:tcPr>
          <w:p>
            <w:pPr/>
            <w:r>
              <w:t xml:space="preserve">Where data and code are stored; private repository; no passwords or keys committed</w:t>
            </w:r>
          </w:p>
        </w:tc>
        <w:tc>
          <w:tcPr>
            <w:tcW w:w="3120" w:type="dxa"/>
          </w:tcPr>
          <w:p>
            <w:pPr/>
            <w:r>
              <w:t xml:space="preserve">—</w:t>
            </w:r>
          </w:p>
        </w:tc>
      </w:tr>
      <w:tr>
        <w:tc>
          <w:tcPr>
            <w:tcW w:w="3120" w:type="dxa"/>
          </w:tcPr>
          <w:p>
            <w:pPr/>
            <w:r>
              <w:t xml:space="preserve">Regulatory context</w:t>
            </w:r>
          </w:p>
        </w:tc>
        <w:tc>
          <w:tcPr>
            <w:tcW w:w="3120" w:type="dxa"/>
          </w:tcPr>
          <w:p>
            <w:pPr/>
            <w:r>
              <w:t xml:space="preserve">DORA and the Central Bank of Ireland's operational resilience guidance explain why incident data matters in banking; the project is not a compliance tool</w:t>
            </w:r>
          </w:p>
        </w:tc>
        <w:tc>
          <w:tcPr>
            <w:tcW w:w="3120" w:type="dxa"/>
          </w:tcPr>
          <w:p>
            <w:pPr/>
            <w:hyperlink r:id="rId16" w:history="1">
              <w:r>
                <w:rPr>
                  <w:rStyle w:val="Hyperlink"/>
                </w:rPr>
                <w:t xml:space="preserve">Delegated Regulation (EU) 2024/1772</w:t>
              </w:r>
            </w:hyperlink>
            <w:r>
              <w:t xml:space="preserve">; </w:t>
            </w:r>
            <w:hyperlink r:id="rId17" w:history="1">
              <w:r>
                <w:rPr>
                  <w:rStyle w:val="Hyperlink"/>
                </w:rPr>
                <w:t xml:space="preserve">CBI guidance</w:t>
              </w:r>
            </w:hyperlink>
          </w:p>
        </w:tc>
      </w:tr>
      <w:tr>
        <w:tc>
          <w:tcPr>
            <w:tcW w:w="3120" w:type="dxa"/>
          </w:tcPr>
          <w:p>
            <w:pPr/>
            <w:r>
              <w:t xml:space="preserve">Use of AI</w:t>
            </w:r>
          </w:p>
        </w:tc>
        <w:tc>
          <w:tcPr>
            <w:tcW w:w="3120" w:type="dxa"/>
          </w:tcPr>
          <w:p>
            <w:pPr/>
            <w:r>
              <w:t xml:space="preserve">Declare tools and keep exact prompts and outputs, following the AI Fluency Framework (Delegation, Description, Discernment, Diligence)</w:t>
            </w:r>
          </w:p>
        </w:tc>
        <w:tc>
          <w:tcPr>
            <w:tcW w:w="3120" w:type="dxa"/>
          </w:tcPr>
          <w:p>
            <w:pPr/>
            <w:r>
              <w:t xml:space="preserve">CA1 brief</w:t>
            </w:r>
          </w:p>
        </w:tc>
      </w:tr>
    </w:tbl>
    <w:p>
      <w:pPr>
        <w:pStyle w:val="Heading2"/>
      </w:pPr>
      <w:r>
        <w:t xml:space="preserve">CA1 checklist</w:t>
      </w:r>
    </w:p>
    <w:p>
      <w:pPr/>
      <w:r>
        <w:t xml:space="preserve">The brief requires ten sections in about 1,500 words; the questions below are for you to answer in each one.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Section</w:t>
            </w:r>
          </w:p>
        </w:tc>
        <w:tc>
          <w:tcPr>
            <w:tcW w:w="3120" w:type="dxa"/>
            <w:shd w:val="clear" w:color="auto" w:fill="F2F2F2"/>
          </w:tcPr>
          <w:p>
            <w:pPr/>
            <w:r>
              <w:t xml:space="preserve">What the brief asks for</w:t>
            </w:r>
          </w:p>
        </w:tc>
        <w:tc>
          <w:tcPr>
            <w:tcW w:w="3120" w:type="dxa"/>
            <w:shd w:val="clear" w:color="auto" w:fill="F2F2F2"/>
          </w:tcPr>
          <w:p>
            <w:pPr/>
            <w:r>
              <w:t xml:space="preserve">Questions to answer</w:t>
            </w:r>
          </w:p>
        </w:tc>
      </w:tr>
      <w:tr>
        <w:tc>
          <w:tcPr>
            <w:tcW w:w="3120" w:type="dxa"/>
          </w:tcPr>
          <w:p>
            <w:pPr/>
            <w:r>
              <w:t xml:space="preserve">1. Project title</w:t>
            </w:r>
          </w:p>
        </w:tc>
        <w:tc>
          <w:tcPr>
            <w:tcW w:w="3120" w:type="dxa"/>
          </w:tcPr>
          <w:p>
            <w:pPr/>
            <w:r>
              <w:t xml:space="preserve">Clear title reflecting the problem</w:t>
            </w:r>
          </w:p>
        </w:tc>
        <w:tc>
          <w:tcPr>
            <w:tcW w:w="3120" w:type="dxa"/>
          </w:tcPr>
          <w:p>
            <w:pPr/>
            <w:r>
              <w:t xml:space="preserve">Does it name the problem, the method and the data?</w:t>
            </w:r>
          </w:p>
        </w:tc>
      </w:tr>
      <w:tr>
        <w:tc>
          <w:tcPr>
            <w:tcW w:w="3120" w:type="dxa"/>
          </w:tcPr>
          <w:p>
            <w:pPr/>
            <w:r>
              <w:t xml:space="preserve">2. Introduction</w:t>
            </w:r>
          </w:p>
        </w:tc>
        <w:tc>
          <w:tcPr>
            <w:tcW w:w="3120" w:type="dxa"/>
          </w:tcPr>
          <w:p>
            <w:pPr/>
            <w:r>
              <w:t xml:space="preserve">Context, relevance, significance</w:t>
            </w:r>
          </w:p>
        </w:tc>
        <w:tc>
          <w:tcPr>
            <w:tcW w:w="3120" w:type="dxa"/>
          </w:tcPr>
          <w:p>
            <w:pPr/>
            <w:r>
              <w:t xml:space="preserve">Why does this matter to a bank or regulated firm?</w:t>
            </w:r>
          </w:p>
        </w:tc>
      </w:tr>
      <w:tr>
        <w:tc>
          <w:tcPr>
            <w:tcW w:w="3120" w:type="dxa"/>
          </w:tcPr>
          <w:p>
            <w:pPr/>
            <w:r>
              <w:t xml:space="preserve">3. Problem definition</w:t>
            </w:r>
          </w:p>
        </w:tc>
        <w:tc>
          <w:tcPr>
            <w:tcW w:w="3120" w:type="dxa"/>
          </w:tcPr>
          <w:p>
            <w:pPr/>
            <w:r>
              <w:t xml:space="preserve">The problem, its impact, how analytics helps</w:t>
            </w:r>
          </w:p>
        </w:tc>
        <w:tc>
          <w:tcPr>
            <w:tcW w:w="3120" w:type="dxa"/>
          </w:tcPr>
          <w:p>
            <w:pPr/>
            <w:r>
              <w:t xml:space="preserve">What does late detection of SLA breaches cost?</w:t>
            </w:r>
          </w:p>
        </w:tc>
      </w:tr>
      <w:tr>
        <w:tc>
          <w:tcPr>
            <w:tcW w:w="3120" w:type="dxa"/>
          </w:tcPr>
          <w:p>
            <w:pPr/>
            <w:r>
              <w:t xml:space="preserve">4. Aim and objectives</w:t>
            </w:r>
          </w:p>
        </w:tc>
        <w:tc>
          <w:tcPr>
            <w:tcW w:w="3120" w:type="dxa"/>
          </w:tcPr>
          <w:p>
            <w:pPr/>
            <w:r>
              <w:t xml:space="preserve">Aim, 3–5 objectives, a hypothesis or business objective</w:t>
            </w:r>
          </w:p>
        </w:tc>
        <w:tc>
          <w:tcPr>
            <w:tcW w:w="3120" w:type="dxa"/>
          </w:tcPr>
          <w:p>
            <w:pPr/>
            <w:r>
              <w:t xml:space="preserve">What exactly will be tested, and by when?</w:t>
            </w:r>
          </w:p>
        </w:tc>
      </w:tr>
      <w:tr>
        <w:tc>
          <w:tcPr>
            <w:tcW w:w="3120" w:type="dxa"/>
          </w:tcPr>
          <w:p>
            <w:pPr/>
            <w:r>
              <w:t xml:space="preserve">5. Scope</w:t>
            </w:r>
          </w:p>
        </w:tc>
        <w:tc>
          <w:tcPr>
            <w:tcW w:w="3120" w:type="dxa"/>
          </w:tcPr>
          <w:p>
            <w:pPr/>
            <w:r>
              <w:t xml:space="preserve">Inclusions and exclusions; enough for two semesters</w:t>
            </w:r>
          </w:p>
        </w:tc>
        <w:tc>
          <w:tcPr>
            <w:tcW w:w="3120" w:type="dxa"/>
          </w:tcPr>
          <w:p>
            <w:pPr/>
            <w:r>
              <w:t xml:space="preserve">Which sub-problems are in, and which are future work?</w:t>
            </w:r>
          </w:p>
        </w:tc>
      </w:tr>
      <w:tr>
        <w:tc>
          <w:tcPr>
            <w:tcW w:w="3120" w:type="dxa"/>
          </w:tcPr>
          <w:p>
            <w:pPr/>
            <w:r>
              <w:t xml:space="preserve">6. Methodology</w:t>
            </w:r>
          </w:p>
        </w:tc>
        <w:tc>
          <w:tcPr>
            <w:tcW w:w="3120" w:type="dxa"/>
          </w:tcPr>
          <w:p>
            <w:pPr/>
            <w:r>
              <w:t xml:space="preserve">Methods, predictive techniques, tools, justification, architecture diagram</w:t>
            </w:r>
          </w:p>
        </w:tc>
        <w:tc>
          <w:tcPr>
            <w:tcW w:w="3120" w:type="dxa"/>
          </w:tcPr>
          <w:p>
            <w:pPr/>
            <w:r>
              <w:t xml:space="preserve">Why these techniques and tools rather than others?</w:t>
            </w:r>
          </w:p>
        </w:tc>
      </w:tr>
      <w:tr>
        <w:tc>
          <w:tcPr>
            <w:tcW w:w="3120" w:type="dxa"/>
          </w:tcPr>
          <w:p>
            <w:pPr/>
            <w:r>
              <w:t xml:space="preserve">7. Data sources</w:t>
            </w:r>
          </w:p>
        </w:tc>
        <w:tc>
          <w:tcPr>
            <w:tcW w:w="3120" w:type="dxa"/>
          </w:tcPr>
          <w:p>
            <w:pPr/>
            <w:r>
              <w:t xml:space="preserve">Type, amount, relevance, evidence of permission</w:t>
            </w:r>
          </w:p>
        </w:tc>
        <w:tc>
          <w:tcPr>
            <w:tcW w:w="3120" w:type="dxa"/>
          </w:tcPr>
          <w:p>
            <w:pPr/>
            <w:r>
              <w:t xml:space="preserve">Does the data meet the 20,000-record minimum after cleaning?</w:t>
            </w:r>
          </w:p>
        </w:tc>
      </w:tr>
      <w:tr>
        <w:tc>
          <w:tcPr>
            <w:tcW w:w="3120" w:type="dxa"/>
          </w:tcPr>
          <w:p>
            <w:pPr/>
            <w:r>
              <w:t xml:space="preserve">8. Expected deliverables</w:t>
            </w:r>
          </w:p>
        </w:tc>
        <w:tc>
          <w:tcPr>
            <w:tcW w:w="3120" w:type="dxa"/>
          </w:tcPr>
          <w:p>
            <w:pPr/>
            <w:r>
              <w:t xml:space="preserve">Outputs by the end of Semester 2</w:t>
            </w:r>
          </w:p>
        </w:tc>
        <w:tc>
          <w:tcPr>
            <w:tcW w:w="3120" w:type="dxa"/>
          </w:tcPr>
          <w:p>
            <w:pPr/>
            <w:r>
              <w:t xml:space="preserve">What will exist at the end: model, report, dashboard?</w:t>
            </w:r>
          </w:p>
        </w:tc>
      </w:tr>
      <w:tr>
        <w:tc>
          <w:tcPr>
            <w:tcW w:w="3120" w:type="dxa"/>
          </w:tcPr>
          <w:p>
            <w:pPr/>
            <w:r>
              <w:t xml:space="preserve">9. Project timeline</w:t>
            </w:r>
          </w:p>
        </w:tc>
        <w:tc>
          <w:tcPr>
            <w:tcW w:w="3120" w:type="dxa"/>
          </w:tcPr>
          <w:p>
            <w:pPr/>
            <w:r>
              <w:t xml:space="preserve">Gantt chart for both semesters, phases, milestones</w:t>
            </w:r>
          </w:p>
        </w:tc>
        <w:tc>
          <w:tcPr>
            <w:tcW w:w="3120" w:type="dxa"/>
          </w:tcPr>
          <w:p>
            <w:pPr/>
            <w:r>
              <w:t xml:space="preserve">Is the plan realistic around other modules?</w:t>
            </w:r>
          </w:p>
        </w:tc>
      </w:tr>
      <w:tr>
        <w:tc>
          <w:tcPr>
            <w:tcW w:w="3120" w:type="dxa"/>
          </w:tcPr>
          <w:p>
            <w:pPr/>
            <w:r>
              <w:t xml:space="preserve">10. Ethical and legal</w:t>
            </w:r>
          </w:p>
        </w:tc>
        <w:tc>
          <w:tcPr>
            <w:tcW w:w="3120" w:type="dxa"/>
          </w:tcPr>
          <w:p>
            <w:pPr/>
            <w:r>
              <w:t xml:space="preserve">Privacy, data protection, security, data use, permissions</w:t>
            </w:r>
          </w:p>
        </w:tc>
        <w:tc>
          <w:tcPr>
            <w:tcW w:w="3120" w:type="dxa"/>
          </w:tcPr>
          <w:p>
            <w:pPr/>
            <w:r>
              <w:t xml:space="preserve">What could go wrong with the data or the results?</w:t>
            </w:r>
          </w:p>
        </w:tc>
      </w:tr>
    </w:tbl>
    <w:p>
      <w:pPr/>
      <w:r>
        <w:rPr>
          <w:b/>
        </w:rPr>
        <w:t xml:space="preserve">Submission requirements:</w:t>
      </w:r>
    </w:p>
    <w:p>
      <w:pPr>
        <w:pStyle w:val="ListParagraph"/>
        <w:numPr>
          <w:ilvl w:val="0"/>
          <w:numId w:val="6"/>
        </w:numPr>
      </w:pPr>
      <w:r>
        <w:t xml:space="preserve">Word format only; about 1,500 words (up to 10% marks lost if too short or long)</w:t>
      </w:r>
    </w:p>
    <w:p>
      <w:pPr>
        <w:pStyle w:val="ListParagraph"/>
        <w:numPr>
          <w:ilvl w:val="0"/>
          <w:numId w:val="6"/>
        </w:numPr>
      </w:pPr>
      <w:r>
        <w:t xml:space="preserve">Harvard referencing; CCT cover page</w:t>
      </w:r>
    </w:p>
    <w:p>
      <w:pPr>
        <w:pStyle w:val="ListParagraph"/>
        <w:numPr>
          <w:ilvl w:val="0"/>
          <w:numId w:val="6"/>
        </w:numPr>
      </w:pPr>
      <w:r>
        <w:t xml:space="preserve">Signed ethics form as a separate PDF</w:t>
      </w:r>
    </w:p>
    <w:p>
      <w:pPr>
        <w:pStyle w:val="ListParagraph"/>
        <w:numPr>
          <w:ilvl w:val="0"/>
          <w:numId w:val="6"/>
        </w:numPr>
      </w:pPr>
      <w:r>
        <w:t xml:space="preserve">Separate Word document on AI use, with exact prompts and outputs</w:t>
      </w:r>
    </w:p>
    <w:p>
      <w:pPr>
        <w:pStyle w:val="ListParagraph"/>
        <w:numPr>
          <w:ilvl w:val="0"/>
          <w:numId w:val="6"/>
        </w:numPr>
      </w:pPr>
      <w:r>
        <w:t xml:space="preserve">GitHub repository shared with tahmed1986, linked on page 1</w:t>
      </w:r>
    </w:p>
    <w:p>
      <w:pPr>
        <w:pStyle w:val="ListParagraph"/>
        <w:numPr>
          <w:ilvl w:val="0"/>
          <w:numId w:val="6"/>
        </w:numPr>
      </w:pPr>
      <w:r>
        <w:t xml:space="preserve">Lecturer rules: at least 20,000 records; no Kaggle data</w:t>
      </w:r>
    </w:p>
    <w:p>
      <w:pPr/>
      <w:r>
        <w:t xml:space="preserve">Marking weights: proposal 40%, scope and methodology 40%, data and ethics 20%.</w:t>
      </w:r>
    </w:p>
    <w:p>
      <w:pPr>
        <w:pStyle w:val="Heading2"/>
      </w:pPr>
      <w:r>
        <w:t xml:space="preserve">Decisions for you to make</w:t>
      </w:r>
    </w:p>
    <w:p>
      <w:pPr/>
      <w:r>
        <w:t xml:space="preserve">Eight open decisions shape the proposal; the last two are questions for the lecturer.</w:t>
      </w:r>
    </w:p>
    <w:p>
      <w:pPr>
        <w:pStyle w:val="ListParagraph"/>
        <w:numPr>
          <w:ilvl w:val="0"/>
          <w:numId w:val="7"/>
        </w:numPr>
      </w:pPr>
      <w:r>
        <w:t xml:space="preserve">☐ Core predictive task: SLA breach, resolution time or reassignment?</w:t>
      </w:r>
    </w:p>
    <w:p>
      <w:pPr>
        <w:pStyle w:val="ListParagraph"/>
        <w:numPr>
          <w:ilvl w:val="0"/>
          <w:numId w:val="7"/>
        </w:numPr>
      </w:pPr>
      <w:r>
        <w:t xml:space="preserve">☐ Dataset: UCI alone, or BPIC 2014 as well (and if so, for what)?</w:t>
      </w:r>
    </w:p>
    <w:p>
      <w:pPr>
        <w:pStyle w:val="ListParagraph"/>
        <w:numPr>
          <w:ilvl w:val="0"/>
          <w:numId w:val="7"/>
        </w:numPr>
      </w:pPr>
      <w:r>
        <w:t xml:space="preserve">☐ Which of the seven sub-problems are in scope, and which become future work?</w:t>
      </w:r>
    </w:p>
    <w:p>
      <w:pPr>
        <w:pStyle w:val="ListParagraph"/>
        <w:numPr>
          <w:ilvl w:val="0"/>
          <w:numId w:val="7"/>
        </w:numPr>
      </w:pPr>
      <w:r>
        <w:t xml:space="preserve">☐ Text analysis: leave it out, cluster on structured fields, or use synthetic text?</w:t>
      </w:r>
    </w:p>
    <w:p>
      <w:pPr>
        <w:pStyle w:val="ListParagraph"/>
        <w:numPr>
          <w:ilvl w:val="0"/>
          <w:numId w:val="7"/>
        </w:numPr>
      </w:pPr>
      <w:r>
        <w:t xml:space="preserve">☐ Hypothesis wording, and the measures that will judge it</w:t>
      </w:r>
    </w:p>
    <w:p>
      <w:pPr>
        <w:pStyle w:val="ListParagraph"/>
        <w:numPr>
          <w:ilvl w:val="0"/>
          <w:numId w:val="7"/>
        </w:numPr>
      </w:pPr>
      <w:r>
        <w:t xml:space="preserve">☐ Which open-source and proprietary tools, and the reason for each</w:t>
      </w:r>
    </w:p>
    <w:p>
      <w:pPr>
        <w:pStyle w:val="ListParagraph"/>
        <w:numPr>
          <w:ilvl w:val="0"/>
          <w:numId w:val="7"/>
        </w:numPr>
      </w:pPr>
      <w:r>
        <w:t xml:space="preserve">☐ Ask the lecturer: does the 20,000-record minimum apply before or after cleaning?</w:t>
      </w:r>
    </w:p>
    <w:p>
      <w:pPr>
        <w:pStyle w:val="ListParagraph"/>
        <w:numPr>
          <w:ilvl w:val="0"/>
          <w:numId w:val="7"/>
        </w:numPr>
      </w:pPr>
      <w:r>
        <w:t xml:space="preserve">☐ Ask the lecturer: do diagrams, tables and references count toward the 1,500 words?</w:t>
      </w:r>
    </w:p>
    <w:p>
      <w:pPr>
        <w:pStyle w:val="Heading2"/>
      </w:pPr>
      <w:r>
        <w:t xml:space="preserve">Sources</w:t>
      </w:r>
    </w:p>
    <w:p>
      <w:pPr/>
      <w:r>
        <w:rPr>
          <w:b/>
        </w:rPr>
        <w:t xml:space="preserve">Datasets</w:t>
      </w:r>
    </w:p>
    <w:p>
      <w:pPr>
        <w:pStyle w:val="ListParagraph"/>
        <w:numPr>
          <w:ilvl w:val="0"/>
          <w:numId w:val="8"/>
        </w:numPr>
      </w:pPr>
      <w:hyperlink r:id="rId10" w:history="1">
        <w:r>
          <w:rPr>
            <w:rStyle w:val="Hyperlink"/>
          </w:rPr>
          <w:t xml:space="preserve">UCI Machine Learning Repository: Incident management process enriched event log</w:t>
        </w:r>
      </w:hyperlink>
    </w:p>
    <w:p>
      <w:pPr>
        <w:pStyle w:val="ListParagraph"/>
        <w:numPr>
          <w:ilvl w:val="0"/>
          <w:numId w:val="8"/>
        </w:numPr>
      </w:pPr>
      <w:hyperlink r:id="rId11" w:history="1">
        <w:r>
          <w:rPr>
            <w:rStyle w:val="Hyperlink"/>
          </w:rPr>
          <w:t xml:space="preserve">4TU.ResearchData: BPI Challenge 2014, incident details</w:t>
        </w:r>
      </w:hyperlink>
    </w:p>
    <w:p>
      <w:pPr>
        <w:pStyle w:val="ListParagraph"/>
        <w:numPr>
          <w:ilvl w:val="0"/>
          <w:numId w:val="8"/>
        </w:numPr>
      </w:pPr>
      <w:hyperlink r:id="rId18" w:history="1">
        <w:r>
          <w:rPr>
            <w:rStyle w:val="Hyperlink"/>
          </w:rPr>
          <w:t xml:space="preserve">4TU.ResearchData: BPI Challenge 2014, activity log for incidents</w:t>
        </w:r>
      </w:hyperlink>
    </w:p>
    <w:p>
      <w:pPr>
        <w:pStyle w:val="ListParagraph"/>
        <w:numPr>
          <w:ilvl w:val="0"/>
          <w:numId w:val="8"/>
        </w:numPr>
      </w:pPr>
      <w:hyperlink r:id="rId12" w:history="1">
        <w:r>
          <w:rPr>
            <w:rStyle w:val="Hyperlink"/>
          </w:rPr>
          <w:t xml:space="preserve">4TU.ResearchData: BPI Challenge 2014 (OCEL)</w:t>
        </w:r>
      </w:hyperlink>
    </w:p>
    <w:p>
      <w:pPr>
        <w:pStyle w:val="ListParagraph"/>
        <w:numPr>
          <w:ilvl w:val="0"/>
          <w:numId w:val="8"/>
        </w:numPr>
      </w:pPr>
      <w:hyperlink r:id="rId13" w:history="1">
        <w:r>
          <w:rPr>
            <w:rStyle w:val="Hyperlink"/>
          </w:rPr>
          <w:t xml:space="preserve">4TU.ResearchData: Event Graph of BPI Challenge 2014</w:t>
        </w:r>
      </w:hyperlink>
    </w:p>
    <w:p>
      <w:pPr>
        <w:pStyle w:val="ListParagraph"/>
        <w:numPr>
          <w:ilvl w:val="0"/>
          <w:numId w:val="8"/>
        </w:numPr>
      </w:pPr>
      <w:hyperlink r:id="rId14" w:history="1">
        <w:r>
          <w:rPr>
            <w:rStyle w:val="Hyperlink"/>
          </w:rPr>
          <w:t xml:space="preserve">4TU.ResearchData: BPI Challenge 2013</w:t>
        </w:r>
      </w:hyperlink>
    </w:p>
    <w:p>
      <w:pPr>
        <w:pStyle w:val="ListParagraph"/>
        <w:numPr>
          <w:ilvl w:val="0"/>
          <w:numId w:val="8"/>
        </w:numPr>
      </w:pPr>
      <w:hyperlink r:id="rId8" w:history="1">
        <w:r>
          <w:rPr>
            <w:rStyle w:val="Hyperlink"/>
          </w:rPr>
          <w:t xml:space="preserve">TU Eindhoven: BPI Challenge 2014 description</w:t>
        </w:r>
      </w:hyperlink>
    </w:p>
    <w:p>
      <w:pPr>
        <w:pStyle w:val="ListParagraph"/>
        <w:numPr>
          <w:ilvl w:val="0"/>
          <w:numId w:val="8"/>
        </w:numPr>
      </w:pPr>
      <w:hyperlink r:id="rId15" w:history="1">
        <w:r>
          <w:rPr>
            <w:rStyle w:val="Hyperlink"/>
          </w:rPr>
          <w:t xml:space="preserve">Hugging Face: help-desk tickets (synthetic)</w:t>
        </w:r>
      </w:hyperlink>
    </w:p>
    <w:p>
      <w:pPr/>
      <w:r>
        <w:rPr>
          <w:b/>
        </w:rPr>
        <w:t xml:space="preserve">Papers and case studies</w:t>
      </w:r>
    </w:p>
    <w:p>
      <w:pPr>
        <w:pStyle w:val="ListParagraph"/>
        <w:numPr>
          <w:ilvl w:val="0"/>
          <w:numId w:val="9"/>
        </w:numPr>
      </w:pPr>
      <w:hyperlink r:id="rId3" w:history="1">
        <w:r>
          <w:rPr>
            <w:rStyle w:val="Hyperlink"/>
          </w:rPr>
          <w:t xml:space="preserve">Kapel et al. (2024), ACM Digital Library</w:t>
        </w:r>
      </w:hyperlink>
    </w:p>
    <w:p>
      <w:pPr>
        <w:pStyle w:val="ListParagraph"/>
        <w:numPr>
          <w:ilvl w:val="0"/>
          <w:numId w:val="9"/>
        </w:numPr>
      </w:pPr>
      <w:hyperlink r:id="rId4" w:history="1">
        <w:r>
          <w:rPr>
            <w:rStyle w:val="Hyperlink"/>
          </w:rPr>
          <w:t xml:space="preserve">Kapel et al. (2026), arXiv</w:t>
        </w:r>
      </w:hyperlink>
    </w:p>
    <w:p>
      <w:pPr>
        <w:pStyle w:val="ListParagraph"/>
        <w:numPr>
          <w:ilvl w:val="0"/>
          <w:numId w:val="9"/>
        </w:numPr>
      </w:pPr>
      <w:hyperlink r:id="rId19" w:history="1">
        <w:r>
          <w:rPr>
            <w:rStyle w:val="Hyperlink"/>
          </w:rPr>
          <w:t xml:space="preserve">Dang, Lin and Huang (2019), Semantic Scholar</w:t>
        </w:r>
      </w:hyperlink>
    </w:p>
    <w:p>
      <w:pPr>
        <w:pStyle w:val="ListParagraph"/>
        <w:numPr>
          <w:ilvl w:val="0"/>
          <w:numId w:val="9"/>
        </w:numPr>
      </w:pPr>
      <w:hyperlink r:id="rId20" w:history="1">
        <w:r>
          <w:rPr>
            <w:rStyle w:val="Hyperlink"/>
          </w:rPr>
          <w:t xml:space="preserve">Notaro, Cardoso and Gerndt (2021), ACM Digital Library</w:t>
        </w:r>
      </w:hyperlink>
    </w:p>
    <w:p>
      <w:pPr>
        <w:pStyle w:val="ListParagraph"/>
        <w:numPr>
          <w:ilvl w:val="0"/>
          <w:numId w:val="9"/>
        </w:numPr>
      </w:pPr>
      <w:hyperlink r:id="rId21" w:history="1">
        <w:r>
          <w:rPr>
            <w:rStyle w:val="Hyperlink"/>
          </w:rPr>
          <w:t xml:space="preserve">Notaro, Cardoso and Gerndt (2020), Springer</w:t>
        </w:r>
      </w:hyperlink>
    </w:p>
    <w:p>
      <w:pPr>
        <w:pStyle w:val="ListParagraph"/>
        <w:numPr>
          <w:ilvl w:val="0"/>
          <w:numId w:val="9"/>
        </w:numPr>
      </w:pPr>
      <w:hyperlink r:id="rId5" w:history="1">
        <w:r>
          <w:rPr>
            <w:rStyle w:val="Hyperlink"/>
          </w:rPr>
          <w:t xml:space="preserve">Chen, Z. et al. (2020), ACM Digital Library</w:t>
        </w:r>
      </w:hyperlink>
    </w:p>
    <w:p>
      <w:pPr>
        <w:pStyle w:val="ListParagraph"/>
        <w:numPr>
          <w:ilvl w:val="0"/>
          <w:numId w:val="9"/>
        </w:numPr>
      </w:pPr>
      <w:hyperlink r:id="rId6" w:history="1">
        <w:r>
          <w:rPr>
            <w:rStyle w:val="Hyperlink"/>
          </w:rPr>
          <w:t xml:space="preserve">Chen, Y. et al. (2020), Microsoft Research</w:t>
        </w:r>
      </w:hyperlink>
    </w:p>
    <w:p>
      <w:pPr>
        <w:pStyle w:val="ListParagraph"/>
        <w:numPr>
          <w:ilvl w:val="0"/>
          <w:numId w:val="9"/>
        </w:numPr>
      </w:pPr>
      <w:hyperlink r:id="rId7" w:history="1">
        <w:r>
          <w:rPr>
            <w:rStyle w:val="Hyperlink"/>
          </w:rPr>
          <w:t xml:space="preserve">Gandalf, Microsoft Azure blog</w:t>
        </w:r>
      </w:hyperlink>
    </w:p>
    <w:p>
      <w:pPr>
        <w:pStyle w:val="ListParagraph"/>
        <w:numPr>
          <w:ilvl w:val="0"/>
          <w:numId w:val="9"/>
        </w:numPr>
      </w:pPr>
      <w:hyperlink r:id="rId22" w:history="1">
        <w:r>
          <w:rPr>
            <w:rStyle w:val="Hyperlink"/>
          </w:rPr>
          <w:t xml:space="preserve">Amaral, Fantinato and Peres (2018), FedCSIS</w:t>
        </w:r>
      </w:hyperlink>
    </w:p>
    <w:p>
      <w:pPr>
        <w:pStyle w:val="ListParagraph"/>
        <w:numPr>
          <w:ilvl w:val="0"/>
          <w:numId w:val="9"/>
        </w:numPr>
      </w:pPr>
      <w:hyperlink r:id="rId23" w:history="1">
        <w:r>
          <w:rPr>
            <w:rStyle w:val="Hyperlink"/>
          </w:rPr>
          <w:t xml:space="preserve">Schad, Sambasivan and Woodward (2022), ScienceDirect</w:t>
        </w:r>
      </w:hyperlink>
    </w:p>
    <w:p>
      <w:pPr>
        <w:pStyle w:val="ListParagraph"/>
        <w:numPr>
          <w:ilvl w:val="0"/>
          <w:numId w:val="9"/>
        </w:numPr>
      </w:pPr>
      <w:hyperlink r:id="rId24" w:history="1">
        <w:r>
          <w:rPr>
            <w:rStyle w:val="Hyperlink"/>
          </w:rPr>
          <w:t xml:space="preserve">Liu, Benge and Jiang (2023), ResearchGate</w:t>
        </w:r>
      </w:hyperlink>
    </w:p>
    <w:p>
      <w:pPr>
        <w:pStyle w:val="ListParagraph"/>
        <w:numPr>
          <w:ilvl w:val="0"/>
          <w:numId w:val="9"/>
        </w:numPr>
      </w:pPr>
      <w:hyperlink r:id="rId9" w:history="1">
        <w:r>
          <w:rPr>
            <w:rStyle w:val="Hyperlink"/>
          </w:rPr>
          <w:t xml:space="preserve">ServiceNow Community: Predictive Intelligence</w:t>
        </w:r>
      </w:hyperlink>
    </w:p>
    <w:p>
      <w:pPr/>
      <w:r>
        <w:rPr>
          <w:b/>
        </w:rPr>
        <w:t xml:space="preserve">Regulation</w:t>
      </w:r>
    </w:p>
    <w:p>
      <w:pPr>
        <w:pStyle w:val="ListParagraph"/>
        <w:numPr>
          <w:ilvl w:val="0"/>
          <w:numId w:val="10"/>
        </w:numPr>
      </w:pPr>
      <w:hyperlink r:id="rId16" w:history="1">
        <w:r>
          <w:rPr>
            <w:rStyle w:val="Hyperlink"/>
          </w:rPr>
          <w:t xml:space="preserve">EUR-Lex: Commission Delegated Regulation (EU) 2024/1772</w:t>
        </w:r>
      </w:hyperlink>
    </w:p>
    <w:p>
      <w:pPr>
        <w:pStyle w:val="ListParagraph"/>
        <w:numPr>
          <w:ilvl w:val="0"/>
          <w:numId w:val="10"/>
        </w:numPr>
      </w:pPr>
      <w:hyperlink r:id="rId17" w:history="1">
        <w:r>
          <w:rPr>
            <w:rStyle w:val="Hyperlink"/>
          </w:rPr>
          <w:t xml:space="preserve">Central Bank of Ireland: Cross-Industry Guidance on Operational Resilience</w:t>
        </w:r>
      </w:hyperlink>
    </w:p>
    <w:p>
      <w:pPr/>
      <w:r>
        <w:t xml:space="preserve">Cited from general knowledge, not opened during this research: Chapman et al. (2000) </w:t>
      </w:r>
      <w:r>
        <w:rPr>
          <w:i/>
        </w:rPr>
        <w:t xml:space="preserve">CRISP-DM 1.0</w:t>
      </w:r>
      <w:r>
        <w:t xml:space="preserve">; Fayyad, U., Piatetsky-Shapiro, G. and Smyth, P. (1996) 'From data mining to knowledge discovery in databases', </w:t>
      </w:r>
      <w:r>
        <w:rPr>
          <w:i/>
        </w:rPr>
        <w:t xml:space="preserve">AI Magazine</w:t>
      </w:r>
      <w:r>
        <w:t xml:space="preserve">, 17(3), pp. 37–54; Blei, Ng and Jordan (2003) on latent Dirichlet allocation.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l.acm.org/doi/10.1145/3643665.3648048" TargetMode="External"/><Relationship Id="rId4" Type="http://schemas.openxmlformats.org/officeDocument/2006/relationships/hyperlink" Target="https://arxiv.org/abs/2604.13462" TargetMode="External"/><Relationship Id="rId5" Type="http://schemas.openxmlformats.org/officeDocument/2006/relationships/hyperlink" Target="https://dl.acm.org/doi/10.1145/3368089.3417055" TargetMode="External"/><Relationship Id="rId6" Type="http://schemas.openxmlformats.org/officeDocument/2006/relationships/hyperlink" Target="https://www.microsoft.com/en-us/research/wp-content/uploads/2020/09/fse20main-p978-p-6ba9c67-submitted.pdf" TargetMode="External"/><Relationship Id="rId7" Type="http://schemas.openxmlformats.org/officeDocument/2006/relationships/hyperlink" Target="https://azure.microsoft.com/en-us/blog/advancing-safe-deployment-with-aiops-introducing-gandalf/" TargetMode="External"/><Relationship Id="rId8" Type="http://schemas.openxmlformats.org/officeDocument/2006/relationships/hyperlink" Target="https://ais.win.tue.nl/bpi/2014/challenge.html" TargetMode="External"/><Relationship Id="rId9" Type="http://schemas.openxmlformats.org/officeDocument/2006/relationships/hyperlink" Target="https://www.servicenow.com/community/intelligence-ml-articles/tuning-predictive-intelligence-models-part-3-improving/ta-p/2300642" TargetMode="External"/><Relationship Id="rId10" Type="http://schemas.openxmlformats.org/officeDocument/2006/relationships/hyperlink" Target="https://archive.ics.uci.edu/dataset/498/incident+management+process+enriched+event+log" TargetMode="External"/><Relationship Id="rId11" Type="http://schemas.openxmlformats.org/officeDocument/2006/relationships/hyperlink" Target="https://data.4tu.nl/articles/dataset/BPI_Challenge_2014_Incident_details/12692378/1" TargetMode="External"/><Relationship Id="rId12" Type="http://schemas.openxmlformats.org/officeDocument/2006/relationships/hyperlink" Target="https://data.4tu.nl/datasets/7d097cec-7304-4b85-9e78-a3ca1cc44c40" TargetMode="External"/><Relationship Id="rId13" Type="http://schemas.openxmlformats.org/officeDocument/2006/relationships/hyperlink" Target="https://data.4tu.nl/datasets/966dbc54-ea52-4c08-aac3-ffa6c2c558cd" TargetMode="External"/><Relationship Id="rId14" Type="http://schemas.openxmlformats.org/officeDocument/2006/relationships/hyperlink" Target="https://data.4tu.nl/collections/_/5065448/1" TargetMode="External"/><Relationship Id="rId15" Type="http://schemas.openxmlformats.org/officeDocument/2006/relationships/hyperlink" Target="https://huggingface.co/datasets/Harshdj18/help-desk-tickets" TargetMode="External"/><Relationship Id="rId16" Type="http://schemas.openxmlformats.org/officeDocument/2006/relationships/hyperlink" Target="https://eur-lex.europa.eu/eli/reg_del/2024/1772/oj/eng" TargetMode="External"/><Relationship Id="rId17" Type="http://schemas.openxmlformats.org/officeDocument/2006/relationships/hyperlink" Target="https://www.centralbank.ie/docs/default-source/publications/consultation-papers/cp140/cross-industry-guidance-on-operational-resilience.pdf" TargetMode="External"/><Relationship Id="rId18" Type="http://schemas.openxmlformats.org/officeDocument/2006/relationships/hyperlink" Target="https://data.4tu.nl/datasets/657fb1d6-b4c2-4adc-ba48-ed25bf313025" TargetMode="External"/><Relationship Id="rId19" Type="http://schemas.openxmlformats.org/officeDocument/2006/relationships/hyperlink" Target="https://www.semanticscholar.org/paper/AIOps:-Real-World-Challenges-and-Research-Dang-Lin/52978d8aa3a41ff985ef61e2d7c6d4026d66877a" TargetMode="External"/><Relationship Id="rId20" Type="http://schemas.openxmlformats.org/officeDocument/2006/relationships/hyperlink" Target="https://dl.acm.org/doi/10.1145/3483424" TargetMode="External"/><Relationship Id="rId21" Type="http://schemas.openxmlformats.org/officeDocument/2006/relationships/hyperlink" Target="https://link.springer.com/chapter/10.1007/978-3-030-76352-7_15" TargetMode="External"/><Relationship Id="rId22" Type="http://schemas.openxmlformats.org/officeDocument/2006/relationships/hyperlink" Target="https://annals-csis.org/Volume_15/drp/126.html" TargetMode="External"/><Relationship Id="rId23" Type="http://schemas.openxmlformats.org/officeDocument/2006/relationships/hyperlink" Target="https://www.sciencedirect.com/science/article/pii/S2666827021001195" TargetMode="External"/><Relationship Id="rId24" Type="http://schemas.openxmlformats.org/officeDocument/2006/relationships/hyperlink" Target="https://www.researchgate.net/publication/372075051_Ticket-BERT_Labeling_Incident_Management_Tickets_with_Language_Model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Research Pack Incident Prediction in IT Service Management Using Public Data</dc:title>
  <dc:description>Claude Docs node/29685f83-4dd9@14 docx-w6</dc:description>
  <cp:revision>14</cp:revision>
</cp:coreProperties>
</file>