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45F3C" w14:textId="77777777" w:rsidR="00534F3B" w:rsidRDefault="00534F3B"/>
    <w:p w14:paraId="676B49CC" w14:textId="77777777" w:rsidR="00C67357" w:rsidRDefault="00C67357" w:rsidP="00C67357">
      <w:r w:rsidRPr="00C67357">
        <w:rPr>
          <w:b/>
          <w:bCs/>
        </w:rPr>
        <w:t>Project Title</w:t>
      </w:r>
      <w:r>
        <w:t>:</w:t>
      </w:r>
    </w:p>
    <w:p w14:paraId="49D81689" w14:textId="7DCAC818" w:rsidR="00C67357" w:rsidRPr="00C67357" w:rsidRDefault="00C67357" w:rsidP="00C67357">
      <w:pPr>
        <w:pStyle w:val="Heading1"/>
      </w:pPr>
      <w:r w:rsidRPr="00C67357">
        <w:t xml:space="preserve"> </w:t>
      </w:r>
      <w:r w:rsidRPr="00C67357">
        <w:t>Predicting Dow Jones Industrial Average (DJIA) Volatility Using Geopolitical Risk Indicators and Machine Learning</w:t>
      </w:r>
    </w:p>
    <w:p w14:paraId="65FB9BF3" w14:textId="77777777" w:rsidR="00C67357" w:rsidRDefault="00C67357" w:rsidP="00C67357">
      <w:pPr>
        <w:rPr>
          <w:b/>
          <w:bCs/>
        </w:rPr>
      </w:pPr>
    </w:p>
    <w:p w14:paraId="22E3BC3B" w14:textId="77777777" w:rsidR="00C67357" w:rsidRDefault="00C67357" w:rsidP="00C67357">
      <w:pPr>
        <w:rPr>
          <w:b/>
          <w:bCs/>
        </w:rPr>
      </w:pPr>
      <w:r>
        <w:rPr>
          <w:b/>
          <w:bCs/>
        </w:rPr>
        <w:t xml:space="preserve">Introduction: </w:t>
      </w:r>
    </w:p>
    <w:p w14:paraId="317E5401" w14:textId="60EDEE81" w:rsidR="00C67357" w:rsidRPr="00C67357" w:rsidRDefault="00C67357" w:rsidP="00C67357">
      <w:pPr>
        <w:jc w:val="both"/>
        <w:rPr>
          <w:sz w:val="22"/>
          <w:szCs w:val="22"/>
        </w:rPr>
      </w:pPr>
      <w:r w:rsidRPr="00C67357">
        <w:rPr>
          <w:sz w:val="22"/>
          <w:szCs w:val="22"/>
        </w:rPr>
        <w:t>Financial markets operate in a geopolitical environment where diplomatic crises, economic sanctions, and armed conflicts increasingly shape investor sentiment and market volatility. The Dow Jones Industrial Average (DJIA), given its composition of industrial, financial, and energy firms, is particularly exposed to these dynamics.</w:t>
      </w:r>
    </w:p>
    <w:p w14:paraId="5BF75C01" w14:textId="369FFC6C" w:rsidR="00C67357" w:rsidRPr="00C67357" w:rsidRDefault="00C67357" w:rsidP="00C67357">
      <w:pPr>
        <w:jc w:val="both"/>
        <w:rPr>
          <w:sz w:val="22"/>
          <w:szCs w:val="22"/>
        </w:rPr>
      </w:pPr>
      <w:r w:rsidRPr="00C67357">
        <w:rPr>
          <w:sz w:val="22"/>
          <w:szCs w:val="22"/>
        </w:rPr>
        <w:t>Traditional volatility models such as GARCH rely almost exclusively on historical price data, treating geopolitical shocks as exogenous noise. However, the growing availability of quantifiable geopolitical risk measures creates an opportunity to test whether external risk factors improve predictive performance. </w:t>
      </w:r>
    </w:p>
    <w:p w14:paraId="3B918741" w14:textId="77777777" w:rsidR="00C67357" w:rsidRPr="00C67357" w:rsidRDefault="00C67357" w:rsidP="00C67357">
      <w:pPr>
        <w:jc w:val="both"/>
        <w:rPr>
          <w:sz w:val="22"/>
          <w:szCs w:val="22"/>
        </w:rPr>
      </w:pPr>
      <w:r w:rsidRPr="00C67357">
        <w:rPr>
          <w:sz w:val="22"/>
          <w:szCs w:val="22"/>
        </w:rPr>
        <w:t>The Geopolitical Risk Index (GPR), developed by Caldara and Iacoviello (2022), provides a systematic measure of geopolitical uncertainty, while event-based datasets such as GDELT and ACLED offer complementary information on conflict and geopolitical events. Despite this availability, limited evidence exists on whether such indicators add predictive value when combined with modern machine learning techniques.</w:t>
      </w:r>
    </w:p>
    <w:p w14:paraId="37FC383B" w14:textId="77777777" w:rsidR="00C67357" w:rsidRPr="00C67357" w:rsidRDefault="00C67357" w:rsidP="00C67357">
      <w:pPr>
        <w:jc w:val="both"/>
        <w:rPr>
          <w:sz w:val="22"/>
          <w:szCs w:val="22"/>
        </w:rPr>
      </w:pPr>
      <w:r w:rsidRPr="00C67357">
        <w:rPr>
          <w:sz w:val="22"/>
          <w:szCs w:val="22"/>
        </w:rPr>
        <w:t>This project proposes a machine learning approach to predict DJIA volatility using geopolitical risk indicators. The central research question is: Do geopolitical risk indicators improve the predictive accuracy of machine learning models for DJIA volatility compared to a baseline relying solely on historical price data? Specifically, the project aims to predict realized volatility of the DJIA over a five-day horizon using daily data from 2010 to 2024. </w:t>
      </w:r>
    </w:p>
    <w:p w14:paraId="45DF6E00" w14:textId="620611D0" w:rsidR="00C67357" w:rsidRDefault="00C67357" w:rsidP="00C67357">
      <w:pPr>
        <w:jc w:val="both"/>
        <w:rPr>
          <w:sz w:val="22"/>
          <w:szCs w:val="22"/>
        </w:rPr>
      </w:pPr>
    </w:p>
    <w:p w14:paraId="49DFAE17" w14:textId="77777777" w:rsidR="00C67357" w:rsidRPr="00C67357" w:rsidRDefault="00C67357" w:rsidP="00C67357">
      <w:pPr>
        <w:jc w:val="both"/>
        <w:rPr>
          <w:sz w:val="22"/>
          <w:szCs w:val="22"/>
        </w:rPr>
      </w:pPr>
    </w:p>
    <w:p w14:paraId="0821B197" w14:textId="01E55738" w:rsidR="00C67357" w:rsidRPr="00C67357" w:rsidRDefault="00C67357" w:rsidP="00C67357">
      <w:pPr>
        <w:jc w:val="both"/>
        <w:rPr>
          <w:sz w:val="22"/>
          <w:szCs w:val="22"/>
        </w:rPr>
      </w:pPr>
    </w:p>
    <w:sectPr w:rsidR="00C67357" w:rsidRPr="00C67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F3B"/>
    <w:rsid w:val="000A4BA1"/>
    <w:rsid w:val="00534F3B"/>
    <w:rsid w:val="00C673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FFA61"/>
  <w15:chartTrackingRefBased/>
  <w15:docId w15:val="{3477315E-FB12-479B-ABA5-E0D8FAD6A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F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F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F3B"/>
    <w:rPr>
      <w:rFonts w:eastAsiaTheme="majorEastAsia" w:cstheme="majorBidi"/>
      <w:color w:val="272727" w:themeColor="text1" w:themeTint="D8"/>
    </w:rPr>
  </w:style>
  <w:style w:type="paragraph" w:styleId="Title">
    <w:name w:val="Title"/>
    <w:basedOn w:val="Normal"/>
    <w:next w:val="Normal"/>
    <w:link w:val="TitleChar"/>
    <w:uiPriority w:val="10"/>
    <w:qFormat/>
    <w:rsid w:val="00534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F3B"/>
    <w:pPr>
      <w:spacing w:before="160"/>
      <w:jc w:val="center"/>
    </w:pPr>
    <w:rPr>
      <w:i/>
      <w:iCs/>
      <w:color w:val="404040" w:themeColor="text1" w:themeTint="BF"/>
    </w:rPr>
  </w:style>
  <w:style w:type="character" w:customStyle="1" w:styleId="QuoteChar">
    <w:name w:val="Quote Char"/>
    <w:basedOn w:val="DefaultParagraphFont"/>
    <w:link w:val="Quote"/>
    <w:uiPriority w:val="29"/>
    <w:rsid w:val="00534F3B"/>
    <w:rPr>
      <w:i/>
      <w:iCs/>
      <w:color w:val="404040" w:themeColor="text1" w:themeTint="BF"/>
    </w:rPr>
  </w:style>
  <w:style w:type="paragraph" w:styleId="ListParagraph">
    <w:name w:val="List Paragraph"/>
    <w:basedOn w:val="Normal"/>
    <w:uiPriority w:val="34"/>
    <w:qFormat/>
    <w:rsid w:val="00534F3B"/>
    <w:pPr>
      <w:ind w:left="720"/>
      <w:contextualSpacing/>
    </w:pPr>
  </w:style>
  <w:style w:type="character" w:styleId="IntenseEmphasis">
    <w:name w:val="Intense Emphasis"/>
    <w:basedOn w:val="DefaultParagraphFont"/>
    <w:uiPriority w:val="21"/>
    <w:qFormat/>
    <w:rsid w:val="00534F3B"/>
    <w:rPr>
      <w:i/>
      <w:iCs/>
      <w:color w:val="2F5496" w:themeColor="accent1" w:themeShade="BF"/>
    </w:rPr>
  </w:style>
  <w:style w:type="paragraph" w:styleId="IntenseQuote">
    <w:name w:val="Intense Quote"/>
    <w:basedOn w:val="Normal"/>
    <w:next w:val="Normal"/>
    <w:link w:val="IntenseQuoteChar"/>
    <w:uiPriority w:val="30"/>
    <w:qFormat/>
    <w:rsid w:val="00534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F3B"/>
    <w:rPr>
      <w:i/>
      <w:iCs/>
      <w:color w:val="2F5496" w:themeColor="accent1" w:themeShade="BF"/>
    </w:rPr>
  </w:style>
  <w:style w:type="character" w:styleId="IntenseReference">
    <w:name w:val="Intense Reference"/>
    <w:basedOn w:val="DefaultParagraphFont"/>
    <w:uiPriority w:val="32"/>
    <w:qFormat/>
    <w:rsid w:val="00534F3B"/>
    <w:rPr>
      <w:b/>
      <w:bCs/>
      <w:smallCaps/>
      <w:color w:val="2F5496" w:themeColor="accent1" w:themeShade="BF"/>
      <w:spacing w:val="5"/>
    </w:rPr>
  </w:style>
  <w:style w:type="paragraph" w:styleId="NormalWeb">
    <w:name w:val="Normal (Web)"/>
    <w:basedOn w:val="Normal"/>
    <w:uiPriority w:val="99"/>
    <w:semiHidden/>
    <w:unhideWhenUsed/>
    <w:rsid w:val="00C673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Rojas</dc:creator>
  <cp:keywords/>
  <dc:description/>
  <cp:lastModifiedBy>Benjamin Rojas</cp:lastModifiedBy>
  <cp:revision>2</cp:revision>
  <dcterms:created xsi:type="dcterms:W3CDTF">2026-10-09T14:46:00Z</dcterms:created>
  <dcterms:modified xsi:type="dcterms:W3CDTF">2026-10-09T14:51:00Z</dcterms:modified>
</cp:coreProperties>
</file>