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Valve Guide</w:t>
      </w:r>
    </w:p>
    <w:p>
      <w:pPr>
        <w:pStyle w:val="Heading1"/>
      </w:pPr>
      <w:r>
        <w:t>Valve data</w:t>
      </w:r>
    </w:p>
    <w:p>
      <w:r>
        <w:t>The fictional control valve 30-FV-301 regulates cooling water. Synthetic training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30-FV-301</w:t>
            </w:r>
          </w:p>
        </w:tc>
        <w:tc>
          <w:tcPr>
            <w:tcW w:type="dxa" w:w="2880"/>
          </w:tcPr>
          <w:p>
            <w:r>
              <w:t>Max flow</w:t>
            </w:r>
          </w:p>
        </w:tc>
        <w:tc>
          <w:tcPr>
            <w:tcW w:type="dxa" w:w="2880"/>
          </w:tcPr>
          <w:p>
            <w:r>
              <w:t>45 m3/h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