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52D" w:rsidRPr="00D93BC3" w:rsidRDefault="00D93BC3" w:rsidP="00D93BC3">
      <w:pPr>
        <w:pStyle w:val="Titolo"/>
        <w:jc w:val="both"/>
        <w:rPr>
          <w:lang w:val="it-IT"/>
        </w:rPr>
      </w:pPr>
      <w:r w:rsidRPr="00D93BC3">
        <w:rPr>
          <w:lang w:val="it-IT"/>
        </w:rPr>
        <w:t>SP – Architettura di massima</w:t>
      </w:r>
    </w:p>
    <w:p w:rsidR="00D93BC3" w:rsidRPr="00353E7D" w:rsidRDefault="00D93BC3" w:rsidP="00D93BC3">
      <w:pPr>
        <w:jc w:val="both"/>
        <w:rPr>
          <w:lang w:val="it-IT"/>
        </w:rPr>
      </w:pPr>
      <w:r w:rsidRPr="00353E7D">
        <w:rPr>
          <w:lang w:val="it-IT"/>
        </w:rPr>
        <w:t>Autore: Simone Ballarin</w:t>
      </w:r>
    </w:p>
    <w:p w:rsidR="00D93BC3" w:rsidRPr="00353E7D" w:rsidRDefault="00D93BC3" w:rsidP="00D93BC3">
      <w:pPr>
        <w:jc w:val="both"/>
        <w:rPr>
          <w:lang w:val="it-IT"/>
        </w:rPr>
      </w:pPr>
      <w:r>
        <w:rPr>
          <w:lang w:val="it-IT"/>
        </w:rPr>
        <w:t>Data: 25</w:t>
      </w:r>
      <w:r w:rsidRPr="00353E7D">
        <w:rPr>
          <w:lang w:val="it-IT"/>
        </w:rPr>
        <w:t>/06/18</w:t>
      </w:r>
    </w:p>
    <w:p w:rsidR="00D93BC3" w:rsidRPr="00353E7D" w:rsidRDefault="00D93BC3" w:rsidP="00D93BC3">
      <w:pPr>
        <w:jc w:val="both"/>
        <w:rPr>
          <w:lang w:val="it-IT"/>
        </w:rPr>
      </w:pPr>
      <w:r w:rsidRPr="00353E7D">
        <w:rPr>
          <w:lang w:val="it-IT"/>
        </w:rPr>
        <w:t>Destinatari: Athesys</w:t>
      </w:r>
    </w:p>
    <w:p w:rsidR="00D93BC3" w:rsidRPr="00553E3F" w:rsidRDefault="00D93BC3" w:rsidP="00D93BC3">
      <w:pPr>
        <w:pStyle w:val="Titolo1"/>
        <w:jc w:val="both"/>
        <w:rPr>
          <w:rStyle w:val="Enfasidelicata"/>
          <w:i w:val="0"/>
          <w:iCs w:val="0"/>
          <w:color w:val="2F5496" w:themeColor="accent1" w:themeShade="BF"/>
          <w:lang w:val="it-IT"/>
        </w:rPr>
      </w:pPr>
      <w:r w:rsidRPr="00553E3F">
        <w:rPr>
          <w:rStyle w:val="Enfasidelicata"/>
          <w:i w:val="0"/>
          <w:iCs w:val="0"/>
          <w:color w:val="2F5496" w:themeColor="accent1" w:themeShade="BF"/>
          <w:lang w:val="it-IT"/>
        </w:rPr>
        <w:t>Diario delle modifiche</w:t>
      </w:r>
    </w:p>
    <w:tbl>
      <w:tblPr>
        <w:tblW w:w="9645" w:type="dxa"/>
        <w:tblLayout w:type="fixed"/>
        <w:tblCellMar>
          <w:left w:w="10" w:type="dxa"/>
          <w:right w:w="10" w:type="dxa"/>
        </w:tblCellMar>
        <w:tblLook w:val="0000" w:firstRow="0" w:lastRow="0" w:firstColumn="0" w:lastColumn="0" w:noHBand="0" w:noVBand="0"/>
      </w:tblPr>
      <w:tblGrid>
        <w:gridCol w:w="1500"/>
        <w:gridCol w:w="6780"/>
        <w:gridCol w:w="1365"/>
      </w:tblGrid>
      <w:tr w:rsidR="00D93BC3" w:rsidTr="008A5C60">
        <w:tc>
          <w:tcPr>
            <w:tcW w:w="15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D93BC3" w:rsidRDefault="00D93BC3" w:rsidP="00D93BC3">
            <w:pPr>
              <w:pStyle w:val="TableContents"/>
              <w:jc w:val="both"/>
            </w:pPr>
            <w:r>
              <w:t>Data</w:t>
            </w:r>
          </w:p>
        </w:tc>
        <w:tc>
          <w:tcPr>
            <w:tcW w:w="678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D93BC3" w:rsidRDefault="00D93BC3" w:rsidP="00D93BC3">
            <w:pPr>
              <w:pStyle w:val="TableContents"/>
              <w:jc w:val="both"/>
            </w:pPr>
            <w:r w:rsidRPr="0049584F">
              <w:rPr>
                <w:lang w:val="it-IT"/>
              </w:rPr>
              <w:t>Descrizione</w:t>
            </w:r>
          </w:p>
        </w:tc>
        <w:tc>
          <w:tcPr>
            <w:tcW w:w="136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93BC3" w:rsidRDefault="00D93BC3" w:rsidP="00D93BC3">
            <w:pPr>
              <w:pStyle w:val="TableContents"/>
              <w:jc w:val="both"/>
            </w:pPr>
            <w:proofErr w:type="spellStart"/>
            <w:r>
              <w:t>Autore</w:t>
            </w:r>
            <w:proofErr w:type="spellEnd"/>
          </w:p>
        </w:tc>
      </w:tr>
      <w:tr w:rsidR="00D93BC3" w:rsidTr="008A5C60">
        <w:tc>
          <w:tcPr>
            <w:tcW w:w="1500" w:type="dxa"/>
            <w:tcBorders>
              <w:left w:val="single" w:sz="2" w:space="0" w:color="000000"/>
              <w:bottom w:val="single" w:sz="2" w:space="0" w:color="000000"/>
            </w:tcBorders>
            <w:shd w:val="clear" w:color="auto" w:fill="auto"/>
            <w:tcMar>
              <w:top w:w="55" w:type="dxa"/>
              <w:left w:w="55" w:type="dxa"/>
              <w:bottom w:w="55" w:type="dxa"/>
              <w:right w:w="55" w:type="dxa"/>
            </w:tcMar>
          </w:tcPr>
          <w:p w:rsidR="00D93BC3" w:rsidRDefault="00D93BC3" w:rsidP="00D93BC3">
            <w:pPr>
              <w:pStyle w:val="TableContents"/>
              <w:jc w:val="both"/>
            </w:pPr>
            <w:r>
              <w:t>25/06/2018</w:t>
            </w:r>
          </w:p>
        </w:tc>
        <w:tc>
          <w:tcPr>
            <w:tcW w:w="6780" w:type="dxa"/>
            <w:tcBorders>
              <w:left w:val="single" w:sz="2" w:space="0" w:color="000000"/>
              <w:bottom w:val="single" w:sz="2" w:space="0" w:color="000000"/>
            </w:tcBorders>
            <w:shd w:val="clear" w:color="auto" w:fill="auto"/>
            <w:tcMar>
              <w:top w:w="55" w:type="dxa"/>
              <w:left w:w="55" w:type="dxa"/>
              <w:bottom w:w="55" w:type="dxa"/>
              <w:right w:w="55" w:type="dxa"/>
            </w:tcMar>
          </w:tcPr>
          <w:p w:rsidR="00D93BC3" w:rsidRDefault="00D93BC3" w:rsidP="00D93BC3">
            <w:pPr>
              <w:pStyle w:val="TableContents"/>
              <w:jc w:val="both"/>
              <w:rPr>
                <w:lang w:val="it-IT"/>
              </w:rPr>
            </w:pPr>
            <w:r>
              <w:rPr>
                <w:lang w:val="it-IT"/>
              </w:rPr>
              <w:t>Creazione documento e stesura dei capitoli: Scopo del documento, Riferimenti, Descrizione</w:t>
            </w:r>
            <w:r>
              <w:rPr>
                <w:lang w:val="it-IT"/>
              </w:rPr>
              <w:t>.</w:t>
            </w:r>
          </w:p>
        </w:tc>
        <w:tc>
          <w:tcPr>
            <w:tcW w:w="13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93BC3" w:rsidRDefault="00D93BC3" w:rsidP="00D93BC3">
            <w:pPr>
              <w:pStyle w:val="TableContents"/>
              <w:jc w:val="both"/>
            </w:pPr>
            <w:r>
              <w:t>Simone Ballarin</w:t>
            </w:r>
          </w:p>
        </w:tc>
      </w:tr>
    </w:tbl>
    <w:p w:rsidR="00D93BC3" w:rsidRDefault="00D93BC3" w:rsidP="00D93BC3">
      <w:pPr>
        <w:pStyle w:val="Titolo1"/>
        <w:jc w:val="both"/>
        <w:rPr>
          <w:lang w:val="it-IT"/>
        </w:rPr>
      </w:pPr>
      <w:r>
        <w:rPr>
          <w:lang w:val="it-IT"/>
        </w:rPr>
        <w:t>Scopo del documento</w:t>
      </w:r>
    </w:p>
    <w:p w:rsidR="00D93BC3" w:rsidRDefault="00D93BC3" w:rsidP="00D93BC3">
      <w:pPr>
        <w:jc w:val="both"/>
        <w:rPr>
          <w:lang w:val="it-IT"/>
        </w:rPr>
      </w:pPr>
      <w:r>
        <w:rPr>
          <w:lang w:val="it-IT"/>
        </w:rPr>
        <w:t xml:space="preserve">Il seguente documento </w:t>
      </w:r>
      <w:r>
        <w:rPr>
          <w:i/>
          <w:lang w:val="it-IT"/>
        </w:rPr>
        <w:t xml:space="preserve">SP – Architettura di massima </w:t>
      </w:r>
      <w:r>
        <w:rPr>
          <w:lang w:val="it-IT"/>
        </w:rPr>
        <w:t>ha lo scopo di presentare e dimostrare una prima architettura di massima per il componente (IW) che dovrà funzionare nel contesto di un’estensione del prodotto MonoKee basato su blockchain.</w:t>
      </w:r>
    </w:p>
    <w:p w:rsidR="00D93BC3" w:rsidRDefault="00D93BC3" w:rsidP="00D93BC3">
      <w:pPr>
        <w:pStyle w:val="Titolo1"/>
        <w:jc w:val="both"/>
        <w:rPr>
          <w:lang w:val="it-IT"/>
        </w:rPr>
      </w:pPr>
      <w:r>
        <w:rPr>
          <w:lang w:val="it-IT"/>
        </w:rPr>
        <w:t>Sintesi del documento</w:t>
      </w:r>
    </w:p>
    <w:p w:rsidR="00D93BC3" w:rsidRDefault="00D93BC3" w:rsidP="00D93BC3">
      <w:pPr>
        <w:jc w:val="both"/>
        <w:rPr>
          <w:lang w:val="it-IT"/>
        </w:rPr>
      </w:pPr>
      <w:r>
        <w:rPr>
          <w:lang w:val="it-IT"/>
        </w:rPr>
        <w:t>Bla bla bla mi chiamo</w:t>
      </w:r>
    </w:p>
    <w:p w:rsidR="00D93BC3" w:rsidRDefault="00D93BC3" w:rsidP="00D93BC3">
      <w:pPr>
        <w:pStyle w:val="Titolo1"/>
        <w:jc w:val="both"/>
        <w:rPr>
          <w:lang w:val="it-IT"/>
        </w:rPr>
      </w:pPr>
      <w:r>
        <w:rPr>
          <w:lang w:val="it-IT"/>
        </w:rPr>
        <w:t>Riferimenti</w:t>
      </w:r>
    </w:p>
    <w:p w:rsidR="00D93BC3" w:rsidRDefault="00D93BC3" w:rsidP="00D93BC3">
      <w:pPr>
        <w:pStyle w:val="Paragrafoelenco"/>
        <w:numPr>
          <w:ilvl w:val="0"/>
          <w:numId w:val="1"/>
        </w:numPr>
        <w:jc w:val="both"/>
        <w:rPr>
          <w:lang w:val="it-IT"/>
        </w:rPr>
      </w:pPr>
      <w:r>
        <w:rPr>
          <w:lang w:val="it-IT"/>
        </w:rPr>
        <w:t>SP – Analisi requisiti;</w:t>
      </w:r>
    </w:p>
    <w:p w:rsidR="00D93BC3" w:rsidRDefault="00D93BC3" w:rsidP="00D93BC3">
      <w:pPr>
        <w:pStyle w:val="Paragrafoelenco"/>
        <w:numPr>
          <w:ilvl w:val="0"/>
          <w:numId w:val="1"/>
        </w:numPr>
        <w:jc w:val="both"/>
        <w:rPr>
          <w:lang w:val="it-IT"/>
        </w:rPr>
      </w:pPr>
      <w:r>
        <w:rPr>
          <w:lang w:val="it-IT"/>
        </w:rPr>
        <w:t>SP – Studio di fattibilità;</w:t>
      </w:r>
    </w:p>
    <w:p w:rsidR="00D93BC3" w:rsidRDefault="00D93BC3" w:rsidP="00D93BC3">
      <w:pPr>
        <w:pStyle w:val="Paragrafoelenco"/>
        <w:numPr>
          <w:ilvl w:val="0"/>
          <w:numId w:val="1"/>
        </w:numPr>
        <w:jc w:val="both"/>
        <w:rPr>
          <w:lang w:val="it-IT"/>
        </w:rPr>
      </w:pPr>
      <w:hyperlink r:id="rId7" w:history="1">
        <w:r w:rsidRPr="00AB73BC">
          <w:rPr>
            <w:rStyle w:val="Collegamentoipertestuale"/>
            <w:lang w:val="it-IT"/>
          </w:rPr>
          <w:t>www.math.unipd.it/~rcardin/sweb/2018/Software%20Architecture%20Patterns_4x4.pdf</w:t>
        </w:r>
      </w:hyperlink>
    </w:p>
    <w:p w:rsidR="00D93BC3" w:rsidRDefault="00D93BC3" w:rsidP="00D93BC3">
      <w:pPr>
        <w:pStyle w:val="Titolo1"/>
        <w:jc w:val="both"/>
        <w:rPr>
          <w:lang w:val="it-IT"/>
        </w:rPr>
      </w:pPr>
      <w:r>
        <w:rPr>
          <w:lang w:val="it-IT"/>
        </w:rPr>
        <w:t xml:space="preserve">Descrizione </w:t>
      </w:r>
    </w:p>
    <w:p w:rsidR="00D93BC3" w:rsidRDefault="00D93BC3" w:rsidP="00D93BC3">
      <w:pPr>
        <w:jc w:val="both"/>
        <w:rPr>
          <w:lang w:val="it-IT"/>
        </w:rPr>
      </w:pPr>
      <w:r>
        <w:rPr>
          <w:lang w:val="it-IT"/>
        </w:rPr>
        <w:t>Il progetto ha come scopo la creazione di un Identity Wallet (IW). L’applicativo si colloca nel contesto di un’estensione del servizio Monokee basato su blockchain. L’estensione offre un sistema di Identity Access Management (IAM) composto da quattro principali fattori:</w:t>
      </w:r>
    </w:p>
    <w:p w:rsidR="00D93BC3" w:rsidRDefault="00D93BC3" w:rsidP="00D93BC3">
      <w:pPr>
        <w:pStyle w:val="Paragrafoelenco"/>
        <w:numPr>
          <w:ilvl w:val="0"/>
          <w:numId w:val="2"/>
        </w:numPr>
        <w:jc w:val="both"/>
      </w:pPr>
      <w:r>
        <w:t>Identity Wallet (IW)</w:t>
      </w:r>
    </w:p>
    <w:p w:rsidR="00D93BC3" w:rsidRDefault="00D93BC3" w:rsidP="00D93BC3">
      <w:pPr>
        <w:pStyle w:val="Paragrafoelenco"/>
        <w:numPr>
          <w:ilvl w:val="0"/>
          <w:numId w:val="2"/>
        </w:numPr>
        <w:jc w:val="both"/>
      </w:pPr>
      <w:r>
        <w:t>Service Provider (SP)</w:t>
      </w:r>
    </w:p>
    <w:p w:rsidR="00D93BC3" w:rsidRDefault="00D93BC3" w:rsidP="00D93BC3">
      <w:pPr>
        <w:pStyle w:val="Paragrafoelenco"/>
        <w:numPr>
          <w:ilvl w:val="0"/>
          <w:numId w:val="2"/>
        </w:numPr>
        <w:jc w:val="both"/>
      </w:pPr>
      <w:r>
        <w:t>Identity Trust Fabric (ITF)</w:t>
      </w:r>
    </w:p>
    <w:p w:rsidR="00D93BC3" w:rsidRDefault="00D93BC3" w:rsidP="00D93BC3">
      <w:pPr>
        <w:pStyle w:val="Paragrafoelenco"/>
        <w:numPr>
          <w:ilvl w:val="0"/>
          <w:numId w:val="2"/>
        </w:numPr>
        <w:jc w:val="both"/>
      </w:pPr>
      <w:r>
        <w:t>Trusted Third Party (TTP)</w:t>
      </w:r>
    </w:p>
    <w:p w:rsidR="00D93BC3" w:rsidRDefault="00D93BC3" w:rsidP="00D93BC3">
      <w:pPr>
        <w:jc w:val="both"/>
        <w:rPr>
          <w:lang w:val="it-IT"/>
        </w:rPr>
      </w:pPr>
      <w:r>
        <w:rPr>
          <w:lang w:val="it-IT"/>
        </w:rPr>
        <w:t>In sintesi l’estensione dovrà operare al fine di fornire la possibilità ad un utente di registrare e gestire la propria identità autonomamente tramite l’IW, mandare i propri dati all’ITF, la quale custodirà la sua identità e farà da garante per le asserzioni proveniente dai TTP. Inoltre il SP dovrà essere in grado con le informazioni provenienti da IW e ITF di garantire o meno l’accesso ai propri servizi.</w:t>
      </w:r>
    </w:p>
    <w:p w:rsidR="00D93BC3" w:rsidRPr="005C401A" w:rsidRDefault="00D93BC3" w:rsidP="00D93BC3">
      <w:pPr>
        <w:jc w:val="both"/>
        <w:rPr>
          <w:lang w:val="it-IT"/>
        </w:rPr>
      </w:pPr>
      <w:r>
        <w:rPr>
          <w:lang w:val="it-IT"/>
        </w:rPr>
        <w:t>Il software SP, più dettagliatamente, dovrà assolvere ai seguenti compito:</w:t>
      </w:r>
    </w:p>
    <w:p w:rsidR="00D93BC3" w:rsidRDefault="00D93BC3" w:rsidP="00D93BC3">
      <w:pPr>
        <w:jc w:val="both"/>
        <w:rPr>
          <w:lang w:val="it-IT"/>
        </w:rPr>
      </w:pPr>
      <w:r>
        <w:rPr>
          <w:lang w:val="it-IT"/>
        </w:rPr>
        <w:t>nell’ambito della ricezione dei dati da un Identity Wallet (IW) deve:</w:t>
      </w:r>
    </w:p>
    <w:p w:rsidR="00D93BC3" w:rsidRPr="00454DBB" w:rsidRDefault="00D93BC3" w:rsidP="00D93BC3">
      <w:pPr>
        <w:pStyle w:val="Paragrafoelenco"/>
        <w:numPr>
          <w:ilvl w:val="0"/>
          <w:numId w:val="5"/>
        </w:numPr>
        <w:jc w:val="both"/>
        <w:rPr>
          <w:lang w:val="it-IT"/>
        </w:rPr>
      </w:pPr>
      <w:r w:rsidRPr="00454DBB">
        <w:rPr>
          <w:lang w:val="it-IT"/>
        </w:rPr>
        <w:lastRenderedPageBreak/>
        <w:t>ricevere da parte dell’IW la chiave pubblica (o l’hash di questa);</w:t>
      </w:r>
    </w:p>
    <w:p w:rsidR="00D93BC3" w:rsidRPr="00454DBB" w:rsidRDefault="00D93BC3" w:rsidP="00D93BC3">
      <w:pPr>
        <w:pStyle w:val="Paragrafoelenco"/>
        <w:numPr>
          <w:ilvl w:val="0"/>
          <w:numId w:val="5"/>
        </w:numPr>
        <w:jc w:val="both"/>
        <w:rPr>
          <w:lang w:val="it-IT"/>
        </w:rPr>
      </w:pPr>
      <w:r w:rsidRPr="00454DBB">
        <w:rPr>
          <w:lang w:val="it-IT"/>
        </w:rPr>
        <w:t>ricevere un riferimento alla locazione dell’hash della chiave pubblica all’interno dell’ITF;</w:t>
      </w:r>
    </w:p>
    <w:p w:rsidR="00D93BC3" w:rsidRPr="00454DBB" w:rsidRDefault="00D93BC3" w:rsidP="00D93BC3">
      <w:pPr>
        <w:pStyle w:val="Paragrafoelenco"/>
        <w:numPr>
          <w:ilvl w:val="0"/>
          <w:numId w:val="5"/>
        </w:numPr>
        <w:jc w:val="both"/>
        <w:rPr>
          <w:lang w:val="it-IT"/>
        </w:rPr>
      </w:pPr>
      <w:r w:rsidRPr="00454DBB">
        <w:rPr>
          <w:lang w:val="it-IT"/>
        </w:rPr>
        <w:t>ricevere altre informazioni necessarie da parte dell’IW con relativo riferimento all’interno dell’ITF;</w:t>
      </w:r>
    </w:p>
    <w:p w:rsidR="00D93BC3" w:rsidRPr="00454DBB" w:rsidRDefault="00D93BC3" w:rsidP="00D93BC3">
      <w:pPr>
        <w:pStyle w:val="Paragrafoelenco"/>
        <w:numPr>
          <w:ilvl w:val="0"/>
          <w:numId w:val="5"/>
        </w:numPr>
        <w:jc w:val="both"/>
        <w:rPr>
          <w:lang w:val="it-IT"/>
        </w:rPr>
      </w:pPr>
      <w:r w:rsidRPr="00454DBB">
        <w:rPr>
          <w:lang w:val="it-IT"/>
        </w:rPr>
        <w:t>gestire il trasferimento dei dati tramite codice QR.</w:t>
      </w:r>
    </w:p>
    <w:p w:rsidR="00D93BC3" w:rsidRDefault="00D93BC3" w:rsidP="00D93BC3">
      <w:pPr>
        <w:jc w:val="both"/>
        <w:rPr>
          <w:lang w:val="it-IT"/>
        </w:rPr>
      </w:pPr>
      <w:r>
        <w:rPr>
          <w:lang w:val="it-IT"/>
        </w:rPr>
        <w:t>Nell’ambito della verifica dei dati provenienti dall’IW deve:</w:t>
      </w:r>
    </w:p>
    <w:p w:rsidR="00D93BC3" w:rsidRDefault="00D93BC3" w:rsidP="00D93BC3">
      <w:pPr>
        <w:pStyle w:val="Paragrafoelenco"/>
        <w:numPr>
          <w:ilvl w:val="0"/>
          <w:numId w:val="3"/>
        </w:numPr>
        <w:jc w:val="both"/>
        <w:rPr>
          <w:lang w:val="it-IT"/>
        </w:rPr>
      </w:pPr>
      <w:r>
        <w:rPr>
          <w:lang w:val="it-IT"/>
        </w:rPr>
        <w:t>usare la chiave pubblica dell’IW e il riferimento per verificare l’identità e le varie altre informazione passate dall’Identity Wallet;</w:t>
      </w:r>
    </w:p>
    <w:p w:rsidR="00D93BC3" w:rsidRDefault="00D93BC3" w:rsidP="00D93BC3">
      <w:pPr>
        <w:pStyle w:val="Paragrafoelenco"/>
        <w:numPr>
          <w:ilvl w:val="0"/>
          <w:numId w:val="3"/>
        </w:numPr>
        <w:jc w:val="both"/>
        <w:rPr>
          <w:lang w:val="it-IT"/>
        </w:rPr>
      </w:pPr>
      <w:r>
        <w:rPr>
          <w:lang w:val="it-IT"/>
        </w:rPr>
        <w:t>generare e comparare gli hash dei valori ottenuti con quelli presenti nell’ITF;</w:t>
      </w:r>
    </w:p>
    <w:p w:rsidR="00D93BC3" w:rsidRPr="000707C3" w:rsidRDefault="00D93BC3" w:rsidP="00D93BC3">
      <w:pPr>
        <w:pStyle w:val="Paragrafoelenco"/>
        <w:numPr>
          <w:ilvl w:val="0"/>
          <w:numId w:val="3"/>
        </w:numPr>
        <w:jc w:val="both"/>
        <w:rPr>
          <w:lang w:val="it-IT"/>
        </w:rPr>
      </w:pPr>
      <w:r>
        <w:rPr>
          <w:lang w:val="it-IT"/>
        </w:rPr>
        <w:t>verificare che l’identità e le altre informazioni ottenute siamo sufficienti a garantire l’accesso al servizio.</w:t>
      </w:r>
    </w:p>
    <w:p w:rsidR="00D93BC3" w:rsidRDefault="00D93BC3" w:rsidP="00D93BC3">
      <w:pPr>
        <w:jc w:val="both"/>
        <w:rPr>
          <w:lang w:val="it-IT"/>
        </w:rPr>
      </w:pPr>
      <w:r>
        <w:rPr>
          <w:lang w:val="it-IT"/>
        </w:rPr>
        <w:t>Nell’ambito dell’accesso il SP deve:</w:t>
      </w:r>
    </w:p>
    <w:p w:rsidR="00D93BC3" w:rsidRDefault="00D93BC3" w:rsidP="00D93BC3">
      <w:pPr>
        <w:pStyle w:val="Paragrafoelenco"/>
        <w:numPr>
          <w:ilvl w:val="0"/>
          <w:numId w:val="4"/>
        </w:numPr>
        <w:jc w:val="both"/>
        <w:rPr>
          <w:lang w:val="it-IT"/>
        </w:rPr>
      </w:pPr>
      <w:r>
        <w:rPr>
          <w:lang w:val="it-IT"/>
        </w:rPr>
        <w:t>a seguito della verifica comunica il risultato all’organizzazione che fornisce il servizio, in modo tale da garantire l’accesso all’utente dell’IW.</w:t>
      </w:r>
    </w:p>
    <w:p w:rsidR="00D93BC3" w:rsidRPr="00D93BC3" w:rsidRDefault="00D93BC3" w:rsidP="00D93BC3">
      <w:pPr>
        <w:jc w:val="both"/>
        <w:rPr>
          <w:lang w:val="it-IT"/>
        </w:rPr>
      </w:pPr>
      <w:r w:rsidRPr="00D93BC3">
        <w:rPr>
          <w:lang w:val="it-IT"/>
        </w:rPr>
        <w:t>Si intende</w:t>
      </w:r>
      <w:r>
        <w:rPr>
          <w:lang w:val="it-IT"/>
        </w:rPr>
        <w:t>, quindi,</w:t>
      </w:r>
      <w:r w:rsidRPr="00D93BC3">
        <w:rPr>
          <w:lang w:val="it-IT"/>
        </w:rPr>
        <w:t xml:space="preserve"> sviluppare il componente Service come un’applicazione server che opera in collaborazione con l’ITF al fine di la veridicità dei dati provenienti dall’IW e quindi garantire o meno l’accesso al servizio. Questa connessione deve avvenire tramite il protocollo JSON-RFC descritto nello Yellow </w:t>
      </w:r>
      <w:proofErr w:type="spellStart"/>
      <w:r w:rsidRPr="00D93BC3">
        <w:rPr>
          <w:lang w:val="it-IT"/>
        </w:rPr>
        <w:t>Paper</w:t>
      </w:r>
      <w:proofErr w:type="spellEnd"/>
      <w:r w:rsidRPr="00D93BC3">
        <w:rPr>
          <w:lang w:val="it-IT"/>
        </w:rPr>
        <w:t>. Questi dati vengono presentati sotto forma di codice QR. L’applicazione deve inoltre avere un’interfaccia web accessibile tramite Internet dalla quale il personale del fornitore può configurare il servizio. Si fa notare come con SP non si intenda il servizio o il fornitore dei servizi, ma semplicemente il componente MonoKee che ha lo scopo di interfacciarsi con questi.</w:t>
      </w:r>
    </w:p>
    <w:p w:rsidR="00D93BC3" w:rsidRDefault="00D93BC3" w:rsidP="00D93BC3">
      <w:pPr>
        <w:pStyle w:val="Titolo1"/>
        <w:rPr>
          <w:lang w:val="it-IT"/>
        </w:rPr>
      </w:pPr>
      <w:r>
        <w:rPr>
          <w:lang w:val="it-IT"/>
        </w:rPr>
        <w:t>Architettura di massima</w:t>
      </w:r>
    </w:p>
    <w:p w:rsidR="00302B75" w:rsidRDefault="00D93BC3" w:rsidP="00D93BC3">
      <w:pPr>
        <w:rPr>
          <w:lang w:val="it-IT"/>
        </w:rPr>
      </w:pPr>
      <w:r>
        <w:rPr>
          <w:lang w:val="it-IT"/>
        </w:rPr>
        <w:t>Il componente Service Provider è sviluppato come applicaz</w:t>
      </w:r>
      <w:r w:rsidR="00302B75">
        <w:rPr>
          <w:lang w:val="it-IT"/>
        </w:rPr>
        <w:t xml:space="preserve">ione server, questo implica un possibile accesso al servizio multiplo da parte di vari Real Service Provider (RSP) che ci inoltrano le loro richieste di accesso. L’applicativo fa uso di diverse fonti per </w:t>
      </w:r>
      <w:r w:rsidR="00E1153A">
        <w:rPr>
          <w:lang w:val="it-IT"/>
        </w:rPr>
        <w:t>espletare le proprie funzioni</w:t>
      </w:r>
      <w:r w:rsidR="00302B75">
        <w:rPr>
          <w:lang w:val="it-IT"/>
        </w:rPr>
        <w:t>. Più dettagliatamente queste sono: Monokee</w:t>
      </w:r>
      <w:r w:rsidR="00E1153A">
        <w:rPr>
          <w:lang w:val="it-IT"/>
        </w:rPr>
        <w:t>, RSP</w:t>
      </w:r>
      <w:r w:rsidR="00302B75">
        <w:rPr>
          <w:lang w:val="it-IT"/>
        </w:rPr>
        <w:t xml:space="preserve"> e ITF. Da questo primo studio architetturale non sembrerebbe necessario l’uso di una base di dati locale.  Considerato quanto appena detto si è ritenuta particolarmente adatta un’architettura </w:t>
      </w:r>
      <w:proofErr w:type="spellStart"/>
      <w:r w:rsidR="00302B75">
        <w:rPr>
          <w:lang w:val="it-IT"/>
        </w:rPr>
        <w:t>Event</w:t>
      </w:r>
      <w:proofErr w:type="spellEnd"/>
      <w:r w:rsidR="00302B75">
        <w:rPr>
          <w:lang w:val="it-IT"/>
        </w:rPr>
        <w:t xml:space="preserve"> </w:t>
      </w:r>
      <w:proofErr w:type="spellStart"/>
      <w:r w:rsidR="00302B75">
        <w:rPr>
          <w:lang w:val="it-IT"/>
        </w:rPr>
        <w:t>Driven</w:t>
      </w:r>
      <w:proofErr w:type="spellEnd"/>
      <w:r w:rsidR="00302B75">
        <w:rPr>
          <w:lang w:val="it-IT"/>
        </w:rPr>
        <w:t xml:space="preserve"> basata sull’utilizzo di code. Per la comunicazione con il RSP</w:t>
      </w:r>
      <w:r w:rsidR="00E1153A">
        <w:rPr>
          <w:lang w:val="it-IT"/>
        </w:rPr>
        <w:t xml:space="preserve"> e con Monokee</w:t>
      </w:r>
      <w:r w:rsidR="00302B75">
        <w:rPr>
          <w:lang w:val="it-IT"/>
        </w:rPr>
        <w:t xml:space="preserve"> si è deciso di utilizzare un approccio basato sulle API </w:t>
      </w:r>
      <w:proofErr w:type="spellStart"/>
      <w:r w:rsidR="00302B75">
        <w:rPr>
          <w:lang w:val="it-IT"/>
        </w:rPr>
        <w:t>RESTful</w:t>
      </w:r>
      <w:proofErr w:type="spellEnd"/>
      <w:r w:rsidR="00302B75">
        <w:rPr>
          <w:lang w:val="it-IT"/>
        </w:rPr>
        <w:t>. Invece per la comunicazione verso l’ITF si è deciso di utilizzare un client Ethereum.</w:t>
      </w:r>
    </w:p>
    <w:p w:rsidR="009D117A" w:rsidRDefault="009D117A" w:rsidP="009D117A">
      <w:pPr>
        <w:pStyle w:val="Titolo1"/>
        <w:rPr>
          <w:lang w:val="it-IT"/>
        </w:rPr>
      </w:pPr>
      <w:r>
        <w:rPr>
          <w:lang w:val="it-IT"/>
        </w:rPr>
        <w:t xml:space="preserve">Architettura </w:t>
      </w:r>
      <w:proofErr w:type="spellStart"/>
      <w:r>
        <w:rPr>
          <w:lang w:val="it-IT"/>
        </w:rPr>
        <w:t>Event</w:t>
      </w:r>
      <w:proofErr w:type="spellEnd"/>
      <w:r>
        <w:rPr>
          <w:lang w:val="it-IT"/>
        </w:rPr>
        <w:t xml:space="preserve"> </w:t>
      </w:r>
      <w:proofErr w:type="spellStart"/>
      <w:r>
        <w:rPr>
          <w:lang w:val="it-IT"/>
        </w:rPr>
        <w:t>Driven</w:t>
      </w:r>
      <w:proofErr w:type="spellEnd"/>
    </w:p>
    <w:p w:rsidR="009D117A" w:rsidRDefault="009D117A" w:rsidP="009D117A">
      <w:pPr>
        <w:rPr>
          <w:lang w:val="it-IT"/>
        </w:rPr>
      </w:pPr>
      <w:r>
        <w:rPr>
          <w:lang w:val="it-IT"/>
        </w:rPr>
        <w:t>Questo tipologia di architettura rappresenta uno dei principali esempi di pattern architettura asincrono. Produce applicati altamente scalabili e facilmente adattabili ad ogni carico di utilizza. Se applicata bene fornisce la possibilità di avere eventi con un singolo scopo (Single</w:t>
      </w:r>
      <w:r w:rsidRPr="009D117A">
        <w:rPr>
          <w:lang w:val="en-AU"/>
        </w:rPr>
        <w:t xml:space="preserve"> Responsibility Principle</w:t>
      </w:r>
      <w:r>
        <w:rPr>
          <w:lang w:val="it-IT"/>
        </w:rPr>
        <w:t>) con un basso livello di accoppiamento. Questo è reso possibile dalla gestione asincrona di questi eventi.</w:t>
      </w:r>
    </w:p>
    <w:p w:rsidR="009D117A" w:rsidRDefault="009D117A" w:rsidP="009D117A">
      <w:pPr>
        <w:rPr>
          <w:lang w:val="it-IT"/>
        </w:rPr>
      </w:pPr>
      <w:r>
        <w:rPr>
          <w:lang w:val="it-IT"/>
        </w:rPr>
        <w:t>Ci sono due possibili approcci a questa architettura:</w:t>
      </w:r>
    </w:p>
    <w:p w:rsidR="009D117A" w:rsidRDefault="009D117A" w:rsidP="009D117A">
      <w:pPr>
        <w:pStyle w:val="Paragrafoelenco"/>
        <w:numPr>
          <w:ilvl w:val="0"/>
          <w:numId w:val="4"/>
        </w:numPr>
        <w:rPr>
          <w:lang w:val="it-IT"/>
        </w:rPr>
      </w:pPr>
      <w:r>
        <w:rPr>
          <w:lang w:val="it-IT"/>
        </w:rPr>
        <w:t xml:space="preserve">Mediator </w:t>
      </w:r>
      <w:proofErr w:type="spellStart"/>
      <w:r>
        <w:rPr>
          <w:lang w:val="it-IT"/>
        </w:rPr>
        <w:t>topology</w:t>
      </w:r>
      <w:proofErr w:type="spellEnd"/>
      <w:r>
        <w:rPr>
          <w:lang w:val="it-IT"/>
        </w:rPr>
        <w:t>;</w:t>
      </w:r>
    </w:p>
    <w:p w:rsidR="009D117A" w:rsidRDefault="009D117A" w:rsidP="009D117A">
      <w:pPr>
        <w:pStyle w:val="Paragrafoelenco"/>
        <w:numPr>
          <w:ilvl w:val="0"/>
          <w:numId w:val="4"/>
        </w:numPr>
        <w:rPr>
          <w:lang w:val="it-IT"/>
        </w:rPr>
      </w:pPr>
      <w:r>
        <w:rPr>
          <w:lang w:val="it-IT"/>
        </w:rPr>
        <w:t xml:space="preserve">Broker </w:t>
      </w:r>
      <w:proofErr w:type="spellStart"/>
      <w:r>
        <w:rPr>
          <w:lang w:val="it-IT"/>
        </w:rPr>
        <w:t>topology</w:t>
      </w:r>
      <w:proofErr w:type="spellEnd"/>
      <w:r>
        <w:rPr>
          <w:lang w:val="it-IT"/>
        </w:rPr>
        <w:t>.</w:t>
      </w:r>
    </w:p>
    <w:p w:rsidR="009D117A" w:rsidRDefault="009D117A" w:rsidP="009D117A">
      <w:pPr>
        <w:pStyle w:val="Titolo2"/>
        <w:rPr>
          <w:lang w:val="it-IT"/>
        </w:rPr>
      </w:pPr>
      <w:r>
        <w:rPr>
          <w:lang w:val="it-IT"/>
        </w:rPr>
        <w:lastRenderedPageBreak/>
        <w:t xml:space="preserve">Mediator </w:t>
      </w:r>
      <w:proofErr w:type="spellStart"/>
      <w:r>
        <w:rPr>
          <w:lang w:val="it-IT"/>
        </w:rPr>
        <w:t>topology</w:t>
      </w:r>
      <w:proofErr w:type="spellEnd"/>
    </w:p>
    <w:p w:rsidR="009D117A" w:rsidRDefault="009D117A" w:rsidP="009D117A">
      <w:pPr>
        <w:rPr>
          <w:lang w:val="it-IT"/>
        </w:rPr>
      </w:pPr>
      <w:r>
        <w:rPr>
          <w:lang w:val="it-IT"/>
        </w:rPr>
        <w:t xml:space="preserve">Un evento generalmente possiede una serie di passi </w:t>
      </w:r>
      <w:r w:rsidR="0035345E">
        <w:rPr>
          <w:lang w:val="it-IT"/>
        </w:rPr>
        <w:t>ordinati per essere eseguito. In questa approccio ci sono quattro componenti che interagiscono fra loro:</w:t>
      </w:r>
    </w:p>
    <w:p w:rsidR="0035345E" w:rsidRDefault="0035345E" w:rsidP="0035345E">
      <w:pPr>
        <w:pStyle w:val="Paragrafoelenco"/>
        <w:numPr>
          <w:ilvl w:val="0"/>
          <w:numId w:val="6"/>
        </w:numPr>
        <w:rPr>
          <w:lang w:val="it-IT"/>
        </w:rPr>
      </w:pPr>
      <w:r>
        <w:rPr>
          <w:lang w:val="it-IT"/>
        </w:rPr>
        <w:t>una o più code di eventi;</w:t>
      </w:r>
    </w:p>
    <w:p w:rsidR="0035345E" w:rsidRDefault="0035345E" w:rsidP="0035345E">
      <w:pPr>
        <w:pStyle w:val="Paragrafoelenco"/>
        <w:numPr>
          <w:ilvl w:val="0"/>
          <w:numId w:val="6"/>
        </w:numPr>
        <w:rPr>
          <w:lang w:val="it-IT"/>
        </w:rPr>
      </w:pPr>
      <w:r>
        <w:rPr>
          <w:lang w:val="it-IT"/>
        </w:rPr>
        <w:t>un mediatore di eventi;</w:t>
      </w:r>
    </w:p>
    <w:p w:rsidR="0035345E" w:rsidRDefault="0035345E" w:rsidP="0035345E">
      <w:pPr>
        <w:pStyle w:val="Paragrafoelenco"/>
        <w:numPr>
          <w:ilvl w:val="0"/>
          <w:numId w:val="6"/>
        </w:numPr>
        <w:rPr>
          <w:lang w:val="it-IT"/>
        </w:rPr>
      </w:pPr>
      <w:r>
        <w:rPr>
          <w:lang w:val="it-IT"/>
        </w:rPr>
        <w:t>uno o più esecutori di eventi;</w:t>
      </w:r>
    </w:p>
    <w:p w:rsidR="0035345E" w:rsidRDefault="0035345E" w:rsidP="0035345E">
      <w:pPr>
        <w:pStyle w:val="Paragrafoelenco"/>
        <w:numPr>
          <w:ilvl w:val="0"/>
          <w:numId w:val="6"/>
        </w:numPr>
        <w:rPr>
          <w:lang w:val="it-IT"/>
        </w:rPr>
      </w:pPr>
      <w:r>
        <w:rPr>
          <w:lang w:val="it-IT"/>
        </w:rPr>
        <w:t>dei canali di eventi.</w:t>
      </w:r>
    </w:p>
    <w:p w:rsidR="0035345E" w:rsidRDefault="0035345E" w:rsidP="0035345E">
      <w:pPr>
        <w:rPr>
          <w:lang w:val="it-IT"/>
        </w:rPr>
      </w:pPr>
      <w:r>
        <w:rPr>
          <w:lang w:val="it-IT"/>
        </w:rPr>
        <w:t>Gli eventi possono essere di due tipi:</w:t>
      </w:r>
    </w:p>
    <w:p w:rsidR="0035345E" w:rsidRDefault="0035345E" w:rsidP="0035345E">
      <w:pPr>
        <w:pStyle w:val="Paragrafoelenco"/>
        <w:numPr>
          <w:ilvl w:val="0"/>
          <w:numId w:val="7"/>
        </w:numPr>
        <w:rPr>
          <w:lang w:val="it-IT"/>
        </w:rPr>
      </w:pPr>
      <w:r>
        <w:rPr>
          <w:lang w:val="it-IT"/>
        </w:rPr>
        <w:t>eventi iniziali;</w:t>
      </w:r>
    </w:p>
    <w:p w:rsidR="0035345E" w:rsidRDefault="0035345E" w:rsidP="0035345E">
      <w:pPr>
        <w:pStyle w:val="Paragrafoelenco"/>
        <w:numPr>
          <w:ilvl w:val="0"/>
          <w:numId w:val="7"/>
        </w:numPr>
        <w:rPr>
          <w:lang w:val="it-IT"/>
        </w:rPr>
      </w:pPr>
      <w:r>
        <w:rPr>
          <w:lang w:val="it-IT"/>
        </w:rPr>
        <w:t>eventi di processamento.</w:t>
      </w:r>
    </w:p>
    <w:p w:rsidR="0035345E" w:rsidRDefault="0035345E" w:rsidP="0035345E">
      <w:pPr>
        <w:rPr>
          <w:lang w:val="it-IT"/>
        </w:rPr>
      </w:pPr>
      <w:r>
        <w:rPr>
          <w:lang w:val="it-IT"/>
        </w:rPr>
        <w:t xml:space="preserve">Di seguito si riporta una generica architettura </w:t>
      </w:r>
      <w:proofErr w:type="spellStart"/>
      <w:r>
        <w:rPr>
          <w:lang w:val="it-IT"/>
        </w:rPr>
        <w:t>Event</w:t>
      </w:r>
      <w:proofErr w:type="spellEnd"/>
      <w:r>
        <w:rPr>
          <w:lang w:val="it-IT"/>
        </w:rPr>
        <w:t xml:space="preserve"> </w:t>
      </w:r>
      <w:proofErr w:type="spellStart"/>
      <w:r>
        <w:rPr>
          <w:lang w:val="it-IT"/>
        </w:rPr>
        <w:t>Driven</w:t>
      </w:r>
      <w:proofErr w:type="spellEnd"/>
      <w:r>
        <w:rPr>
          <w:lang w:val="it-IT"/>
        </w:rPr>
        <w:t xml:space="preserve"> Mediator </w:t>
      </w:r>
      <w:proofErr w:type="spellStart"/>
      <w:r>
        <w:rPr>
          <w:lang w:val="it-IT"/>
        </w:rPr>
        <w:t>Topology</w:t>
      </w:r>
      <w:proofErr w:type="spellEnd"/>
      <w:r>
        <w:rPr>
          <w:lang w:val="it-IT"/>
        </w:rPr>
        <w:t>.</w:t>
      </w:r>
    </w:p>
    <w:p w:rsidR="0035345E" w:rsidRDefault="0035345E" w:rsidP="0035345E">
      <w:pPr>
        <w:rPr>
          <w:lang w:val="it-IT"/>
        </w:rPr>
      </w:pPr>
      <w:r>
        <w:rPr>
          <w:noProof/>
        </w:rPr>
        <w:drawing>
          <wp:inline distT="0" distB="0" distL="0" distR="0">
            <wp:extent cx="5905500" cy="4543425"/>
            <wp:effectExtent l="0" t="0" r="0" b="9525"/>
            <wp:docPr id="1" name="Immagine 1" descr="http://s.radar.oreilly.com/wp-files/2/2015/02/sapr_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radar.oreilly.com/wp-files/2/2015/02/sapr_02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4543425"/>
                    </a:xfrm>
                    <a:prstGeom prst="rect">
                      <a:avLst/>
                    </a:prstGeom>
                    <a:noFill/>
                    <a:ln>
                      <a:noFill/>
                    </a:ln>
                  </pic:spPr>
                </pic:pic>
              </a:graphicData>
            </a:graphic>
          </wp:inline>
        </w:drawing>
      </w:r>
    </w:p>
    <w:p w:rsidR="00F012AE" w:rsidRDefault="00F012AE" w:rsidP="00F012AE">
      <w:pPr>
        <w:pStyle w:val="Titolo3"/>
        <w:rPr>
          <w:lang w:val="it-IT"/>
        </w:rPr>
      </w:pPr>
      <w:r>
        <w:rPr>
          <w:lang w:val="it-IT"/>
        </w:rPr>
        <w:t>Mediatore di eventi</w:t>
      </w:r>
    </w:p>
    <w:p w:rsidR="0035345E" w:rsidRDefault="0035345E" w:rsidP="0035345E">
      <w:pPr>
        <w:rPr>
          <w:lang w:val="it-IT"/>
        </w:rPr>
      </w:pPr>
      <w:r>
        <w:rPr>
          <w:lang w:val="it-IT"/>
        </w:rPr>
        <w:t xml:space="preserve">Il </w:t>
      </w:r>
      <w:r w:rsidRPr="00F012AE">
        <w:rPr>
          <w:lang w:val="it-IT"/>
        </w:rPr>
        <w:t>mediatore</w:t>
      </w:r>
      <w:r>
        <w:rPr>
          <w:lang w:val="it-IT"/>
        </w:rPr>
        <w:t xml:space="preserve"> (l’</w:t>
      </w:r>
      <w:proofErr w:type="spellStart"/>
      <w:r>
        <w:rPr>
          <w:lang w:val="it-IT"/>
        </w:rPr>
        <w:t>Event</w:t>
      </w:r>
      <w:proofErr w:type="spellEnd"/>
      <w:r>
        <w:rPr>
          <w:lang w:val="it-IT"/>
        </w:rPr>
        <w:t xml:space="preserve"> Mediator) ha il compito di orchestrare i passi necessari per rispondere ad un evento iniziale; per ogni passo invia uno specifico evento di processamento ad un canale (</w:t>
      </w:r>
      <w:proofErr w:type="spellStart"/>
      <w:r>
        <w:rPr>
          <w:lang w:val="it-IT"/>
        </w:rPr>
        <w:t>Event</w:t>
      </w:r>
      <w:proofErr w:type="spellEnd"/>
      <w:r>
        <w:rPr>
          <w:lang w:val="it-IT"/>
        </w:rPr>
        <w:t xml:space="preserve"> Channel). Il mediatore non applica nessun tipo di logica, conosce solo i passi necessari per gestire l’evento iniziale e quindi li genera.</w:t>
      </w:r>
    </w:p>
    <w:p w:rsidR="00F012AE" w:rsidRDefault="00F012AE" w:rsidP="00F012AE">
      <w:pPr>
        <w:pStyle w:val="Titolo3"/>
        <w:rPr>
          <w:lang w:val="it-IT"/>
        </w:rPr>
      </w:pPr>
      <w:r>
        <w:rPr>
          <w:lang w:val="it-IT"/>
        </w:rPr>
        <w:lastRenderedPageBreak/>
        <w:t>Canale di eventi</w:t>
      </w:r>
    </w:p>
    <w:p w:rsidR="00F012AE" w:rsidRDefault="00F012AE" w:rsidP="00F012AE">
      <w:pPr>
        <w:rPr>
          <w:lang w:val="it-IT"/>
        </w:rPr>
      </w:pPr>
      <w:r>
        <w:rPr>
          <w:lang w:val="it-IT"/>
        </w:rPr>
        <w:t>Si tratta generalmente di un canale di comunicazione asincrono. Questo può essere di due tipi:</w:t>
      </w:r>
    </w:p>
    <w:p w:rsidR="00F012AE" w:rsidRDefault="00F012AE" w:rsidP="00F012AE">
      <w:pPr>
        <w:pStyle w:val="Paragrafoelenco"/>
        <w:numPr>
          <w:ilvl w:val="0"/>
          <w:numId w:val="8"/>
        </w:numPr>
        <w:rPr>
          <w:lang w:val="it-IT"/>
        </w:rPr>
      </w:pPr>
      <w:r>
        <w:rPr>
          <w:lang w:val="it-IT"/>
        </w:rPr>
        <w:t>coda di messaggi;</w:t>
      </w:r>
    </w:p>
    <w:p w:rsidR="00F012AE" w:rsidRDefault="00F012AE" w:rsidP="00F012AE">
      <w:pPr>
        <w:pStyle w:val="Paragrafoelenco"/>
        <w:numPr>
          <w:ilvl w:val="0"/>
          <w:numId w:val="8"/>
        </w:numPr>
        <w:rPr>
          <w:lang w:val="it-IT"/>
        </w:rPr>
      </w:pPr>
      <w:proofErr w:type="spellStart"/>
      <w:r>
        <w:rPr>
          <w:lang w:val="it-IT"/>
        </w:rPr>
        <w:t>topic</w:t>
      </w:r>
      <w:proofErr w:type="spellEnd"/>
      <w:r>
        <w:rPr>
          <w:lang w:val="it-IT"/>
        </w:rPr>
        <w:t xml:space="preserve"> di messaggi.</w:t>
      </w:r>
    </w:p>
    <w:p w:rsidR="00F012AE" w:rsidRPr="00F012AE" w:rsidRDefault="00F012AE" w:rsidP="00F012AE">
      <w:pPr>
        <w:pStyle w:val="Titolo3"/>
        <w:rPr>
          <w:lang w:val="it-IT"/>
        </w:rPr>
      </w:pPr>
      <w:r>
        <w:rPr>
          <w:lang w:val="it-IT"/>
        </w:rPr>
        <w:t>Esecutore di eventi</w:t>
      </w:r>
    </w:p>
    <w:p w:rsidR="0035345E" w:rsidRDefault="00F012AE" w:rsidP="0035345E">
      <w:pPr>
        <w:rPr>
          <w:lang w:val="it-IT"/>
        </w:rPr>
      </w:pPr>
      <w:r>
        <w:rPr>
          <w:lang w:val="it-IT"/>
        </w:rPr>
        <w:t xml:space="preserve">Contiene la vera logica di business per processo ogni evento. Sono auto contenuti, indipendenti </w:t>
      </w:r>
      <w:proofErr w:type="gramStart"/>
      <w:r>
        <w:rPr>
          <w:lang w:val="it-IT"/>
        </w:rPr>
        <w:t>ed</w:t>
      </w:r>
      <w:proofErr w:type="gramEnd"/>
      <w:r>
        <w:rPr>
          <w:lang w:val="it-IT"/>
        </w:rPr>
        <w:t xml:space="preserve"> scarsamente accoppiati.</w:t>
      </w:r>
    </w:p>
    <w:p w:rsidR="00F012AE" w:rsidRDefault="00F012AE" w:rsidP="00F012AE">
      <w:pPr>
        <w:pStyle w:val="Titolo2"/>
        <w:rPr>
          <w:lang w:val="it-IT"/>
        </w:rPr>
      </w:pPr>
      <w:r>
        <w:rPr>
          <w:lang w:val="it-IT"/>
        </w:rPr>
        <w:t xml:space="preserve">Broker </w:t>
      </w:r>
      <w:proofErr w:type="spellStart"/>
      <w:r>
        <w:rPr>
          <w:lang w:val="it-IT"/>
        </w:rPr>
        <w:t>topology</w:t>
      </w:r>
      <w:proofErr w:type="spellEnd"/>
    </w:p>
    <w:p w:rsidR="00F012AE" w:rsidRDefault="00F012AE" w:rsidP="00F012AE">
      <w:pPr>
        <w:rPr>
          <w:lang w:val="it-IT"/>
        </w:rPr>
      </w:pPr>
      <w:r>
        <w:rPr>
          <w:lang w:val="it-IT"/>
        </w:rPr>
        <w:t>In questo approccio non è presente un mediatore centrale. Il flusso dei messaggi viene distribuito d</w:t>
      </w:r>
      <w:r w:rsidR="00FB5125">
        <w:rPr>
          <w:lang w:val="it-IT"/>
        </w:rPr>
        <w:t>ai vari esecutori</w:t>
      </w:r>
      <w:r>
        <w:rPr>
          <w:lang w:val="it-IT"/>
        </w:rPr>
        <w:t xml:space="preserve">, creando una </w:t>
      </w:r>
      <w:r w:rsidR="00FB5125">
        <w:rPr>
          <w:lang w:val="it-IT"/>
        </w:rPr>
        <w:t xml:space="preserve">coda di </w:t>
      </w:r>
      <w:r>
        <w:rPr>
          <w:lang w:val="it-IT"/>
        </w:rPr>
        <w:t>eventi che generano</w:t>
      </w:r>
      <w:r w:rsidR="00FB5125">
        <w:rPr>
          <w:lang w:val="it-IT"/>
        </w:rPr>
        <w:t xml:space="preserve"> a loro volta altri</w:t>
      </w:r>
      <w:r>
        <w:rPr>
          <w:lang w:val="it-IT"/>
        </w:rPr>
        <w:t xml:space="preserve"> eventi. Risulta molto utile nel caso in cui il flusso sia molto semplice</w:t>
      </w:r>
      <w:r w:rsidR="00FB5125">
        <w:rPr>
          <w:lang w:val="it-IT"/>
        </w:rPr>
        <w:t xml:space="preserve">. </w:t>
      </w:r>
    </w:p>
    <w:p w:rsidR="00FB5125" w:rsidRDefault="00FB5125" w:rsidP="00F012AE">
      <w:pPr>
        <w:rPr>
          <w:lang w:val="it-IT"/>
        </w:rPr>
      </w:pPr>
      <w:r>
        <w:rPr>
          <w:lang w:val="it-IT"/>
        </w:rPr>
        <w:t>In questo approccio ci sono due principali componenti:</w:t>
      </w:r>
    </w:p>
    <w:p w:rsidR="00FB5125" w:rsidRDefault="00FB5125" w:rsidP="00FB5125">
      <w:pPr>
        <w:pStyle w:val="Paragrafoelenco"/>
        <w:numPr>
          <w:ilvl w:val="0"/>
          <w:numId w:val="9"/>
        </w:numPr>
        <w:rPr>
          <w:lang w:val="it-IT"/>
        </w:rPr>
      </w:pPr>
      <w:r>
        <w:rPr>
          <w:lang w:val="it-IT"/>
        </w:rPr>
        <w:t>un broker che contiene tutti i canali;</w:t>
      </w:r>
    </w:p>
    <w:p w:rsidR="00FB5125" w:rsidRDefault="00FB5125" w:rsidP="00FB5125">
      <w:pPr>
        <w:pStyle w:val="Paragrafoelenco"/>
        <w:numPr>
          <w:ilvl w:val="0"/>
          <w:numId w:val="9"/>
        </w:numPr>
        <w:rPr>
          <w:lang w:val="it-IT"/>
        </w:rPr>
      </w:pPr>
      <w:r>
        <w:rPr>
          <w:lang w:val="it-IT"/>
        </w:rPr>
        <w:t>vari esecutori di eventi.</w:t>
      </w:r>
    </w:p>
    <w:p w:rsidR="00FB5125" w:rsidRPr="00FB5125" w:rsidRDefault="00FB5125" w:rsidP="00FB5125">
      <w:pPr>
        <w:rPr>
          <w:lang w:val="it-IT"/>
        </w:rPr>
      </w:pPr>
      <w:r w:rsidRPr="00FB5125">
        <w:rPr>
          <w:lang w:val="it-IT"/>
        </w:rPr>
        <w:t xml:space="preserve">Di seguito si riporta una generica architettura </w:t>
      </w:r>
      <w:proofErr w:type="spellStart"/>
      <w:r w:rsidRPr="00FB5125">
        <w:rPr>
          <w:lang w:val="it-IT"/>
        </w:rPr>
        <w:t>Event</w:t>
      </w:r>
      <w:proofErr w:type="spellEnd"/>
      <w:r w:rsidRPr="00FB5125">
        <w:rPr>
          <w:lang w:val="it-IT"/>
        </w:rPr>
        <w:t xml:space="preserve"> </w:t>
      </w:r>
      <w:proofErr w:type="spellStart"/>
      <w:r w:rsidRPr="00FB5125">
        <w:rPr>
          <w:lang w:val="it-IT"/>
        </w:rPr>
        <w:t>Driven</w:t>
      </w:r>
      <w:proofErr w:type="spellEnd"/>
      <w:r w:rsidRPr="00FB5125">
        <w:rPr>
          <w:lang w:val="it-IT"/>
        </w:rPr>
        <w:t xml:space="preserve"> </w:t>
      </w:r>
      <w:r>
        <w:rPr>
          <w:lang w:val="it-IT"/>
        </w:rPr>
        <w:t>Broker</w:t>
      </w:r>
      <w:r w:rsidRPr="00FB5125">
        <w:rPr>
          <w:lang w:val="it-IT"/>
        </w:rPr>
        <w:t xml:space="preserve"> </w:t>
      </w:r>
      <w:proofErr w:type="spellStart"/>
      <w:r w:rsidRPr="00FB5125">
        <w:rPr>
          <w:lang w:val="it-IT"/>
        </w:rPr>
        <w:t>Topology</w:t>
      </w:r>
      <w:proofErr w:type="spellEnd"/>
      <w:r w:rsidRPr="00FB5125">
        <w:rPr>
          <w:lang w:val="it-IT"/>
        </w:rPr>
        <w:t>.</w:t>
      </w:r>
    </w:p>
    <w:p w:rsidR="00FB5125" w:rsidRDefault="00FB5125" w:rsidP="00387721">
      <w:pPr>
        <w:jc w:val="center"/>
      </w:pPr>
      <w:r>
        <w:fldChar w:fldCharType="begin"/>
      </w:r>
      <w:r>
        <w:instrText xml:space="preserve"> INCLUDEPICTURE "http://s.radar.oreilly.com/wp-files/2/2015/02/sapr_0203.jpg"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Visualizza immagine di origine" style="width:408pt;height:275.25pt">
            <v:imagedata r:id="rId9" r:href="rId10"/>
          </v:shape>
        </w:pict>
      </w:r>
      <w:r>
        <w:fldChar w:fldCharType="end"/>
      </w:r>
    </w:p>
    <w:p w:rsidR="00FB5125" w:rsidRDefault="00FB5125" w:rsidP="00FB5125">
      <w:pPr>
        <w:pStyle w:val="Titolo2"/>
        <w:rPr>
          <w:lang w:val="it-IT"/>
        </w:rPr>
      </w:pPr>
      <w:r>
        <w:rPr>
          <w:lang w:val="it-IT"/>
        </w:rPr>
        <w:t>Considerazioni</w:t>
      </w:r>
    </w:p>
    <w:p w:rsidR="001C6217" w:rsidRDefault="001C6217" w:rsidP="00FB5125">
      <w:pPr>
        <w:rPr>
          <w:lang w:val="it-IT"/>
        </w:rPr>
      </w:pPr>
      <w:r>
        <w:rPr>
          <w:lang w:val="it-IT"/>
        </w:rPr>
        <w:t>Di seguito si evidenziano alcune vantaggi e svantaggi in maniera analitica:</w:t>
      </w:r>
    </w:p>
    <w:tbl>
      <w:tblPr>
        <w:tblStyle w:val="Grigliatabella"/>
        <w:tblW w:w="9351" w:type="dxa"/>
        <w:tblLook w:val="04A0" w:firstRow="1" w:lastRow="0" w:firstColumn="1" w:lastColumn="0" w:noHBand="0" w:noVBand="1"/>
      </w:tblPr>
      <w:tblGrid>
        <w:gridCol w:w="3116"/>
        <w:gridCol w:w="6235"/>
      </w:tblGrid>
      <w:tr w:rsidR="001C6217" w:rsidTr="001C6217">
        <w:tc>
          <w:tcPr>
            <w:tcW w:w="3116" w:type="dxa"/>
          </w:tcPr>
          <w:p w:rsidR="001C6217" w:rsidRPr="00D16779" w:rsidRDefault="001C6217" w:rsidP="001C6217">
            <w:pPr>
              <w:rPr>
                <w:b/>
                <w:lang w:val="it-IT"/>
              </w:rPr>
            </w:pPr>
            <w:r w:rsidRPr="00D16779">
              <w:rPr>
                <w:b/>
                <w:lang w:val="it-IT"/>
              </w:rPr>
              <w:t>Caratteristica</w:t>
            </w:r>
          </w:p>
        </w:tc>
        <w:tc>
          <w:tcPr>
            <w:tcW w:w="6235" w:type="dxa"/>
          </w:tcPr>
          <w:p w:rsidR="001C6217" w:rsidRPr="00D16779" w:rsidRDefault="001C6217" w:rsidP="001C6217">
            <w:pPr>
              <w:rPr>
                <w:b/>
                <w:lang w:val="it-IT"/>
              </w:rPr>
            </w:pPr>
            <w:r w:rsidRPr="00D16779">
              <w:rPr>
                <w:b/>
                <w:lang w:val="it-IT"/>
              </w:rPr>
              <w:t>Con</w:t>
            </w:r>
            <w:r w:rsidR="00D16779" w:rsidRPr="00D16779">
              <w:rPr>
                <w:b/>
                <w:lang w:val="it-IT"/>
              </w:rPr>
              <w:t>siderazioni</w:t>
            </w:r>
          </w:p>
        </w:tc>
      </w:tr>
      <w:tr w:rsidR="001C6217" w:rsidTr="001C6217">
        <w:tc>
          <w:tcPr>
            <w:tcW w:w="3116" w:type="dxa"/>
          </w:tcPr>
          <w:p w:rsidR="001C6217" w:rsidRDefault="001C6217" w:rsidP="001C6217">
            <w:pPr>
              <w:rPr>
                <w:lang w:val="it-IT"/>
              </w:rPr>
            </w:pPr>
            <w:r>
              <w:rPr>
                <w:lang w:val="it-IT"/>
              </w:rPr>
              <w:t>Agilità generale</w:t>
            </w:r>
          </w:p>
        </w:tc>
        <w:tc>
          <w:tcPr>
            <w:tcW w:w="6235" w:type="dxa"/>
          </w:tcPr>
          <w:p w:rsidR="001C6217" w:rsidRDefault="001C6217" w:rsidP="001C6217">
            <w:pPr>
              <w:rPr>
                <w:lang w:val="it-IT"/>
              </w:rPr>
            </w:pPr>
            <w:r>
              <w:rPr>
                <w:lang w:val="it-IT"/>
              </w:rPr>
              <w:t>I cambiamenti sono generalmente isolati e possono essere fatti velocemente con piccoli impatti.</w:t>
            </w:r>
          </w:p>
        </w:tc>
      </w:tr>
      <w:tr w:rsidR="001C6217" w:rsidTr="001C6217">
        <w:tc>
          <w:tcPr>
            <w:tcW w:w="3116" w:type="dxa"/>
          </w:tcPr>
          <w:p w:rsidR="001C6217" w:rsidRDefault="001C6217" w:rsidP="001C6217">
            <w:pPr>
              <w:rPr>
                <w:lang w:val="it-IT"/>
              </w:rPr>
            </w:pPr>
            <w:r>
              <w:rPr>
                <w:lang w:val="it-IT"/>
              </w:rPr>
              <w:lastRenderedPageBreak/>
              <w:t xml:space="preserve">Facilità di </w:t>
            </w:r>
            <w:proofErr w:type="spellStart"/>
            <w:r>
              <w:rPr>
                <w:lang w:val="it-IT"/>
              </w:rPr>
              <w:t>deploy</w:t>
            </w:r>
            <w:proofErr w:type="spellEnd"/>
          </w:p>
        </w:tc>
        <w:tc>
          <w:tcPr>
            <w:tcW w:w="6235" w:type="dxa"/>
          </w:tcPr>
          <w:p w:rsidR="001C6217" w:rsidRDefault="001C6217" w:rsidP="001C6217">
            <w:pPr>
              <w:rPr>
                <w:lang w:val="it-IT"/>
              </w:rPr>
            </w:pPr>
            <w:r>
              <w:rPr>
                <w:lang w:val="it-IT"/>
              </w:rPr>
              <w:t>È dovuta all’alto disaccoppiamento degli esecutori. Questa nota vale particolarmente per la tipologia Broker in quanto non presenta il mediatore.</w:t>
            </w:r>
          </w:p>
        </w:tc>
      </w:tr>
      <w:tr w:rsidR="001C6217" w:rsidTr="001C6217">
        <w:tc>
          <w:tcPr>
            <w:tcW w:w="3116" w:type="dxa"/>
          </w:tcPr>
          <w:p w:rsidR="001C6217" w:rsidRDefault="001C6217" w:rsidP="001C6217">
            <w:pPr>
              <w:rPr>
                <w:lang w:val="it-IT"/>
              </w:rPr>
            </w:pPr>
            <w:r>
              <w:rPr>
                <w:lang w:val="it-IT"/>
              </w:rPr>
              <w:t>Testabilità</w:t>
            </w:r>
          </w:p>
        </w:tc>
        <w:tc>
          <w:tcPr>
            <w:tcW w:w="6235" w:type="dxa"/>
          </w:tcPr>
          <w:p w:rsidR="001C6217" w:rsidRDefault="001C6217" w:rsidP="001C6217">
            <w:pPr>
              <w:rPr>
                <w:lang w:val="it-IT"/>
              </w:rPr>
            </w:pPr>
            <w:r>
              <w:rPr>
                <w:lang w:val="it-IT"/>
              </w:rPr>
              <w:t>Richiede strumenti specializzati per generare eventi, questo potrebbe rendere i test di sistema difficoltosi. I test di</w:t>
            </w:r>
            <w:r w:rsidR="00D16779">
              <w:rPr>
                <w:lang w:val="it-IT"/>
              </w:rPr>
              <w:t xml:space="preserve"> unità invece sono facilmente implementabili.</w:t>
            </w:r>
            <w:r>
              <w:rPr>
                <w:lang w:val="it-IT"/>
              </w:rPr>
              <w:t xml:space="preserve"> </w:t>
            </w:r>
          </w:p>
        </w:tc>
      </w:tr>
      <w:tr w:rsidR="001C6217" w:rsidTr="001C6217">
        <w:tc>
          <w:tcPr>
            <w:tcW w:w="3116" w:type="dxa"/>
          </w:tcPr>
          <w:p w:rsidR="001C6217" w:rsidRDefault="00D16779" w:rsidP="001C6217">
            <w:pPr>
              <w:rPr>
                <w:lang w:val="it-IT"/>
              </w:rPr>
            </w:pPr>
            <w:r>
              <w:rPr>
                <w:lang w:val="it-IT"/>
              </w:rPr>
              <w:t>Scalabilità</w:t>
            </w:r>
          </w:p>
        </w:tc>
        <w:tc>
          <w:tcPr>
            <w:tcW w:w="6235" w:type="dxa"/>
          </w:tcPr>
          <w:p w:rsidR="001C6217" w:rsidRDefault="00D16779" w:rsidP="001C6217">
            <w:pPr>
              <w:rPr>
                <w:lang w:val="it-IT"/>
              </w:rPr>
            </w:pPr>
            <w:r>
              <w:rPr>
                <w:lang w:val="it-IT"/>
              </w:rPr>
              <w:t>La natura indipendente dei componenti rende facile scalare questi in base alle necessità permettendo così un tuning delle risorse molto fine.</w:t>
            </w:r>
          </w:p>
        </w:tc>
      </w:tr>
      <w:tr w:rsidR="001C6217" w:rsidTr="001C6217">
        <w:tc>
          <w:tcPr>
            <w:tcW w:w="3116" w:type="dxa"/>
          </w:tcPr>
          <w:p w:rsidR="001C6217" w:rsidRDefault="00D16779" w:rsidP="001C6217">
            <w:pPr>
              <w:rPr>
                <w:lang w:val="it-IT"/>
              </w:rPr>
            </w:pPr>
            <w:r>
              <w:rPr>
                <w:lang w:val="it-IT"/>
              </w:rPr>
              <w:t xml:space="preserve">Facilità di sviluppo </w:t>
            </w:r>
          </w:p>
        </w:tc>
        <w:tc>
          <w:tcPr>
            <w:tcW w:w="6235" w:type="dxa"/>
          </w:tcPr>
          <w:p w:rsidR="001C6217" w:rsidRDefault="00D16779" w:rsidP="001C6217">
            <w:pPr>
              <w:rPr>
                <w:lang w:val="it-IT"/>
              </w:rPr>
            </w:pPr>
            <w:r>
              <w:rPr>
                <w:lang w:val="it-IT"/>
              </w:rPr>
              <w:t>È il principale svantaggio di queste architettura.</w:t>
            </w:r>
          </w:p>
        </w:tc>
      </w:tr>
    </w:tbl>
    <w:p w:rsidR="003A37CD" w:rsidRDefault="003A37CD" w:rsidP="00387721">
      <w:pPr>
        <w:jc w:val="both"/>
        <w:rPr>
          <w:lang w:val="it-IT"/>
        </w:rPr>
      </w:pPr>
    </w:p>
    <w:p w:rsidR="00FB5125" w:rsidRDefault="00D16779" w:rsidP="00387721">
      <w:pPr>
        <w:jc w:val="both"/>
        <w:rPr>
          <w:lang w:val="it-IT"/>
        </w:rPr>
      </w:pPr>
      <w:r>
        <w:rPr>
          <w:lang w:val="it-IT"/>
        </w:rPr>
        <w:t xml:space="preserve">Uno dei principali svantaggi di questo tipo di architettura è la complessità di implementazione, dovuta al fatto che operazioni sono completamente asincrone e distribuite. </w:t>
      </w:r>
      <w:r w:rsidR="001C6217" w:rsidRPr="001C6217">
        <w:rPr>
          <w:lang w:val="it-IT"/>
        </w:rPr>
        <w:t xml:space="preserve">Si è comunque ritenuta questa architettura nella sua variante Broker </w:t>
      </w:r>
      <w:proofErr w:type="spellStart"/>
      <w:r w:rsidR="001C6217" w:rsidRPr="001C6217">
        <w:rPr>
          <w:lang w:val="it-IT"/>
        </w:rPr>
        <w:t>Topology</w:t>
      </w:r>
      <w:proofErr w:type="spellEnd"/>
      <w:r w:rsidR="001C6217" w:rsidRPr="001C6217">
        <w:rPr>
          <w:lang w:val="it-IT"/>
        </w:rPr>
        <w:t xml:space="preserve"> adatta allo scopo soprattutto per</w:t>
      </w:r>
      <w:r>
        <w:rPr>
          <w:lang w:val="it-IT"/>
        </w:rPr>
        <w:t xml:space="preserve"> questioni di performance, scala</w:t>
      </w:r>
      <w:r w:rsidR="001C6217" w:rsidRPr="001C6217">
        <w:rPr>
          <w:lang w:val="it-IT"/>
        </w:rPr>
        <w:t xml:space="preserve">bilità e facilità di </w:t>
      </w:r>
      <w:proofErr w:type="spellStart"/>
      <w:r w:rsidR="001C6217" w:rsidRPr="001C6217">
        <w:rPr>
          <w:lang w:val="it-IT"/>
        </w:rPr>
        <w:t>deploy</w:t>
      </w:r>
      <w:proofErr w:type="spellEnd"/>
      <w:r w:rsidR="001C6217" w:rsidRPr="001C6217">
        <w:rPr>
          <w:lang w:val="it-IT"/>
        </w:rPr>
        <w:t>.</w:t>
      </w:r>
    </w:p>
    <w:p w:rsidR="003A37CD" w:rsidRPr="001C6217" w:rsidRDefault="003A37CD" w:rsidP="00387721">
      <w:pPr>
        <w:jc w:val="both"/>
        <w:rPr>
          <w:lang w:val="it-IT"/>
        </w:rPr>
      </w:pPr>
      <w:bookmarkStart w:id="0" w:name="_GoBack"/>
      <w:bookmarkEnd w:id="0"/>
    </w:p>
    <w:p w:rsidR="00FB5125" w:rsidRPr="00FB5125" w:rsidRDefault="00FB5125" w:rsidP="00FB5125">
      <w:pPr>
        <w:rPr>
          <w:lang w:val="it-IT"/>
        </w:rPr>
      </w:pPr>
    </w:p>
    <w:sectPr w:rsidR="00FB5125" w:rsidRPr="00FB5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183" w:rsidRDefault="00B61183" w:rsidP="00D16779">
      <w:pPr>
        <w:spacing w:after="0" w:line="240" w:lineRule="auto"/>
      </w:pPr>
      <w:r>
        <w:separator/>
      </w:r>
    </w:p>
  </w:endnote>
  <w:endnote w:type="continuationSeparator" w:id="0">
    <w:p w:rsidR="00B61183" w:rsidRDefault="00B61183" w:rsidP="00D1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183" w:rsidRDefault="00B61183" w:rsidP="00D16779">
      <w:pPr>
        <w:spacing w:after="0" w:line="240" w:lineRule="auto"/>
      </w:pPr>
      <w:r>
        <w:separator/>
      </w:r>
    </w:p>
  </w:footnote>
  <w:footnote w:type="continuationSeparator" w:id="0">
    <w:p w:rsidR="00B61183" w:rsidRDefault="00B61183" w:rsidP="00D16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73A9"/>
    <w:multiLevelType w:val="hybridMultilevel"/>
    <w:tmpl w:val="D960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16DE9"/>
    <w:multiLevelType w:val="hybridMultilevel"/>
    <w:tmpl w:val="FD7C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3A96"/>
    <w:multiLevelType w:val="hybridMultilevel"/>
    <w:tmpl w:val="75C0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13226"/>
    <w:multiLevelType w:val="hybridMultilevel"/>
    <w:tmpl w:val="2B68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751B1"/>
    <w:multiLevelType w:val="hybridMultilevel"/>
    <w:tmpl w:val="8416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91605"/>
    <w:multiLevelType w:val="hybridMultilevel"/>
    <w:tmpl w:val="FCC0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35C31"/>
    <w:multiLevelType w:val="hybridMultilevel"/>
    <w:tmpl w:val="280A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07ACE"/>
    <w:multiLevelType w:val="hybridMultilevel"/>
    <w:tmpl w:val="187CAE3C"/>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252EAF"/>
    <w:multiLevelType w:val="hybridMultilevel"/>
    <w:tmpl w:val="EDA2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524764"/>
    <w:multiLevelType w:val="hybridMultilevel"/>
    <w:tmpl w:val="2B8E3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1"/>
  </w:num>
  <w:num w:numId="5">
    <w:abstractNumId w:val="8"/>
  </w:num>
  <w:num w:numId="6">
    <w:abstractNumId w:val="2"/>
  </w:num>
  <w:num w:numId="7">
    <w:abstractNumId w:val="4"/>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35"/>
    <w:rsid w:val="001C6217"/>
    <w:rsid w:val="0027252D"/>
    <w:rsid w:val="00302B75"/>
    <w:rsid w:val="0035345E"/>
    <w:rsid w:val="00387721"/>
    <w:rsid w:val="003A37CD"/>
    <w:rsid w:val="00497E35"/>
    <w:rsid w:val="009D117A"/>
    <w:rsid w:val="00B61183"/>
    <w:rsid w:val="00B86219"/>
    <w:rsid w:val="00D16779"/>
    <w:rsid w:val="00D93BC3"/>
    <w:rsid w:val="00E1153A"/>
    <w:rsid w:val="00F012AE"/>
    <w:rsid w:val="00FB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DBDF"/>
  <w15:chartTrackingRefBased/>
  <w15:docId w15:val="{AFA364AF-5837-4BAA-9BC0-13FED6D3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qFormat/>
    <w:rsid w:val="00D93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D1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01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93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93BC3"/>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rsid w:val="00D93BC3"/>
    <w:rPr>
      <w:rFonts w:asciiTheme="majorHAnsi" w:eastAsiaTheme="majorEastAsia" w:hAnsiTheme="majorHAnsi" w:cstheme="majorBidi"/>
      <w:color w:val="2F5496" w:themeColor="accent1" w:themeShade="BF"/>
      <w:sz w:val="32"/>
      <w:szCs w:val="32"/>
    </w:rPr>
  </w:style>
  <w:style w:type="character" w:styleId="Enfasidelicata">
    <w:name w:val="Subtle Emphasis"/>
    <w:basedOn w:val="Carpredefinitoparagrafo"/>
    <w:uiPriority w:val="19"/>
    <w:qFormat/>
    <w:rsid w:val="00D93BC3"/>
    <w:rPr>
      <w:i/>
      <w:iCs/>
      <w:color w:val="404040" w:themeColor="text1" w:themeTint="BF"/>
    </w:rPr>
  </w:style>
  <w:style w:type="paragraph" w:customStyle="1" w:styleId="TableContents">
    <w:name w:val="Table Contents"/>
    <w:basedOn w:val="Normale"/>
    <w:rsid w:val="00D93BC3"/>
    <w:pPr>
      <w:suppressLineNumbers/>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Paragrafoelenco">
    <w:name w:val="List Paragraph"/>
    <w:basedOn w:val="Normale"/>
    <w:uiPriority w:val="34"/>
    <w:qFormat/>
    <w:rsid w:val="00D93BC3"/>
    <w:pPr>
      <w:ind w:left="720"/>
      <w:contextualSpacing/>
    </w:pPr>
  </w:style>
  <w:style w:type="character" w:styleId="Collegamentoipertestuale">
    <w:name w:val="Hyperlink"/>
    <w:basedOn w:val="Carpredefinitoparagrafo"/>
    <w:uiPriority w:val="99"/>
    <w:unhideWhenUsed/>
    <w:rsid w:val="00D93BC3"/>
    <w:rPr>
      <w:color w:val="0563C1" w:themeColor="hyperlink"/>
      <w:u w:val="single"/>
    </w:rPr>
  </w:style>
  <w:style w:type="character" w:styleId="Menzionenonrisolta">
    <w:name w:val="Unresolved Mention"/>
    <w:basedOn w:val="Carpredefinitoparagrafo"/>
    <w:uiPriority w:val="99"/>
    <w:semiHidden/>
    <w:unhideWhenUsed/>
    <w:rsid w:val="00D93BC3"/>
    <w:rPr>
      <w:color w:val="808080"/>
      <w:shd w:val="clear" w:color="auto" w:fill="E6E6E6"/>
    </w:rPr>
  </w:style>
  <w:style w:type="character" w:customStyle="1" w:styleId="Titolo2Carattere">
    <w:name w:val="Titolo 2 Carattere"/>
    <w:basedOn w:val="Carpredefinitoparagrafo"/>
    <w:link w:val="Titolo2"/>
    <w:uiPriority w:val="9"/>
    <w:rsid w:val="009D117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012AE"/>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1C6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16779"/>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D16779"/>
  </w:style>
  <w:style w:type="paragraph" w:styleId="Pidipagina">
    <w:name w:val="footer"/>
    <w:basedOn w:val="Normale"/>
    <w:link w:val="PidipaginaCarattere"/>
    <w:uiPriority w:val="99"/>
    <w:unhideWhenUsed/>
    <w:rsid w:val="00D16779"/>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D16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math.unipd.it/~rcardin/sweb/2018/Software%20Architecture%20Patterns_4x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http://s.radar.oreilly.com/wp-files/2/2015/02/sapr_0203.jp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1113</Words>
  <Characters>6348</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Ballarin</dc:creator>
  <cp:keywords/>
  <dc:description/>
  <cp:lastModifiedBy>Simone Ballarin</cp:lastModifiedBy>
  <cp:revision>5</cp:revision>
  <dcterms:created xsi:type="dcterms:W3CDTF">2018-06-26T09:22:00Z</dcterms:created>
  <dcterms:modified xsi:type="dcterms:W3CDTF">2018-06-26T12:09:00Z</dcterms:modified>
</cp:coreProperties>
</file>