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B64E97" w:rsidRDefault="00137367" w:rsidP="007C7036">
      <w:pPr>
        <w:rPr>
          <w:lang w:val="pt-PT"/>
        </w:rPr>
      </w:pPr>
      <w:r>
        <w:tab/>
      </w:r>
      <w:r w:rsidRPr="00B64E97">
        <w:rPr>
          <w:lang w:val="pt-PT"/>
        </w:rPr>
        <w:t>-Simulation of Materials</w:t>
      </w:r>
    </w:p>
    <w:p w14:paraId="50FB3ED7" w14:textId="77777777" w:rsidR="004E3EEC" w:rsidRPr="00800AFB" w:rsidRDefault="004E3EEC" w:rsidP="004E3EEC">
      <w:pPr>
        <w:pStyle w:val="Heading2"/>
        <w:rPr>
          <w:lang w:val="pt-PT"/>
        </w:rPr>
      </w:pPr>
      <w:r w:rsidRPr="00800AFB">
        <w:rPr>
          <w:lang w:val="pt-PT"/>
        </w:rPr>
        <w:t>Instituição Participante</w:t>
      </w:r>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7F70786D" w14:textId="3BCB79B5" w:rsidR="004E3EEC" w:rsidRPr="005A5B48" w:rsidRDefault="004E3EEC" w:rsidP="007C7036">
      <w:pPr>
        <w:rPr>
          <w:lang w:val="pt-PT"/>
        </w:rPr>
      </w:pPr>
    </w:p>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bookmarkStart w:id="0" w:name="_GoBack"/>
      <w:bookmarkEnd w:id="0"/>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w:t>
      </w:r>
      <w:r>
        <w:lastRenderedPageBreak/>
        <w:t xml:space="preserve">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lastRenderedPageBreak/>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B64E97"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B64E97"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B64E97"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B64E97"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B64E97"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B64E97"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B64E97"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B64E97"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B64E97"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B64E97"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B64E97"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B64E97"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245"/>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lastRenderedPageBreak/>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lastRenderedPageBreak/>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B64E97"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654FB52C" w:rsidR="00322138" w:rsidRDefault="00495864" w:rsidP="006C729B">
            <w:r>
              <w:t>0</w:t>
            </w:r>
          </w:p>
        </w:tc>
        <w:tc>
          <w:tcPr>
            <w:tcW w:w="1176" w:type="dxa"/>
          </w:tcPr>
          <w:p w14:paraId="3C1226B9" w14:textId="3DE6378B" w:rsidR="00322138" w:rsidRDefault="00495864" w:rsidP="006C729B">
            <w:r>
              <w:t>0</w:t>
            </w:r>
          </w:p>
        </w:tc>
        <w:tc>
          <w:tcPr>
            <w:tcW w:w="1176" w:type="dxa"/>
          </w:tcPr>
          <w:p w14:paraId="1F646060" w14:textId="43EDB22D" w:rsidR="00322138" w:rsidRDefault="00495864" w:rsidP="006C729B">
            <w:r>
              <w:t>0</w:t>
            </w:r>
          </w:p>
        </w:tc>
        <w:tc>
          <w:tcPr>
            <w:tcW w:w="1180" w:type="dxa"/>
          </w:tcPr>
          <w:p w14:paraId="68D1FC31" w14:textId="10D94AA8" w:rsidR="00322138" w:rsidRDefault="00495864" w:rsidP="006C729B">
            <w:r>
              <w:t>0</w:t>
            </w:r>
          </w:p>
        </w:tc>
      </w:tr>
      <w:tr w:rsidR="00322138" w:rsidRPr="00B64E97"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B64E97"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B64E97"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lastRenderedPageBreak/>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B64E97"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245"/>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77777777" w:rsidR="004F0DC0" w:rsidRDefault="004F0DC0" w:rsidP="004F0DC0"/>
        </w:tc>
        <w:tc>
          <w:tcPr>
            <w:tcW w:w="1245" w:type="dxa"/>
          </w:tcPr>
          <w:p w14:paraId="621273AD" w14:textId="77777777" w:rsidR="004F0DC0" w:rsidRDefault="004F0DC0" w:rsidP="004F0DC0"/>
        </w:tc>
        <w:tc>
          <w:tcPr>
            <w:tcW w:w="1245" w:type="dxa"/>
          </w:tcPr>
          <w:p w14:paraId="78EC9494" w14:textId="77777777" w:rsidR="004F0DC0" w:rsidRDefault="004F0DC0" w:rsidP="004F0DC0"/>
        </w:tc>
        <w:tc>
          <w:tcPr>
            <w:tcW w:w="1245" w:type="dxa"/>
          </w:tcPr>
          <w:p w14:paraId="270CEA2D" w14:textId="77777777" w:rsidR="004F0DC0" w:rsidRDefault="004F0DC0" w:rsidP="004F0DC0"/>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B64E97"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7777777" w:rsidR="004F0DC0" w:rsidRPr="00800AFB" w:rsidRDefault="004F0DC0" w:rsidP="004F0DC0">
            <w:pPr>
              <w:rPr>
                <w:lang w:val="pt-PT"/>
              </w:rPr>
            </w:pPr>
          </w:p>
        </w:tc>
        <w:tc>
          <w:tcPr>
            <w:tcW w:w="1245" w:type="dxa"/>
          </w:tcPr>
          <w:p w14:paraId="403795B0" w14:textId="77777777" w:rsidR="004F0DC0" w:rsidRPr="00800AFB" w:rsidRDefault="004F0DC0" w:rsidP="004F0DC0">
            <w:pPr>
              <w:rPr>
                <w:lang w:val="pt-PT"/>
              </w:rPr>
            </w:pPr>
          </w:p>
        </w:tc>
        <w:tc>
          <w:tcPr>
            <w:tcW w:w="1245" w:type="dxa"/>
          </w:tcPr>
          <w:p w14:paraId="2F76633F" w14:textId="77777777" w:rsidR="004F0DC0" w:rsidRPr="00800AFB" w:rsidRDefault="004F0DC0" w:rsidP="004F0DC0">
            <w:pPr>
              <w:rPr>
                <w:lang w:val="pt-PT"/>
              </w:rPr>
            </w:pPr>
          </w:p>
        </w:tc>
        <w:tc>
          <w:tcPr>
            <w:tcW w:w="1245" w:type="dxa"/>
          </w:tcPr>
          <w:p w14:paraId="6BCA2759" w14:textId="77777777" w:rsidR="004F0DC0" w:rsidRPr="00800AFB" w:rsidRDefault="004F0DC0" w:rsidP="004F0DC0">
            <w:pPr>
              <w:rPr>
                <w:lang w:val="pt-PT"/>
              </w:rPr>
            </w:pP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4F0DC0" w14:paraId="2E68AAB7" w14:textId="77777777" w:rsidTr="004F0DC0">
        <w:tc>
          <w:tcPr>
            <w:tcW w:w="1521" w:type="dxa"/>
          </w:tcPr>
          <w:p w14:paraId="58DF4A81"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4F0DC0" w:rsidRPr="00EE26B9" w:rsidRDefault="004F0DC0" w:rsidP="004F0DC0">
            <w:pPr>
              <w:rPr>
                <w:sz w:val="20"/>
                <w:szCs w:val="20"/>
              </w:rPr>
            </w:pPr>
            <w:r w:rsidRPr="00EE26B9">
              <w:rPr>
                <w:rFonts w:ascii="Times New Roman" w:hAnsi="Times New Roman" w:cs="Times New Roman"/>
                <w:color w:val="454545"/>
                <w:sz w:val="20"/>
                <w:szCs w:val="20"/>
              </w:rPr>
              <w:t>Overheads</w:t>
            </w:r>
          </w:p>
        </w:tc>
        <w:tc>
          <w:tcPr>
            <w:tcW w:w="1176" w:type="dxa"/>
          </w:tcPr>
          <w:p w14:paraId="5B6FC29E" w14:textId="4EEF5060" w:rsidR="004F0DC0" w:rsidRDefault="004F0DC0" w:rsidP="004F0DC0">
            <w:r>
              <w:t>0</w:t>
            </w:r>
          </w:p>
        </w:tc>
        <w:tc>
          <w:tcPr>
            <w:tcW w:w="1245" w:type="dxa"/>
          </w:tcPr>
          <w:p w14:paraId="698A0D60" w14:textId="4DEB5EB2" w:rsidR="004F0DC0" w:rsidRDefault="004F0DC0" w:rsidP="004F0DC0">
            <w:r>
              <w:t>0</w:t>
            </w:r>
          </w:p>
        </w:tc>
        <w:tc>
          <w:tcPr>
            <w:tcW w:w="1245" w:type="dxa"/>
          </w:tcPr>
          <w:p w14:paraId="702FFDE1" w14:textId="599CBB1D" w:rsidR="004F0DC0" w:rsidRDefault="004F0DC0" w:rsidP="004F0DC0">
            <w:r>
              <w:t>0</w:t>
            </w:r>
          </w:p>
        </w:tc>
        <w:tc>
          <w:tcPr>
            <w:tcW w:w="1245" w:type="dxa"/>
          </w:tcPr>
          <w:p w14:paraId="7C2B910D" w14:textId="6CC32950" w:rsidR="004F0DC0" w:rsidRDefault="004F0DC0" w:rsidP="004F0DC0">
            <w:r>
              <w:t>0</w:t>
            </w:r>
          </w:p>
        </w:tc>
      </w:tr>
      <w:tr w:rsidR="004F0DC0" w:rsidRPr="00B64E97" w14:paraId="65307E99" w14:textId="77777777" w:rsidTr="004F0DC0">
        <w:tc>
          <w:tcPr>
            <w:tcW w:w="1521" w:type="dxa"/>
          </w:tcPr>
          <w:p w14:paraId="006A063A" w14:textId="77777777" w:rsidR="004F0DC0" w:rsidRPr="00800AFB" w:rsidRDefault="004F0DC0" w:rsidP="004F0DC0">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 xml:space="preserve">TOTAL DESPESAS </w:t>
            </w:r>
            <w:r w:rsidRPr="00800AFB">
              <w:rPr>
                <w:rFonts w:ascii="Times New Roman" w:hAnsi="Times New Roman" w:cs="Times New Roman"/>
                <w:b/>
                <w:color w:val="32445F"/>
                <w:sz w:val="20"/>
                <w:szCs w:val="20"/>
                <w:lang w:val="pt-PT"/>
              </w:rPr>
              <w:lastRenderedPageBreak/>
              <w:t>CORRENTES</w:t>
            </w:r>
          </w:p>
          <w:p w14:paraId="7E7D8714"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77777777" w:rsidR="004F0DC0" w:rsidRPr="00800AFB" w:rsidRDefault="004F0DC0" w:rsidP="004F0DC0">
            <w:pPr>
              <w:rPr>
                <w:lang w:val="pt-PT"/>
              </w:rPr>
            </w:pPr>
          </w:p>
        </w:tc>
        <w:tc>
          <w:tcPr>
            <w:tcW w:w="1245" w:type="dxa"/>
          </w:tcPr>
          <w:p w14:paraId="4F446470" w14:textId="77777777" w:rsidR="004F0DC0" w:rsidRPr="00800AFB" w:rsidRDefault="004F0DC0" w:rsidP="004F0DC0">
            <w:pPr>
              <w:rPr>
                <w:lang w:val="pt-PT"/>
              </w:rPr>
            </w:pPr>
          </w:p>
        </w:tc>
        <w:tc>
          <w:tcPr>
            <w:tcW w:w="1245" w:type="dxa"/>
          </w:tcPr>
          <w:p w14:paraId="0DCDEB11" w14:textId="77777777" w:rsidR="004F0DC0" w:rsidRPr="00800AFB" w:rsidRDefault="004F0DC0" w:rsidP="004F0DC0">
            <w:pPr>
              <w:rPr>
                <w:lang w:val="pt-PT"/>
              </w:rPr>
            </w:pPr>
          </w:p>
        </w:tc>
        <w:tc>
          <w:tcPr>
            <w:tcW w:w="1245" w:type="dxa"/>
          </w:tcPr>
          <w:p w14:paraId="2FBF9E81" w14:textId="77777777" w:rsidR="004F0DC0" w:rsidRPr="00800AFB" w:rsidRDefault="004F0DC0" w:rsidP="004F0DC0">
            <w:pPr>
              <w:rPr>
                <w:lang w:val="pt-PT"/>
              </w:rPr>
            </w:pPr>
          </w:p>
        </w:tc>
      </w:tr>
      <w:tr w:rsidR="004F0DC0" w14:paraId="1EE18087" w14:textId="77777777" w:rsidTr="004F0DC0">
        <w:tc>
          <w:tcPr>
            <w:tcW w:w="1521" w:type="dxa"/>
          </w:tcPr>
          <w:p w14:paraId="10759538"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Equipamento</w:t>
            </w:r>
            <w:proofErr w:type="spellEnd"/>
          </w:p>
          <w:p w14:paraId="09EA2C76"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77777777" w:rsidR="004F0DC0" w:rsidRDefault="004F0DC0" w:rsidP="004F0DC0"/>
        </w:tc>
        <w:tc>
          <w:tcPr>
            <w:tcW w:w="1245" w:type="dxa"/>
          </w:tcPr>
          <w:p w14:paraId="62FE6055" w14:textId="77777777" w:rsidR="004F0DC0" w:rsidRDefault="004F0DC0" w:rsidP="004F0DC0"/>
        </w:tc>
        <w:tc>
          <w:tcPr>
            <w:tcW w:w="1245" w:type="dxa"/>
          </w:tcPr>
          <w:p w14:paraId="53C287BA" w14:textId="77777777" w:rsidR="004F0DC0" w:rsidRDefault="004F0DC0" w:rsidP="004F0DC0"/>
        </w:tc>
        <w:tc>
          <w:tcPr>
            <w:tcW w:w="1245" w:type="dxa"/>
          </w:tcPr>
          <w:p w14:paraId="68DDC528" w14:textId="77777777" w:rsidR="004F0DC0" w:rsidRDefault="004F0DC0" w:rsidP="004F0DC0"/>
        </w:tc>
      </w:tr>
      <w:tr w:rsidR="004F0DC0" w14:paraId="1661FEF8" w14:textId="77777777" w:rsidTr="004F0DC0">
        <w:tc>
          <w:tcPr>
            <w:tcW w:w="1521" w:type="dxa"/>
          </w:tcPr>
          <w:p w14:paraId="4C0C6B39" w14:textId="77777777" w:rsidR="004F0DC0" w:rsidRPr="00EE26B9" w:rsidRDefault="004F0DC0" w:rsidP="004F0DC0">
            <w:pPr>
              <w:rPr>
                <w:b/>
                <w:sz w:val="22"/>
                <w:szCs w:val="20"/>
              </w:rPr>
            </w:pPr>
            <w:r w:rsidRPr="00EE26B9">
              <w:rPr>
                <w:rFonts w:ascii="Times New Roman" w:hAnsi="Times New Roman" w:cs="Times New Roman"/>
                <w:b/>
                <w:color w:val="32445F"/>
                <w:sz w:val="22"/>
                <w:szCs w:val="20"/>
              </w:rPr>
              <w:t>Total</w:t>
            </w:r>
          </w:p>
          <w:p w14:paraId="137A3BA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7777777" w:rsidR="004F0DC0" w:rsidRDefault="004F0DC0" w:rsidP="004F0DC0"/>
        </w:tc>
        <w:tc>
          <w:tcPr>
            <w:tcW w:w="1245" w:type="dxa"/>
          </w:tcPr>
          <w:p w14:paraId="57DA7240" w14:textId="77777777" w:rsidR="004F0DC0" w:rsidRDefault="004F0DC0" w:rsidP="004F0DC0"/>
        </w:tc>
        <w:tc>
          <w:tcPr>
            <w:tcW w:w="1245" w:type="dxa"/>
          </w:tcPr>
          <w:p w14:paraId="725DDC6F" w14:textId="77777777" w:rsidR="004F0DC0" w:rsidRDefault="004F0DC0" w:rsidP="004F0DC0"/>
        </w:tc>
        <w:tc>
          <w:tcPr>
            <w:tcW w:w="1245" w:type="dxa"/>
          </w:tcPr>
          <w:p w14:paraId="15DE90B4" w14:textId="77777777" w:rsidR="004F0DC0" w:rsidRDefault="004F0DC0" w:rsidP="004F0DC0"/>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B64E97"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B64E97"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B64E97"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B64E97"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B64E97"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B64E97"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lastRenderedPageBreak/>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B64E97"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B64E97"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B64E97"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B64E97"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B64E97"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B64E97"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B64E97"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B64E97"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B64E97"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B64E97"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B64E97"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lastRenderedPageBreak/>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E4CDA"/>
    <w:rsid w:val="00137367"/>
    <w:rsid w:val="00151B81"/>
    <w:rsid w:val="0018686D"/>
    <w:rsid w:val="001F6972"/>
    <w:rsid w:val="00221ADB"/>
    <w:rsid w:val="00227F71"/>
    <w:rsid w:val="00246C58"/>
    <w:rsid w:val="002668A2"/>
    <w:rsid w:val="00322138"/>
    <w:rsid w:val="00386CA4"/>
    <w:rsid w:val="003A0BD3"/>
    <w:rsid w:val="003D61E2"/>
    <w:rsid w:val="00491FD4"/>
    <w:rsid w:val="00495864"/>
    <w:rsid w:val="004B4DB6"/>
    <w:rsid w:val="004E3EEC"/>
    <w:rsid w:val="004F0DC0"/>
    <w:rsid w:val="004F14A4"/>
    <w:rsid w:val="004F1E5E"/>
    <w:rsid w:val="0051218E"/>
    <w:rsid w:val="00551C30"/>
    <w:rsid w:val="00580A6B"/>
    <w:rsid w:val="005A5B48"/>
    <w:rsid w:val="00670682"/>
    <w:rsid w:val="00670FBE"/>
    <w:rsid w:val="006C729B"/>
    <w:rsid w:val="0073232B"/>
    <w:rsid w:val="007C7036"/>
    <w:rsid w:val="007D664F"/>
    <w:rsid w:val="00800AFB"/>
    <w:rsid w:val="0080498A"/>
    <w:rsid w:val="00826B50"/>
    <w:rsid w:val="008C1876"/>
    <w:rsid w:val="008E741A"/>
    <w:rsid w:val="00990DEE"/>
    <w:rsid w:val="009E6813"/>
    <w:rsid w:val="00A40A82"/>
    <w:rsid w:val="00A4445F"/>
    <w:rsid w:val="00A93907"/>
    <w:rsid w:val="00A952FC"/>
    <w:rsid w:val="00AF2B65"/>
    <w:rsid w:val="00B0613B"/>
    <w:rsid w:val="00B64E97"/>
    <w:rsid w:val="00B8133C"/>
    <w:rsid w:val="00BA2BF8"/>
    <w:rsid w:val="00C03F63"/>
    <w:rsid w:val="00C26C04"/>
    <w:rsid w:val="00CE7337"/>
    <w:rsid w:val="00D0715A"/>
    <w:rsid w:val="00D13ABB"/>
    <w:rsid w:val="00D73A6F"/>
    <w:rsid w:val="00D8621D"/>
    <w:rsid w:val="00D93007"/>
    <w:rsid w:val="00DB18C9"/>
    <w:rsid w:val="00DC51DE"/>
    <w:rsid w:val="00E151BE"/>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2C313-A54A-406D-8730-3D5B4C03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19</Pages>
  <Words>3782</Words>
  <Characters>20424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38</cp:revision>
  <dcterms:created xsi:type="dcterms:W3CDTF">2015-05-07T17:59:00Z</dcterms:created>
  <dcterms:modified xsi:type="dcterms:W3CDTF">2015-05-09T17:07:00Z</dcterms:modified>
</cp:coreProperties>
</file>