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8604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860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6"/>
        </w:rPr>
        <w:t>INFORME MENSUAL – ESTADO DEL SERVICIO APPLE</w:t>
      </w:r>
    </w:p>
    <w:p>
      <w:pPr>
        <w:jc w:val="center"/>
      </w:pPr>
      <w:r>
        <w:t>Cliente: Banco de Chile</w:t>
      </w:r>
    </w:p>
    <w:p>
      <w:pPr>
        <w:jc w:val="center"/>
      </w:pPr>
      <w:r>
        <w:t>Proveedor: Ricoh Chile</w:t>
      </w:r>
    </w:p>
    <w:p>
      <w:pPr>
        <w:jc w:val="center"/>
      </w:pPr>
      <w:r>
        <w:t>Periodo del informe: {{MES_ANIO}}</w:t>
      </w:r>
    </w:p>
    <w:p>
      <w:pPr>
        <w:jc w:val="center"/>
      </w:pPr>
      <w:r>
        <w:t>Fecha de emisión: {{FECHA_EMISION}}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Durante el periodo {{MES_ANIO}}, el servicio Apple presentó el siguiente comportamiento operativo. Las métricas se obtienen desde datos reales de gestión y permiten evaluar carga, capacidad de respuesta y estabilidad del servicio.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Total INC creados (periodo)</w:t>
            </w:r>
          </w:p>
        </w:tc>
        <w:tc>
          <w:tcPr>
            <w:tcW w:type="dxa" w:w="4320"/>
          </w:tcPr>
          <w:p>
            <w:r>
              <w:t>{{TOTAL_INC}}</w:t>
            </w:r>
          </w:p>
        </w:tc>
      </w:tr>
      <w:tr>
        <w:tc>
          <w:tcPr>
            <w:tcW w:type="dxa" w:w="4320"/>
          </w:tcPr>
          <w:p>
            <w:r>
              <w:t>Total RITM creados (periodo)</w:t>
            </w:r>
          </w:p>
        </w:tc>
        <w:tc>
          <w:tcPr>
            <w:tcW w:type="dxa" w:w="4320"/>
          </w:tcPr>
          <w:p>
            <w:r>
              <w:t>{{TOTAL_RITM}}</w:t>
            </w:r>
          </w:p>
        </w:tc>
      </w:tr>
      <w:tr>
        <w:tc>
          <w:tcPr>
            <w:tcW w:type="dxa" w:w="4320"/>
          </w:tcPr>
          <w:p>
            <w:r>
              <w:t>INC abiertos (al cierre del periodo)</w:t>
            </w:r>
          </w:p>
        </w:tc>
        <w:tc>
          <w:tcPr>
            <w:tcW w:type="dxa" w:w="4320"/>
          </w:tcPr>
          <w:p>
            <w:r>
              <w:t>{{INC_ABIERTOS}}</w:t>
            </w:r>
          </w:p>
        </w:tc>
      </w:tr>
      <w:tr>
        <w:tc>
          <w:tcPr>
            <w:tcW w:type="dxa" w:w="4320"/>
          </w:tcPr>
          <w:p>
            <w:r>
              <w:t>RITM abiertos (al cierre del periodo)</w:t>
            </w:r>
          </w:p>
        </w:tc>
        <w:tc>
          <w:tcPr>
            <w:tcW w:type="dxa" w:w="4320"/>
          </w:tcPr>
          <w:p>
            <w:r>
              <w:t>{{RITM_ABIERTOS}}</w:t>
            </w:r>
          </w:p>
        </w:tc>
      </w:tr>
    </w:tbl>
    <w:p>
      <w:pPr>
        <w:pStyle w:val="Heading1"/>
      </w:pPr>
      <w:r>
        <w:t>2. Indicadores Operativos del Periodo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Periodo</w:t>
            </w:r>
          </w:p>
        </w:tc>
        <w:tc>
          <w:tcPr>
            <w:tcW w:type="dxa" w:w="1728"/>
          </w:tcPr>
          <w:p>
            <w:r>
              <w:t>Cantidad INC</w:t>
            </w:r>
          </w:p>
        </w:tc>
        <w:tc>
          <w:tcPr>
            <w:tcW w:type="dxa" w:w="1728"/>
          </w:tcPr>
          <w:p>
            <w:r>
              <w:t>Tiempo promedio INC (días)</w:t>
            </w:r>
          </w:p>
        </w:tc>
        <w:tc>
          <w:tcPr>
            <w:tcW w:type="dxa" w:w="1728"/>
          </w:tcPr>
          <w:p>
            <w:r>
              <w:t>Cantidad RITM</w:t>
            </w:r>
          </w:p>
        </w:tc>
        <w:tc>
          <w:tcPr>
            <w:tcW w:type="dxa" w:w="1728"/>
          </w:tcPr>
          <w:p>
            <w:r>
              <w:t>Tiempo promedio RITM (días)</w:t>
            </w:r>
          </w:p>
        </w:tc>
      </w:tr>
      <w:tr>
        <w:tc>
          <w:tcPr>
            <w:tcW w:type="dxa" w:w="1728"/>
          </w:tcPr>
          <w:p>
            <w:r>
              <w:t>{{MES_ANIO}}</w:t>
            </w:r>
          </w:p>
        </w:tc>
        <w:tc>
          <w:tcPr>
            <w:tcW w:type="dxa" w:w="1728"/>
          </w:tcPr>
          <w:p>
            <w:r>
              <w:t>{{INC_MES}}</w:t>
            </w:r>
          </w:p>
        </w:tc>
        <w:tc>
          <w:tcPr>
            <w:tcW w:type="dxa" w:w="1728"/>
          </w:tcPr>
          <w:p>
            <w:r>
              <w:t>{{TIEMPO_INC}}</w:t>
            </w:r>
          </w:p>
        </w:tc>
        <w:tc>
          <w:tcPr>
            <w:tcW w:type="dxa" w:w="1728"/>
          </w:tcPr>
          <w:p>
            <w:r>
              <w:t>{{RITM_MES}}</w:t>
            </w:r>
          </w:p>
        </w:tc>
        <w:tc>
          <w:tcPr>
            <w:tcW w:type="dxa" w:w="1728"/>
          </w:tcPr>
          <w:p>
            <w:r>
              <w:t>{{TIEMPO_RITM}}</w:t>
            </w:r>
          </w:p>
        </w:tc>
      </w:tr>
    </w:tbl>
    <w:p>
      <w:pPr>
        <w:pStyle w:val="Heading1"/>
      </w:pPr>
      <w:r>
        <w:t>3. Evolución y Tendencia del Servicio</w:t>
      </w:r>
    </w:p>
    <w:p>
      <w:r>
        <w:t>Gráfico comparativo de carga del periodo (INC vs RITM).</w:t>
      </w:r>
    </w:p>
    <w:p>
      <w:r>
        <w:t>[ESPACIO PARA GRÁFICO]</w:t>
      </w:r>
    </w:p>
    <w:p>
      <w:r>
        <w:t>Gráfico de tendencia de carga (últimos 6 meses).</w:t>
      </w:r>
    </w:p>
    <w:p>
      <w:r>
        <w:t>[ESPACIO PARA TENDENCIA 6M]</w:t>
      </w:r>
    </w:p>
    <w:p>
      <w:pPr>
        <w:pStyle w:val="Heading1"/>
      </w:pPr>
      <w:r>
        <w:t>4. Análisis de Tiempos de Atención</w:t>
      </w:r>
    </w:p>
    <w:p>
      <w:r>
        <w:t>El tiempo promedio de atención se calcula como la diferencia entre la fecha de creación y el hito de cierre. Este indicador permite evaluar la eficiencia operativa y el cumplimiento de objetivos de servicio.</w:t>
      </w:r>
    </w:p>
    <w:p>
      <w:r>
        <w:t>• Tiempo promedio INC: {{TIEMPO_INC}} días</w:t>
      </w:r>
    </w:p>
    <w:p>
      <w:r>
        <w:t>• Tiempo promedio RITM: {{TIEMPO_RITM}} días</w:t>
      </w:r>
    </w:p>
    <w:p>
      <w:pPr>
        <w:pStyle w:val="Heading1"/>
      </w:pPr>
      <w:r>
        <w:t>5. Conclusión Ejecutiva (Detallada)</w:t>
      </w:r>
    </w:p>
    <w:p>
      <w:r>
        <w:t>{{CONCLUSION_DETALLADA}}</w:t>
      </w:r>
    </w:p>
    <w:p>
      <w:r>
        <w:br w:type="page"/>
      </w:r>
    </w:p>
    <w:p>
      <w:pPr>
        <w:pStyle w:val="Heading1"/>
      </w:pPr>
      <w:r>
        <w:t>Anexo – BCH-APPLE: Top 5 días con mayor carga por mes</w:t>
      </w:r>
    </w:p>
    <w:p>
      <w:r>
        <w:t>Este anexo considera tickets creados (INC/RITM) asociados al grupo de asignación BCH-APPLE, agrupados por día.</w:t>
      </w:r>
    </w:p>
    <w:p>
      <w:r>
        <w:t>{{TABLAS_TOP5}}</w:t>
      </w:r>
    </w:p>
    <w:p/>
    <w:p>
      <w:r>
        <w:t>Informe generado automáticamente – Uso interno Banco de Chile / Ricoh Chile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