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Breach of Fiduciary Duty Argument — In re NewCo Stockholders Litigation</w:t>
      </w:r>
    </w:p>
    <w:p>
      <w:pPr>
        <w:pStyle w:val="FirstParagraph"/>
      </w:pPr>
      <w:r>
        <w:rPr>
          <w:b/>
          <w:bCs/>
        </w:rPr>
        <w:t xml:space="preserve">PROPOSITION:</w:t>
      </w:r>
      <w:r>
        <w:t xml:space="preserve"> </w:t>
      </w:r>
      <w:r>
        <w:t xml:space="preserve">The NewCo board of directors breached its enhanced</w:t>
      </w:r>
      <w:r>
        <w:t xml:space="preserve"> </w:t>
      </w:r>
      <w:r>
        <w:rPr>
          <w:i/>
          <w:iCs/>
        </w:rPr>
        <w:t xml:space="preserve">Revlon</w:t>
      </w:r>
      <w:r>
        <w:t xml:space="preserve"> </w:t>
      </w:r>
      <w:r>
        <w:t xml:space="preserve">duties in connection with the sale of NewCo to AcquireCorp Holdings, LLC, and the certified class is entitled to damages.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Revlon</w:t>
      </w:r>
      <w:r>
        <w:t xml:space="preserve"> </w:t>
      </w:r>
      <w:r>
        <w:t xml:space="preserve">duties were triggered because the transaction effected a change of control.</w:t>
      </w:r>
    </w:p>
    <w:p>
      <w:pPr>
        <w:numPr>
          <w:ilvl w:val="1"/>
          <w:numId w:val="1002"/>
        </w:numPr>
      </w:pPr>
      <w:r>
        <w:t xml:space="preserve">The merger was a sale of control for cash consideration.</w:t>
      </w:r>
    </w:p>
    <w:p>
      <w:pPr>
        <w:pStyle w:val="Compact"/>
        <w:numPr>
          <w:ilvl w:val="2"/>
          <w:numId w:val="1003"/>
        </w:numPr>
      </w:pPr>
      <w:r>
        <w:t xml:space="preserve">Merger Agreement Section 2.1 fixes consideration at $42.00 per share, all cash.</w:t>
      </w:r>
    </w:p>
    <w:p>
      <w:pPr>
        <w:pStyle w:val="Compact"/>
        <w:numPr>
          <w:ilvl w:val="2"/>
          <w:numId w:val="1003"/>
        </w:numPr>
      </w:pPr>
      <w:r>
        <w:t xml:space="preserve">Pre-signing, no holder owned more than 5 percent of NewCo voting stock; public float was 92 percent.</w:t>
      </w:r>
    </w:p>
    <w:p>
      <w:pPr>
        <w:pStyle w:val="Compact"/>
        <w:numPr>
          <w:ilvl w:val="2"/>
          <w:numId w:val="1003"/>
        </w:numPr>
      </w:pPr>
      <w:r>
        <w:t xml:space="preserve">Post-closing, NewCo will be a wholly-owned subsidiary of AcquireCorp Holdings, LLC.</w:t>
      </w:r>
    </w:p>
    <w:p>
      <w:pPr>
        <w:numPr>
          <w:ilvl w:val="1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QVC / Time-Warner</w:t>
      </w:r>
      <w:r>
        <w:t xml:space="preserve"> </w:t>
      </w:r>
      <w:r>
        <w:t xml:space="preserve">exception does not apply.</w:t>
      </w:r>
    </w:p>
    <w:p>
      <w:pPr>
        <w:pStyle w:val="Compact"/>
        <w:numPr>
          <w:ilvl w:val="2"/>
          <w:numId w:val="1004"/>
        </w:numPr>
      </w:pPr>
      <w:r>
        <w:t xml:space="preserve">There was no pre-existing controlling stockholder.</w:t>
      </w:r>
    </w:p>
    <w:p>
      <w:pPr>
        <w:pStyle w:val="Compact"/>
        <w:numPr>
          <w:ilvl w:val="2"/>
          <w:numId w:val="1004"/>
        </w:numPr>
      </w:pPr>
      <w:r>
        <w:t xml:space="preserve">The stock-for-stock alternative was rejected at the September 22, 2025 board meeting (Minutes at 14).</w:t>
      </w:r>
    </w:p>
    <w:p>
      <w:pPr>
        <w:numPr>
          <w:ilvl w:val="0"/>
          <w:numId w:val="1001"/>
        </w:numPr>
      </w:pPr>
      <w:r>
        <w:t xml:space="preserve">The board failed to obtain the highest reasonably available price.</w:t>
      </w:r>
    </w:p>
    <w:p>
      <w:pPr>
        <w:numPr>
          <w:ilvl w:val="1"/>
          <w:numId w:val="1005"/>
        </w:numPr>
      </w:pPr>
      <w:r>
        <w:t xml:space="preserve">Final consideration regressed materially from preliminary indications.</w:t>
      </w:r>
    </w:p>
    <w:p>
      <w:pPr>
        <w:pStyle w:val="Compact"/>
        <w:numPr>
          <w:ilvl w:val="2"/>
          <w:numId w:val="1006"/>
        </w:numPr>
      </w:pPr>
      <w:r>
        <w:t xml:space="preserve">AcquireCorp’s indication of interest dated August 12, 2025 proposed $48 to $52 per share.</w:t>
      </w:r>
    </w:p>
    <w:p>
      <w:pPr>
        <w:pStyle w:val="Compact"/>
        <w:numPr>
          <w:ilvl w:val="2"/>
          <w:numId w:val="1006"/>
        </w:numPr>
      </w:pPr>
      <w:r>
        <w:t xml:space="preserve">Final agreed price was $42.00 per share, a 16 percent reduction off the IOI midpoint.</w:t>
      </w:r>
    </w:p>
    <w:p>
      <w:pPr>
        <w:pStyle w:val="Compact"/>
        <w:numPr>
          <w:ilvl w:val="2"/>
          <w:numId w:val="1006"/>
        </w:numPr>
      </w:pPr>
      <w:r>
        <w:t xml:space="preserve">No material adverse change occurred between the IOI and signing (Disclosure Schedule 3.8 lists none).</w:t>
      </w:r>
    </w:p>
    <w:p>
      <w:pPr>
        <w:numPr>
          <w:ilvl w:val="1"/>
          <w:numId w:val="1005"/>
        </w:numPr>
      </w:pPr>
      <w:r>
        <w:t xml:space="preserve">A higher topping bidder was rebuffed without analysis.</w:t>
      </w:r>
    </w:p>
    <w:p>
      <w:pPr>
        <w:pStyle w:val="Compact"/>
        <w:numPr>
          <w:ilvl w:val="2"/>
          <w:numId w:val="1007"/>
        </w:numPr>
      </w:pPr>
      <w:r>
        <w:t xml:space="preserve">Strategic Bidder X submitted an unsolicited written proposal at $46 per share on September 30, 2025.</w:t>
      </w:r>
    </w:p>
    <w:p>
      <w:pPr>
        <w:pStyle w:val="Compact"/>
        <w:numPr>
          <w:ilvl w:val="2"/>
          <w:numId w:val="1007"/>
        </w:numPr>
      </w:pPr>
      <w:r>
        <w:t xml:space="preserve">Board minutes of October 5, 2025 reject Bidder X in two paragraphs, citing only</w:t>
      </w:r>
      <w:r>
        <w:t xml:space="preserve"> </w:t>
      </w:r>
      <w:r>
        <w:t xml:space="preserve">“execution risk.”</w:t>
      </w:r>
    </w:p>
    <w:p>
      <w:pPr>
        <w:pStyle w:val="Compact"/>
        <w:numPr>
          <w:ilvl w:val="2"/>
          <w:numId w:val="1007"/>
        </w:numPr>
      </w:pPr>
      <w:r>
        <w:t xml:space="preserve">No financial analysis of Bidder X’s offer was distributed to the board (production set NEWCO-BD-00041).</w:t>
      </w:r>
    </w:p>
    <w:p>
      <w:pPr>
        <w:numPr>
          <w:ilvl w:val="1"/>
          <w:numId w:val="1005"/>
        </w:numPr>
      </w:pPr>
      <w:r>
        <w:t xml:space="preserve">The Goldman fairness opinion is not a reliable price benchmark.</w:t>
      </w:r>
    </w:p>
    <w:p>
      <w:pPr>
        <w:pStyle w:val="Compact"/>
        <w:numPr>
          <w:ilvl w:val="2"/>
          <w:numId w:val="1008"/>
        </w:numPr>
      </w:pPr>
      <w:r>
        <w:t xml:space="preserve">Goldman’s DCF used an 11.0 percent WACC; its 2024 opinion in</w:t>
      </w:r>
      <w:r>
        <w:t xml:space="preserve"> </w:t>
      </w:r>
      <w:r>
        <w:rPr>
          <w:i/>
          <w:iCs/>
        </w:rPr>
        <w:t xml:space="preserve">Project Aria</w:t>
      </w:r>
      <w:r>
        <w:t xml:space="preserve"> </w:t>
      </w:r>
      <w:r>
        <w:t xml:space="preserve">used 9.0 percent for the same SIC code.</w:t>
      </w:r>
    </w:p>
    <w:p>
      <w:pPr>
        <w:pStyle w:val="Compact"/>
        <w:numPr>
          <w:ilvl w:val="2"/>
          <w:numId w:val="1008"/>
        </w:numPr>
      </w:pPr>
      <w:r>
        <w:t xml:space="preserve">A 200 basis point WACC differential reduces implied DCF value by approximately 18 percent on NewCo’s projection set.</w:t>
      </w:r>
    </w:p>
    <w:p>
      <w:pPr>
        <w:pStyle w:val="Compact"/>
        <w:numPr>
          <w:ilvl w:val="2"/>
          <w:numId w:val="1008"/>
        </w:numPr>
      </w:pPr>
      <w:r>
        <w:t xml:space="preserve">Goldman’s $35 million fee was 95 percent contingent on closing (Engagement Letter Section 4(b)).</w:t>
      </w:r>
    </w:p>
    <w:p>
      <w:pPr>
        <w:pStyle w:val="Compact"/>
        <w:numPr>
          <w:ilvl w:val="2"/>
          <w:numId w:val="1008"/>
        </w:numPr>
      </w:pPr>
      <w:r>
        <w:t xml:space="preserve">Goldman did not run a leveraged buyout or ability-to-pay analysis, despite AcquireCorp being a private equity sponsor.</w:t>
      </w:r>
    </w:p>
    <w:p>
      <w:pPr>
        <w:numPr>
          <w:ilvl w:val="0"/>
          <w:numId w:val="1001"/>
        </w:numPr>
      </w:pPr>
      <w:r>
        <w:t xml:space="preserve">The board’s process was conflicted and inadequate.</w:t>
      </w:r>
    </w:p>
    <w:p>
      <w:pPr>
        <w:pStyle w:val="SourceCode"/>
      </w:pPr>
      <w:r>
        <w:rPr>
          <w:rStyle w:val="VerbatimChar"/>
        </w:rPr>
        <w:t xml:space="preserve">A.  The CEO had material undisclosed financial conflicts.</w:t>
      </w:r>
      <w:r>
        <w:br/>
      </w:r>
      <w:r>
        <w:br/>
      </w:r>
      <w:r>
        <w:rPr>
          <w:rStyle w:val="VerbatimChar"/>
        </w:rPr>
        <w:t xml:space="preserve">    1.  The CEO executed an employment agreement with AcquireCorp on October 12, 2025, eleven days before signing.</w:t>
      </w:r>
      <w:r>
        <w:br/>
      </w:r>
      <w:r>
        <w:rPr>
          <w:rStyle w:val="VerbatimChar"/>
        </w:rPr>
        <w:t xml:space="preserve">    2.  Terms include a \$15 million signing bonus and three-year guaranteed compensation of \$4.5 million per year.</w:t>
      </w:r>
      <w:r>
        <w:br/>
      </w:r>
      <w:r>
        <w:rPr>
          <w:rStyle w:val="VerbatimChar"/>
        </w:rPr>
        <w:t xml:space="preserve">    3.  The CEO will roll over 25 percent of his NewCo equity into AcquireCorp Holdings (Merger Agreement Schedule 4.7).</w:t>
      </w:r>
      <w:r>
        <w:br/>
      </w:r>
      <w:r>
        <w:rPr>
          <w:rStyle w:val="VerbatimChar"/>
        </w:rPr>
        <w:t xml:space="preserve">    4.  The conflict was not disclosed to the full board until October 20, 2025.</w:t>
      </w:r>
      <w:r>
        <w:br/>
      </w:r>
      <w:r>
        <w:br/>
      </w:r>
      <w:r>
        <w:rPr>
          <w:rStyle w:val="VerbatimChar"/>
        </w:rPr>
        <w:t xml:space="preserve">B.  The lead independent director was not independent of the buyer.</w:t>
      </w:r>
      <w:r>
        <w:br/>
      </w:r>
      <w:r>
        <w:br/>
      </w:r>
      <w:r>
        <w:rPr>
          <w:rStyle w:val="VerbatimChar"/>
        </w:rPr>
        <w:t xml:space="preserve">    1.  Lead Director J. Smith sits on the boards of two AcquireCorp portfolio companies.</w:t>
      </w:r>
      <w:r>
        <w:br/>
      </w:r>
      <w:r>
        <w:rPr>
          <w:rStyle w:val="VerbatimChar"/>
        </w:rPr>
        <w:t xml:space="preserve">    2.  Smith's family office committed \$50 million to AcquireCorp Fund IV, 2024 vintage.</w:t>
      </w:r>
      <w:r>
        <w:br/>
      </w:r>
      <w:r>
        <w:rPr>
          <w:rStyle w:val="VerbatimChar"/>
        </w:rPr>
        <w:t xml:space="preserve">    3.  Smith's Fund IV investment is not disclosed in the Schedule 14A proxy.</w:t>
      </w:r>
      <w:r>
        <w:br/>
      </w:r>
      <w:r>
        <w:br/>
      </w:r>
      <w:r>
        <w:rPr>
          <w:rStyle w:val="VerbatimChar"/>
        </w:rPr>
        <w:t xml:space="preserve">C.  The special committee was formed late and was not functionally independent.</w:t>
      </w:r>
      <w:r>
        <w:br/>
      </w:r>
      <w:r>
        <w:br/>
      </w:r>
      <w:r>
        <w:rPr>
          <w:rStyle w:val="VerbatimChar"/>
        </w:rPr>
        <w:t xml:space="preserve">    1.  The committee was constituted on September 14, 2025, after price had been negotiated to \$43 per share.</w:t>
      </w:r>
      <w:r>
        <w:br/>
      </w:r>
      <w:r>
        <w:rPr>
          <w:rStyle w:val="VerbatimChar"/>
        </w:rPr>
        <w:t xml:space="preserve">    2.  Two of three committee members were recruited to the NewCo board by the CEO in 2022 to 2023.</w:t>
      </w:r>
      <w:r>
        <w:br/>
      </w:r>
      <w:r>
        <w:rPr>
          <w:rStyle w:val="VerbatimChar"/>
        </w:rPr>
        <w:t xml:space="preserve">    3.  The committee retained no independent financial advisor; it relied on Goldman.</w:t>
      </w:r>
      <w:r>
        <w:br/>
      </w:r>
      <w:r>
        <w:br/>
      </w:r>
      <w:r>
        <w:rPr>
          <w:rStyle w:val="VerbatimChar"/>
        </w:rPr>
        <w:t xml:space="preserve">D.  Deal protections were preclusive in combination.</w:t>
      </w:r>
      <w:r>
        <w:br/>
      </w:r>
      <w:r>
        <w:br/>
      </w:r>
      <w:r>
        <w:rPr>
          <w:rStyle w:val="VerbatimChar"/>
        </w:rPr>
        <w:t xml:space="preserve">    1.  Termination fee of 4.0 percent of equity value, against an industry median for comparable deals of 2.8 percent.</w:t>
      </w:r>
      <w:r>
        <w:br/>
      </w:r>
      <w:r>
        <w:rPr>
          <w:rStyle w:val="VerbatimChar"/>
        </w:rPr>
        <w:t xml:space="preserve">    2.  Five-business-day matching rights (Merger Agreement Section 6.4(d)).</w:t>
      </w:r>
      <w:r>
        <w:br/>
      </w:r>
      <w:r>
        <w:rPr>
          <w:rStyle w:val="VerbatimChar"/>
        </w:rPr>
        <w:t xml:space="preserve">    3.  Force-the-vote provision (Section 7.4) eliminates the fiduciary out short of a superior proposal.</w:t>
      </w:r>
      <w:r>
        <w:br/>
      </w:r>
      <w:r>
        <w:rPr>
          <w:rStyle w:val="VerbatimChar"/>
        </w:rPr>
        <w:t xml:space="preserve">    4.  No-shop with narrow Superior Proposal carve-out (Section 6.3).</w:t>
      </w:r>
      <w:r>
        <w:br/>
      </w:r>
      <w:r>
        <w:br/>
      </w:r>
      <w:r>
        <w:rPr>
          <w:rStyle w:val="VerbatimChar"/>
        </w:rPr>
        <w:t xml:space="preserve">E.  The post-signing go-shop was illusory.</w:t>
      </w:r>
      <w:r>
        <w:br/>
      </w:r>
      <w:r>
        <w:br/>
      </w:r>
      <w:r>
        <w:rPr>
          <w:rStyle w:val="VerbatimChar"/>
        </w:rPr>
        <w:t xml:space="preserve">    1.  The go-shop window was 25 calendar days, against an industry norm of 30 to 45.</w:t>
      </w:r>
      <w:r>
        <w:br/>
      </w:r>
      <w:r>
        <w:rPr>
          <w:rStyle w:val="VerbatimChar"/>
        </w:rPr>
        <w:t xml:space="preserve">    2.  Goldman ran the go-shop on the same contingent-fee economics.</w:t>
      </w:r>
      <w:r>
        <w:br/>
      </w:r>
      <w:r>
        <w:rPr>
          <w:rStyle w:val="VerbatimChar"/>
        </w:rPr>
        <w:t xml:space="preserve">    3.  Outreach was limited to 8 strategic buyers; no financial sponsors were contacted.</w:t>
      </w:r>
      <w:r>
        <w:br/>
      </w:r>
      <w:r>
        <w:rPr>
          <w:rStyle w:val="VerbatimChar"/>
        </w:rPr>
        <w:t xml:space="preserve">    4.  Zero topping bids emerged before the December 15, 2025 deadline.</w:t>
      </w:r>
    </w:p>
    <w:p>
      <w:pPr>
        <w:numPr>
          <w:ilvl w:val="0"/>
          <w:numId w:val="1009"/>
        </w:numPr>
      </w:pPr>
      <w:r>
        <w:t xml:space="preserve">Damages are calculable and material to the class.</w:t>
      </w:r>
    </w:p>
    <w:p>
      <w:pPr>
        <w:numPr>
          <w:ilvl w:val="1"/>
          <w:numId w:val="1010"/>
        </w:numPr>
      </w:pPr>
      <w:r>
        <w:t xml:space="preserve">Fair value materially exceeds the merger consideration.</w:t>
      </w:r>
    </w:p>
    <w:p>
      <w:pPr>
        <w:pStyle w:val="Compact"/>
        <w:numPr>
          <w:ilvl w:val="2"/>
          <w:numId w:val="1011"/>
        </w:numPr>
      </w:pPr>
      <w:r>
        <w:t xml:space="preserve">Plaintiff’s expert unconflicted DCF yields $54.50 per share.</w:t>
      </w:r>
    </w:p>
    <w:p>
      <w:pPr>
        <w:pStyle w:val="Compact"/>
        <w:numPr>
          <w:ilvl w:val="2"/>
          <w:numId w:val="1011"/>
        </w:numPr>
      </w:pPr>
      <w:r>
        <w:t xml:space="preserve">Selected-transactions analysis (12 comparables, 2022 to 2025) yields $51.00 per share at the median EV/EBITDA multiple.</w:t>
      </w:r>
    </w:p>
    <w:p>
      <w:pPr>
        <w:pStyle w:val="Compact"/>
        <w:numPr>
          <w:ilvl w:val="2"/>
          <w:numId w:val="1011"/>
        </w:numPr>
      </w:pPr>
      <w:r>
        <w:t xml:space="preserve">Unaffected-price plus comparable-premium analysis yields $50.00 per share.</w:t>
      </w:r>
    </w:p>
    <w:p>
      <w:pPr>
        <w:numPr>
          <w:ilvl w:val="1"/>
          <w:numId w:val="1010"/>
        </w:numPr>
      </w:pPr>
      <w:r>
        <w:t xml:space="preserve">Class composition is determinable.</w:t>
      </w:r>
    </w:p>
    <w:p>
      <w:pPr>
        <w:pStyle w:val="Compact"/>
        <w:numPr>
          <w:ilvl w:val="2"/>
          <w:numId w:val="1012"/>
        </w:numPr>
      </w:pPr>
      <w:r>
        <w:t xml:space="preserve">145.0 million shares were outstanding at the record date.</w:t>
      </w:r>
    </w:p>
    <w:p>
      <w:pPr>
        <w:pStyle w:val="Compact"/>
        <w:numPr>
          <w:ilvl w:val="2"/>
          <w:numId w:val="1012"/>
        </w:numPr>
      </w:pPr>
      <w:r>
        <w:t xml:space="preserve">12.0 million shares held by the CEO and other rollover or affiliated holders are excluded from the class.</w:t>
      </w:r>
    </w:p>
    <w:p>
      <w:pPr>
        <w:pStyle w:val="Compact"/>
        <w:numPr>
          <w:ilvl w:val="2"/>
          <w:numId w:val="1012"/>
        </w:numPr>
      </w:pPr>
      <w:r>
        <w:t xml:space="preserve">Class size: 133.0 million shares.</w:t>
      </w:r>
    </w:p>
    <w:p>
      <w:pPr>
        <w:numPr>
          <w:ilvl w:val="1"/>
          <w:numId w:val="1010"/>
        </w:numPr>
      </w:pPr>
      <w:r>
        <w:t xml:space="preserve">Aggregate quantum.</w:t>
      </w:r>
    </w:p>
    <w:p>
      <w:pPr>
        <w:pStyle w:val="Compact"/>
        <w:numPr>
          <w:ilvl w:val="2"/>
          <w:numId w:val="1013"/>
        </w:numPr>
      </w:pPr>
      <w:r>
        <w:t xml:space="preserve">Per-share shortfall at the $52.00 midpoint of plaintiff’s range: $10.00.</w:t>
      </w:r>
    </w:p>
    <w:p>
      <w:pPr>
        <w:pStyle w:val="Compact"/>
        <w:numPr>
          <w:ilvl w:val="2"/>
          <w:numId w:val="1013"/>
        </w:numPr>
      </w:pPr>
      <w:r>
        <w:t xml:space="preserve">Aggregate class damages: approximately $1.33 billion before pre-judgment interest.</w:t>
      </w:r>
    </w:p>
    <w:p>
      <w:pPr>
        <w:pStyle w:val="Compact"/>
        <w:numPr>
          <w:ilvl w:val="2"/>
          <w:numId w:val="1013"/>
        </w:numPr>
      </w:pPr>
      <w:r>
        <w:t xml:space="preserve">Pre-judgment interest at the Delaware legal rate (5 percent over the Federal Reserve discount rate, compounded quarterly) from closing through judgment.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Breach of Fiduciary Duty Argument — In re NewCo Stockholders Litigation</dc:title>
  <dc:creator/>
  <cp:keywords/>
  <dcterms:created xsi:type="dcterms:W3CDTF">2026-04-29T19:17:57Z</dcterms:created>
  <dcterms:modified xsi:type="dcterms:W3CDTF">2026-04-29T19:17:57Z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