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2A44"/>
          <w:sz w:val="56"/>
          <w:szCs w:val="56"/>
        </w:rPr>
        <w:t xml:space="preserve">SYNTROPIX</w:t>
      </w:r>
    </w:p>
    <w:p>
      <w:pPr>
        <w:spacing w:after="100"/>
        <w:jc w:val="center"/>
      </w:pPr>
      <w:r>
        <w:rPr>
          <w:b/>
          <w:bCs/>
          <w:color w:val="B08D57"/>
          <w:sz w:val="28"/>
          <w:szCs w:val="28"/>
        </w:rPr>
        <w:t xml:space="preserve">Statistical Analysis Plan for Psychometric Validation</w:t>
      </w:r>
    </w:p>
    <w:p>
      <w:pPr>
        <w:spacing w:after="600"/>
        <w:jc w:val="center"/>
      </w:pPr>
      <w:r>
        <w:rPr>
          <w:i/>
          <w:iCs/>
          <w:color w:val="666666"/>
        </w:rPr>
        <w:t xml:space="preserve">A methodology reference to follow once real data collection begins — not a report of results already obtained.</w:t>
      </w:r>
    </w:p>
    <w:p>
      <w:pPr>
        <w:pStyle w:val="Heading1"/>
        <w:spacing w:after="180" w:before="360"/>
      </w:pPr>
      <w:r>
        <w:t xml:space="preserve">Important: What This Document Is and Isn't</w:t>
      </w:r>
    </w:p>
    <w:p>
      <w:pPr>
        <w:spacing w:after="160" w:line="276"/>
      </w:pPr>
      <w:r>
        <w:rPr>
          <w:b/>
          <w:bCs/>
        </w:rPr>
        <w:t xml:space="preserve">This document is a methodology plan — the procedure to follow when you conduct a genuine validation study. It contains no results, because no formal validation study has been run yet. Do not populate this template with synthesized, estimated, or AI-generated statistics; every number in a completed version must come from real computation on real, properly collected data.</w:t>
      </w:r>
    </w:p>
    <w:p>
      <w:pPr>
        <w:spacing w:after="160" w:line="276"/>
      </w:pPr>
      <w:r>
        <w:t xml:space="preserve">Presenting fabricated or estimated fit indices, alpha coefficients, or sample statistics as if they were empirically obtained is scientific misconduct under AERA/APA/NCME Standards for Educational and Psychological Testing, and would expose Syntropix to serious legal and reputational risk if discovered by a journal, client, or regulator.</w:t>
      </w:r>
    </w:p>
    <w:p>
      <w:pPr>
        <w:pStyle w:val="Heading1"/>
        <w:spacing w:after="180" w:before="360"/>
      </w:pPr>
      <w:r>
        <w:t xml:space="preserve">1. Prerequisites Before Any Analysis</w:t>
      </w:r>
    </w:p>
    <w:p>
      <w:pPr>
        <w:pStyle w:val="Heading2"/>
        <w:spacing w:after="120" w:before="260"/>
      </w:pPr>
      <w:r>
        <w:t xml:space="preserve">1.1 Research-Specific Informed Consent</w:t>
      </w:r>
    </w:p>
    <w:p>
      <w:pPr>
        <w:spacing w:after="160" w:line="276"/>
      </w:pPr>
      <w:r>
        <w:t xml:space="preserve">Your current product's Terms of Service and Privacy Policy cover data collection for delivering the assessment — they do not constitute informed consent for using that data in a published research study. A separate consent step is required, explaining that responses may be used in anonymized, aggregate form for scale validation research, with an opt-out that does not affect access to their report.</w:t>
      </w:r>
    </w:p>
    <w:p>
      <w:pPr>
        <w:pStyle w:val="Heading2"/>
        <w:spacing w:after="120" w:before="260"/>
      </w:pPr>
      <w:r>
        <w:t xml:space="preserve">1.2 Ethics Review</w:t>
      </w:r>
    </w:p>
    <w:p>
      <w:pPr>
        <w:spacing w:after="160" w:line="276"/>
      </w:pPr>
      <w:r>
        <w:t xml:space="preserve">Most target journals (Psychological Methods, Psychometrika, Educational and Psychological Measurement) require or strongly expect evidence of ethics board review (an IRB, or an equivalent independent ethics committee) for human-subjects research, even when data collection happens through a commercial product. Establish this before data collection intended for publication begins.</w:t>
      </w:r>
    </w:p>
    <w:p>
      <w:pPr>
        <w:pStyle w:val="Heading2"/>
        <w:spacing w:after="120" w:before="260"/>
      </w:pPr>
      <w:r>
        <w:t xml:space="preserve">1.3 Sample Size Planning</w:t>
      </w:r>
    </w:p>
    <w:p>
      <w:pPr>
        <w:pStyle w:val="ListParagraph"/>
        <w:numPr>
          <w:ilvl w:val="0"/>
          <w:numId w:val="2"/>
        </w:numPr>
        <w:spacing w:after="90" w:line="268"/>
      </w:pPr>
      <w:r>
        <w:t xml:space="preserve">EFA: minimum 10 respondents per item, ideally 20:1, with an absolute floor of ~300 for stable factor solutions.</w:t>
      </w:r>
    </w:p>
    <w:p>
      <w:pPr>
        <w:pStyle w:val="ListParagraph"/>
        <w:numPr>
          <w:ilvl w:val="0"/>
          <w:numId w:val="2"/>
        </w:numPr>
        <w:spacing w:after="90" w:line="268"/>
      </w:pPr>
      <w:r>
        <w:t xml:space="preserve">CFA: a fully independent second sample (not a split of the same data collection wave) of comparable size, collected separately or held out in advance — never re-use the EFA sample for CFA.</w:t>
      </w:r>
    </w:p>
    <w:p>
      <w:pPr>
        <w:pStyle w:val="ListParagraph"/>
        <w:numPr>
          <w:ilvl w:val="0"/>
          <w:numId w:val="2"/>
        </w:numPr>
        <w:spacing w:after="90" w:line="268"/>
      </w:pPr>
      <w:r>
        <w:t xml:space="preserve">Test–retest reliability: a subsample of ~50–100 respondents retested after 2–4 weeks.</w:t>
      </w:r>
    </w:p>
    <w:p>
      <w:pPr>
        <w:pStyle w:val="ListParagraph"/>
        <w:numPr>
          <w:ilvl w:val="0"/>
          <w:numId w:val="2"/>
        </w:numPr>
        <w:spacing w:after="90" w:line="268"/>
      </w:pPr>
      <w:r>
        <w:t xml:space="preserve">Document actual achieved N, and demographic composition (age, gender, geography, role level), before analysis begins — this becomes your norming/sample description section.</w:t>
      </w:r>
    </w:p>
    <w:p>
      <w:pPr>
        <w:pStyle w:val="Heading1"/>
        <w:spacing w:after="180" w:before="360"/>
      </w:pPr>
      <w:r>
        <w:t xml:space="preserve">2. Construct Definition &amp; Item Development (must precede statistics)</w:t>
      </w:r>
    </w:p>
    <w:p>
      <w:pPr>
        <w:pStyle w:val="ListParagraph"/>
        <w:numPr>
          <w:ilvl w:val="0"/>
          <w:numId w:val="2"/>
        </w:numPr>
        <w:spacing w:after="90" w:line="268"/>
      </w:pPr>
      <w:r>
        <w:t xml:space="preserve">Theoretical framework: cite the psychological literature underpinning each construct being measured — this cannot be retrofitted after data collection.</w:t>
      </w:r>
    </w:p>
    <w:p>
      <w:pPr>
        <w:pStyle w:val="ListParagraph"/>
        <w:numPr>
          <w:ilvl w:val="0"/>
          <w:numId w:val="2"/>
        </w:numPr>
        <w:spacing w:after="90" w:line="268"/>
      </w:pPr>
      <w:r>
        <w:t xml:space="preserve">Domain specification: define each subscale and what it is intended to measure, before writing items.</w:t>
      </w:r>
    </w:p>
    <w:p>
      <w:pPr>
        <w:pStyle w:val="ListParagraph"/>
        <w:numPr>
          <w:ilvl w:val="0"/>
          <w:numId w:val="2"/>
        </w:numPr>
        <w:spacing w:after="90" w:line="268"/>
      </w:pPr>
      <w:r>
        <w:t xml:space="preserve">Item generation: document how items were written, by whom, and against what specification.</w:t>
      </w:r>
    </w:p>
    <w:p>
      <w:pPr>
        <w:pStyle w:val="ListParagraph"/>
        <w:numPr>
          <w:ilvl w:val="0"/>
          <w:numId w:val="2"/>
        </w:numPr>
        <w:spacing w:after="90" w:line="268"/>
      </w:pPr>
      <w:r>
        <w:t xml:space="preserve">Content Validity Ratio (CVR): have independent subject-matter experts (not Syntropix staff) rate each item's relevance; compute Lawshe's CVR and drop/revise items below the recommended threshold for your panel size.</w:t>
      </w:r>
    </w:p>
    <w:p>
      <w:pPr>
        <w:pStyle w:val="Heading1"/>
        <w:spacing w:after="180" w:before="360"/>
      </w:pPr>
      <w:r>
        <w:t xml:space="preserve">3. Exploratory Factor Analysis (EFA) — Phase 1 Sample</w:t>
      </w:r>
    </w:p>
    <w:p>
      <w:pPr>
        <w:pStyle w:val="ListParagraph"/>
        <w:numPr>
          <w:ilvl w:val="0"/>
          <w:numId w:val="2"/>
        </w:numPr>
        <w:spacing w:after="90" w:line="268"/>
      </w:pPr>
      <w:r>
        <w:t xml:space="preserve">Check suitability first: Kaiser-Meyer-Olkin (KMO) measure of sampling adequacy (target &gt;0.80) and Bartlett's Test of Sphericity (must be significant).</w:t>
      </w:r>
    </w:p>
    <w:p>
      <w:pPr>
        <w:pStyle w:val="ListParagraph"/>
        <w:numPr>
          <w:ilvl w:val="0"/>
          <w:numId w:val="2"/>
        </w:numPr>
        <w:spacing w:after="90" w:line="268"/>
      </w:pPr>
      <w:r>
        <w:t xml:space="preserve">Extraction method: Principal Axis Factoring (preferred for psychological constructs) or Maximum Likelihood.</w:t>
      </w:r>
    </w:p>
    <w:p>
      <w:pPr>
        <w:pStyle w:val="ListParagraph"/>
        <w:numPr>
          <w:ilvl w:val="0"/>
          <w:numId w:val="2"/>
        </w:numPr>
        <w:spacing w:after="90" w:line="268"/>
      </w:pPr>
      <w:r>
        <w:t xml:space="preserve">Factor retention: parallel analysis and/or Kaiser criterion (eigenvalues &gt;1) plus visual scree plot inspection — do not rely on eigenvalue-only rules alone.</w:t>
      </w:r>
    </w:p>
    <w:p>
      <w:pPr>
        <w:pStyle w:val="ListParagraph"/>
        <w:numPr>
          <w:ilvl w:val="0"/>
          <w:numId w:val="2"/>
        </w:numPr>
        <w:spacing w:after="90" w:line="268"/>
      </w:pPr>
      <w:r>
        <w:t xml:space="preserve">Rotation: Oblique rotation (e.g., Promax or Direct Oblimin) if factors are theoretically expected to correlate — not Varimax by default.</w:t>
      </w:r>
    </w:p>
    <w:p>
      <w:pPr>
        <w:pStyle w:val="ListParagraph"/>
        <w:numPr>
          <w:ilvl w:val="0"/>
          <w:numId w:val="2"/>
        </w:numPr>
        <w:spacing w:after="90" w:line="268"/>
      </w:pPr>
      <w:r>
        <w:t xml:space="preserve">Item retention rule: keep items with primary loadings ≥0.40 and no cross-loading within 0.20 of their primary loading.</w:t>
      </w:r>
    </w:p>
    <w:p>
      <w:pPr>
        <w:pStyle w:val="ListParagraph"/>
        <w:numPr>
          <w:ilvl w:val="0"/>
          <w:numId w:val="2"/>
        </w:numPr>
        <w:spacing w:after="90" w:line="268"/>
      </w:pPr>
      <w:r>
        <w:t xml:space="preserve">Tools: R (psych, GPArotation packages) or Python (factor_analyzer) — both produce auditable, reproducible output suitable for a supplementary materials package.</w:t>
      </w:r>
    </w:p>
    <w:p>
      <w:pPr>
        <w:pStyle w:val="Heading1"/>
        <w:spacing w:after="180" w:before="360"/>
      </w:pPr>
      <w:r>
        <w:t xml:space="preserve">4. Confirmatory Factor Analysis (CFA) — Phase 2, Independent Sample</w:t>
      </w:r>
    </w:p>
    <w:p>
      <w:pPr>
        <w:pStyle w:val="ListParagraph"/>
        <w:numPr>
          <w:ilvl w:val="0"/>
          <w:numId w:val="2"/>
        </w:numPr>
        <w:spacing w:after="90" w:line="268"/>
      </w:pPr>
      <w:r>
        <w:t xml:space="preserve">Specify the measurement model exactly as derived from EFA — CFA tests a pre-registered structure, it does not re-explore it.</w:t>
      </w:r>
    </w:p>
    <w:p>
      <w:pPr>
        <w:pStyle w:val="ListParagraph"/>
        <w:numPr>
          <w:ilvl w:val="0"/>
          <w:numId w:val="2"/>
        </w:numPr>
        <w:spacing w:after="90" w:line="268"/>
      </w:pPr>
      <w:r>
        <w:t xml:space="preserve">Report fit indices: χ²/df, CFI (&gt;0.90 acceptable, &gt;0.95 excellent), TLI, RMSEA (&lt;0.08 acceptable, &lt;0.06 excellent) with 90% CI, and SRMR (&lt;0.08).</w:t>
      </w:r>
    </w:p>
    <w:p>
      <w:pPr>
        <w:pStyle w:val="ListParagraph"/>
        <w:numPr>
          <w:ilvl w:val="0"/>
          <w:numId w:val="2"/>
        </w:numPr>
        <w:spacing w:after="90" w:line="268"/>
      </w:pPr>
      <w:r>
        <w:t xml:space="preserve">Tools: R (lavaan package) is the field standard and is what most reviewers will expect to see referenced.</w:t>
      </w:r>
    </w:p>
    <w:p>
      <w:pPr>
        <w:pStyle w:val="ListParagraph"/>
        <w:numPr>
          <w:ilvl w:val="0"/>
          <w:numId w:val="2"/>
        </w:numPr>
        <w:spacing w:after="90" w:line="268"/>
      </w:pPr>
      <w:r>
        <w:t xml:space="preserve">Pre-register the model specification (e.g., via OSF) before running CFA, to demonstrate it was confirmatory, not exploratory-in-disguise.</w:t>
      </w:r>
    </w:p>
    <w:p>
      <w:pPr>
        <w:pStyle w:val="Heading1"/>
        <w:spacing w:after="180" w:before="360"/>
      </w:pPr>
      <w:r>
        <w:t xml:space="preserve">5. Convergent &amp; Discriminant Validity</w:t>
      </w:r>
    </w:p>
    <w:p>
      <w:pPr>
        <w:pStyle w:val="ListParagraph"/>
        <w:numPr>
          <w:ilvl w:val="0"/>
          <w:numId w:val="2"/>
        </w:numPr>
        <w:spacing w:after="90" w:line="268"/>
      </w:pPr>
      <w:r>
        <w:t xml:space="preserve">Convergent: correlate subscales with theoretically related, previously validated instruments (e.g., an established resilience or self-efficacy scale) — expect moderate-to-strong correlations.</w:t>
      </w:r>
    </w:p>
    <w:p>
      <w:pPr>
        <w:pStyle w:val="ListParagraph"/>
        <w:numPr>
          <w:ilvl w:val="0"/>
          <w:numId w:val="2"/>
        </w:numPr>
        <w:spacing w:after="90" w:line="268"/>
      </w:pPr>
      <w:r>
        <w:t xml:space="preserve">Discriminant: correlate with theoretically unrelated constructs — expect weak/near-zero correlations. Consider the Fornell-Larcker criterion or HTMT ratio for a more rigorous discriminant validity test.</w:t>
      </w:r>
    </w:p>
    <w:p>
      <w:pPr>
        <w:pStyle w:val="Heading1"/>
        <w:spacing w:after="180" w:before="360"/>
      </w:pPr>
      <w:r>
        <w:t xml:space="preserve">6. Reliability Testing</w:t>
      </w:r>
    </w:p>
    <w:p>
      <w:pPr>
        <w:pStyle w:val="ListParagraph"/>
        <w:numPr>
          <w:ilvl w:val="0"/>
          <w:numId w:val="2"/>
        </w:numPr>
        <w:spacing w:after="90" w:line="268"/>
      </w:pPr>
      <w:r>
        <w:t xml:space="preserve">Internal consistency: Cronbach's alpha (α ≥0.70 minimum, ≥0.80 preferred) AND McDonald's omega (ω) — omega is increasingly expected by reviewers as it doesn't assume tau-equivalence.</w:t>
      </w:r>
    </w:p>
    <w:p>
      <w:pPr>
        <w:pStyle w:val="ListParagraph"/>
        <w:numPr>
          <w:ilvl w:val="0"/>
          <w:numId w:val="2"/>
        </w:numPr>
        <w:spacing w:after="90" w:line="268"/>
      </w:pPr>
      <w:r>
        <w:t xml:space="preserve">Test–retest: Intraclass Correlation Coefficient (ICC, two-way mixed, absolute agreement) or Pearson r over the 2–4 week interval from the retest subsample.</w:t>
      </w:r>
    </w:p>
    <w:p>
      <w:pPr>
        <w:pStyle w:val="Heading1"/>
        <w:spacing w:after="180" w:before="360"/>
      </w:pPr>
      <w:r>
        <w:t xml:space="preserve">7. Norming &amp; Scoring Documentation</w:t>
      </w:r>
    </w:p>
    <w:p>
      <w:pPr>
        <w:pStyle w:val="ListParagraph"/>
        <w:numPr>
          <w:ilvl w:val="0"/>
          <w:numId w:val="2"/>
        </w:numPr>
        <w:spacing w:after="90" w:line="268"/>
      </w:pPr>
      <w:r>
        <w:t xml:space="preserve">Report full sample demographics underlying any norms published (N, age range/mean, gender split, geography, seniority/role).</w:t>
      </w:r>
    </w:p>
    <w:p>
      <w:pPr>
        <w:pStyle w:val="ListParagraph"/>
        <w:numPr>
          <w:ilvl w:val="0"/>
          <w:numId w:val="2"/>
        </w:numPr>
        <w:spacing w:after="90" w:line="268"/>
      </w:pPr>
      <w:r>
        <w:t xml:space="preserve">Publish a standardized administration manual: exact instructions given to participants, testing conditions, and the scoring/interpretation rubric (percentile or sten-based cut-offs).</w:t>
      </w:r>
    </w:p>
    <w:p>
      <w:pPr>
        <w:pStyle w:val="Heading1"/>
        <w:spacing w:after="180" w:before="360"/>
      </w:pPr>
      <w:r>
        <w:t xml:space="preserve">8. Manuscript &amp; Submission Workflow</w:t>
      </w:r>
    </w:p>
    <w:p>
      <w:pPr>
        <w:pStyle w:val="ListParagraph"/>
        <w:numPr>
          <w:ilvl w:val="0"/>
          <w:numId w:val="2"/>
        </w:numPr>
        <w:spacing w:after="90" w:line="268"/>
      </w:pPr>
      <w:r>
        <w:t xml:space="preserve">Structure: Introduction, Methods, Results, Discussion (IMRaD) for the academic paper — separate entirely from any business-facing white paper, which should never claim peer-reviewed status it doesn't have.</w:t>
      </w:r>
    </w:p>
    <w:p>
      <w:pPr>
        <w:pStyle w:val="ListParagraph"/>
        <w:numPr>
          <w:ilvl w:val="0"/>
          <w:numId w:val="2"/>
        </w:numPr>
        <w:spacing w:after="90" w:line="268"/>
      </w:pPr>
      <w:r>
        <w:t xml:space="preserve">Formatting: APA 7th edition; prepare an anonymized manuscript version for double-blind review per target journal requirements.</w:t>
      </w:r>
    </w:p>
    <w:p>
      <w:pPr>
        <w:pStyle w:val="ListParagraph"/>
        <w:numPr>
          <w:ilvl w:val="0"/>
          <w:numId w:val="2"/>
        </w:numPr>
        <w:spacing w:after="90" w:line="268"/>
      </w:pPr>
      <w:r>
        <w:t xml:space="preserve">Journal fit: use Elsevier JournalFinder or the Springer Journal Suggester with your actual abstract once results exist.</w:t>
      </w:r>
    </w:p>
    <w:p>
      <w:pPr>
        <w:pStyle w:val="ListParagraph"/>
        <w:numPr>
          <w:ilvl w:val="0"/>
          <w:numId w:val="2"/>
        </w:numPr>
        <w:spacing w:after="90" w:line="268"/>
      </w:pPr>
      <w:r>
        <w:t xml:space="preserve">Data availability: deposit anonymized data, scoring rubric, and exact item text on the Open Science Framework (OSF) as supplementary material — this is now expected practice for the journals on your target list.</w:t>
      </w:r>
    </w:p>
    <w:p>
      <w:pPr>
        <w:spacing w:after="160" w:line="276"/>
      </w:pPr>
      <w:r>
        <w:t xml:space="preserve">Target journals you listed (Psychological Methods, Psychometrika, Educational and Psychological Measurement, Applied Psychological Measurement, Assessment, Journal of Personality Assessment, Frontiers in Psychology, Journal of Applied Psychology) are all realistic and appropriate for a genuinely validated instrument — the gating factor is completing Sections 1–7 with real data first.</w:t>
      </w:r>
    </w:p>
    <w:p>
      <w:pPr>
        <w:pStyle w:val="Heading1"/>
        <w:spacing w:after="180" w:before="360"/>
      </w:pPr>
      <w:r>
        <w:t xml:space="preserve">Recommended Sequencing</w:t>
      </w:r>
    </w:p>
    <w:p>
      <w:pPr>
        <w:spacing w:after="160" w:line="276"/>
      </w:pPr>
      <w:r>
        <w:t xml:space="preserve">1) Secure research consent + ethics review  →  2) Collect EFA sample  →  3) Run EFA, finalize item set  →  4) Collect independent CFA sample  →  5) Run CFA + reliability + validity analyses  →  6) Draft manuscript from actual results  →  7) Pre-submission journal fit check  →  8) Submit.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6" w:space="4"/>
      </w:pBdr>
      <w:spacing w:after="180" w:before="360"/>
    </w:pPr>
    <w:rPr>
      <w:b/>
      <w:bCs/>
      <w:color w:val="1F2A44"/>
      <w:sz w:val="30"/>
      <w:szCs w:val="30"/>
    </w:rPr>
  </w:style>
  <w:style w:type="paragraph" w:styleId="Heading2">
    <w:name w:val="Heading 2"/>
    <w:basedOn w:val="Normal"/>
    <w:next w:val="Normal"/>
    <w:qFormat/>
    <w:pPr>
      <w:spacing w:after="120" w:before="260"/>
    </w:pPr>
    <w:rPr>
      <w:b/>
      <w:bCs/>
      <w:color w:val="1F2A4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2026-09-03T10:39:19.791Z</dcterms:created>
  <dcterms:modified xsi:type="dcterms:W3CDTF">2026-09-03T10:39:19.802Z</dcterms:modified>
</cp:coreProperties>
</file>

<file path=docProps/custom.xml><?xml version="1.0" encoding="utf-8"?>
<Properties xmlns="http://schemas.openxmlformats.org/officeDocument/2006/custom-properties" xmlns:vt="http://schemas.openxmlformats.org/officeDocument/2006/docPropsVTypes"/>
</file>