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Method SYN-EVAL-001 (synthetic)</w:t>
      </w:r>
    </w:p>
    <w:p>
      <w:pPr>
        <w:pStyle w:val="Heading1"/>
      </w:pPr>
      <w:r>
        <w:t>6 Materials</w:t>
      </w:r>
    </w:p>
    <w:p>
      <w:pPr>
        <w:pStyle w:val="Heading2"/>
      </w:pPr>
      <w:r>
        <w:t>6.2 Reagents</w:t>
      </w:r>
    </w:p>
    <w:p>
      <w:r>
        <w:t>The following synthetic reagents are used.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Cat. No.</w:t>
            </w:r>
          </w:p>
        </w:tc>
        <w:tc>
          <w:tcPr>
            <w:tcW w:type="dxa" w:w="1728"/>
          </w:tcPr>
          <w:p>
            <w:r>
              <w:t>Pack</w:t>
            </w:r>
          </w:p>
        </w:tc>
        <w:tc>
          <w:tcPr>
            <w:tcW w:type="dxa" w:w="1728"/>
          </w:tcPr>
          <w:p>
            <w:r>
              <w:t>Storage</w:t>
            </w:r>
          </w:p>
        </w:tc>
      </w:tr>
      <w:tr>
        <w:tc>
          <w:tcPr>
            <w:tcW w:type="dxa" w:w="1728"/>
          </w:tcPr>
          <w:p>
            <w:r>
              <w:t>Synthetic Coating Antibody</w:t>
            </w:r>
          </w:p>
        </w:tc>
        <w:tc>
          <w:tcPr>
            <w:tcW w:type="dxa" w:w="1728"/>
          </w:tcPr>
          <w:p>
            <w:r>
              <w:t>Synthetic Vendor One</w:t>
            </w:r>
          </w:p>
        </w:tc>
        <w:tc>
          <w:tcPr>
            <w:tcW w:type="dxa" w:w="1728"/>
          </w:tcPr>
          <w:p>
            <w:r>
              <w:t>SYN-1001</w:t>
            </w:r>
          </w:p>
        </w:tc>
        <w:tc>
          <w:tcPr>
            <w:tcW w:type="dxa" w:w="1728"/>
          </w:tcPr>
          <w:p>
            <w:r>
              <w:t>1 mL vial</w:t>
            </w:r>
          </w:p>
        </w:tc>
        <w:tc>
          <w:tcPr>
            <w:tcW w:type="dxa" w:w="1728"/>
          </w:tcPr>
          <w:p>
            <w:r>
              <w:t>-20 °C</w:t>
            </w:r>
          </w:p>
        </w:tc>
      </w:tr>
      <w:tr>
        <w:tc>
          <w:tcPr>
            <w:tcW w:type="dxa" w:w="1728"/>
          </w:tcPr>
          <w:p>
            <w:r>
              <w:t>Synthetic Wash Buffer</w:t>
            </w:r>
          </w:p>
        </w:tc>
        <w:tc>
          <w:tcPr>
            <w:tcW w:type="dxa" w:w="1728"/>
          </w:tcPr>
          <w:p>
            <w:r>
              <w:t>Synthetic Vendor Two</w:t>
            </w:r>
          </w:p>
        </w:tc>
        <w:tc>
          <w:tcPr>
            <w:tcW w:type="dxa" w:w="1728"/>
          </w:tcPr>
          <w:p>
            <w:r>
              <w:t>SYN-2001, SYN-2002</w:t>
            </w:r>
          </w:p>
        </w:tc>
        <w:tc>
          <w:tcPr>
            <w:tcW w:type="dxa" w:w="1728"/>
          </w:tcPr>
          <w:p>
            <w:r>
              <w:t>500 mL bottle</w:t>
            </w:r>
          </w:p>
        </w:tc>
        <w:tc>
          <w:tcPr>
            <w:tcW w:type="dxa" w:w="1728"/>
          </w:tcPr>
          <w:p>
            <w:r>
              <w:t>2–8 °C</w:t>
            </w:r>
          </w:p>
        </w:tc>
      </w:tr>
    </w:tbl>
    <w:p>
      <w:pPr>
        <w:pStyle w:val="Heading2"/>
      </w:pPr>
      <w:r>
        <w:t>6.3 Equipment</w:t>
      </w:r>
    </w:p>
    <w:p>
      <w:r>
        <w:t>Synthetic Plate Reader (synthetic instrument).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