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pPr>
      <w:r>
        <w:rPr>
          <w:rFonts w:ascii="Calibri" w:hAnsi="Calibri"/>
          <w:b/>
          <w:color w:val="1B3A6B"/>
          <w:sz w:val="52"/>
        </w:rPr>
        <w:t>HIGH-LEVEL DESIGN DOCUMENT</w:t>
      </w:r>
    </w:p>
    <w:p>
      <w:pPr>
        <w:spacing w:after="40"/>
      </w:pPr>
      <w:r>
        <w:rPr>
          <w:rFonts w:ascii="Calibri" w:hAnsi="Calibri"/>
          <w:color w:val="C44C03"/>
          <w:sz w:val="32"/>
        </w:rPr>
        <w:t>CSR Fund Management System</w:t>
      </w:r>
    </w:p>
    <w:p>
      <w:pPr>
        <w:spacing w:after="240"/>
      </w:pPr>
      <w:r>
        <w:rPr>
          <w:rFonts w:ascii="Calibri" w:hAnsi="Calibri"/>
          <w:i/>
          <w:color w:val="334155"/>
          <w:sz w:val="19"/>
        </w:rPr>
        <w:t>HLD v1.0  |  April 2026  |  Sevak Digital Technologies Pvt. Ltd.</w:t>
      </w:r>
    </w:p>
    <w:p>
      <w:pPr>
        <w:spacing w:before="40" w:after="120"/>
        <w:pBdr>
          <w:bottom w:val="single" w:sz="6" w:space="1" w:color="C44C03"/>
        </w:pBdr>
      </w:pPr>
    </w:p>
    <w:p/>
    <w:tbl>
      <w:tblPr>
        <w:tblStyle w:val="TableGrid"/>
        <w:tblW w:type="auto" w:w="0"/>
        <w:jc w:val="left"/>
        <w:tblLook w:firstColumn="1" w:firstRow="1" w:lastColumn="0" w:lastRow="0" w:noHBand="0" w:noVBand="1" w:val="04A0"/>
      </w:tblPr>
      <w:tblGrid>
        <w:gridCol w:w="2592"/>
        <w:gridCol w:w="6912"/>
      </w:tblGrid>
      <w:tr>
        <w:tc>
          <w:tcPr>
            <w:tcW w:type="dxa" w:w="2592"/>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Document Type</w:t>
            </w:r>
          </w:p>
        </w:tc>
        <w:tc>
          <w:tcPr>
            <w:tcW w:type="dxa" w:w="6912"/>
            <w:shd w:val="clear" w:color="auto" w:fill="EBF0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High-Level Design (HLD)</w:t>
            </w:r>
          </w:p>
        </w:tc>
      </w:tr>
      <w:tr>
        <w:tc>
          <w:tcPr>
            <w:tcW w:type="dxa" w:w="2592"/>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Version</w:t>
            </w:r>
          </w:p>
        </w:tc>
        <w:tc>
          <w:tcPr>
            <w:tcW w:type="dxa" w:w="6912"/>
            <w:shd w:val="clear" w:color="auto" w:fill="EBF0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v1.0 — Initial Release</w:t>
            </w:r>
          </w:p>
        </w:tc>
      </w:tr>
      <w:tr>
        <w:tc>
          <w:tcPr>
            <w:tcW w:type="dxa" w:w="2592"/>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Date</w:t>
            </w:r>
          </w:p>
        </w:tc>
        <w:tc>
          <w:tcPr>
            <w:tcW w:type="dxa" w:w="6912"/>
            <w:shd w:val="clear" w:color="auto" w:fill="EBF0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April 2026</w:t>
            </w:r>
          </w:p>
        </w:tc>
      </w:tr>
      <w:tr>
        <w:tc>
          <w:tcPr>
            <w:tcW w:type="dxa" w:w="2592"/>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Prepared By</w:t>
            </w:r>
          </w:p>
        </w:tc>
        <w:tc>
          <w:tcPr>
            <w:tcW w:type="dxa" w:w="6912"/>
            <w:shd w:val="clear" w:color="auto" w:fill="EBF0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Sevak Digital Technologies Pvt. Ltd.</w:t>
            </w:r>
          </w:p>
        </w:tc>
      </w:tr>
      <w:tr>
        <w:tc>
          <w:tcPr>
            <w:tcW w:type="dxa" w:w="2592"/>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Client</w:t>
            </w:r>
          </w:p>
        </w:tc>
        <w:tc>
          <w:tcPr>
            <w:tcW w:type="dxa" w:w="6912"/>
            <w:shd w:val="clear" w:color="auto" w:fill="EBF0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School Management ERP</w:t>
            </w:r>
          </w:p>
        </w:tc>
      </w:tr>
      <w:tr>
        <w:tc>
          <w:tcPr>
            <w:tcW w:type="dxa" w:w="2592"/>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Confidential</w:t>
            </w:r>
          </w:p>
        </w:tc>
        <w:tc>
          <w:tcPr>
            <w:tcW w:type="dxa" w:w="6912"/>
            <w:shd w:val="clear" w:color="auto" w:fill="EBF0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Internal Use Only</w:t>
            </w:r>
          </w:p>
        </w:tc>
      </w:tr>
    </w:tbl>
    <w:p/>
    <w:p>
      <w:pPr>
        <w:pStyle w:val="Heading1"/>
        <w:spacing w:before="360" w:after="160"/>
      </w:pPr>
      <w:r>
        <w:rPr>
          <w:rFonts w:ascii="Calibri" w:hAnsi="Calibri"/>
          <w:b/>
          <w:color w:val="1B3A6B"/>
          <w:sz w:val="36"/>
        </w:rPr>
        <w:t>1. Introduction</w:t>
      </w:r>
    </w:p>
    <w:p>
      <w:pPr>
        <w:spacing w:before="40" w:after="120"/>
        <w:pBdr>
          <w:bottom w:val="single" w:sz="6" w:space="1" w:color="CBD5E1"/>
        </w:pBdr>
      </w:pPr>
    </w:p>
    <w:p>
      <w:pPr>
        <w:pStyle w:val="Heading2"/>
        <w:spacing w:before="280" w:after="120"/>
      </w:pPr>
      <w:r>
        <w:rPr>
          <w:rFonts w:ascii="Calibri" w:hAnsi="Calibri"/>
          <w:b/>
          <w:color w:val="C44C03"/>
          <w:sz w:val="26"/>
        </w:rPr>
        <w:t>1.1 Purpose</w:t>
      </w:r>
    </w:p>
    <w:p>
      <w:pPr>
        <w:spacing w:before="0" w:after="120"/>
      </w:pPr>
      <w:r>
        <w:rPr>
          <w:rFonts w:ascii="Calibri" w:hAnsi="Calibri"/>
          <w:b w:val="0"/>
          <w:i w:val="0"/>
          <w:color w:val="1E293B"/>
          <w:sz w:val="21"/>
        </w:rPr>
        <w:t>This High-Level Design document describes the overall system architecture, component structure, data flow, and technology choices for the CSR Fund Management System. It serves as the primary architectural reference for development teams, solution architects, and project stakeholders.</w:t>
      </w:r>
    </w:p>
    <w:p>
      <w:pPr>
        <w:pStyle w:val="Heading2"/>
        <w:spacing w:before="280" w:after="120"/>
      </w:pPr>
      <w:r>
        <w:rPr>
          <w:rFonts w:ascii="Calibri" w:hAnsi="Calibri"/>
          <w:b/>
          <w:color w:val="C44C03"/>
          <w:sz w:val="26"/>
        </w:rPr>
        <w:t>1.2 Scope</w:t>
      </w:r>
    </w:p>
    <w:p>
      <w:pPr>
        <w:spacing w:before="0" w:after="120"/>
      </w:pPr>
      <w:r>
        <w:rPr>
          <w:rFonts w:ascii="Calibri" w:hAnsi="Calibri"/>
          <w:b w:val="0"/>
          <w:i w:val="0"/>
          <w:color w:val="1E293B"/>
          <w:sz w:val="21"/>
        </w:rPr>
        <w:t>The CSR Fund Management System enables end-to-end tracking of Corporate Social Responsibility funds from donor onboarding to fund utilization across school branches. The system supports four user roles — Admin, CSR Coordinator, Branch School User, and Donor — with full transparency through automated communications and real-time reporting.</w:t>
      </w:r>
    </w:p>
    <w:p>
      <w:pPr>
        <w:pStyle w:val="Heading2"/>
        <w:spacing w:before="280" w:after="120"/>
      </w:pPr>
      <w:r>
        <w:rPr>
          <w:rFonts w:ascii="Calibri" w:hAnsi="Calibri"/>
          <w:b/>
          <w:color w:val="C44C03"/>
          <w:sz w:val="26"/>
        </w:rPr>
        <w:t>1.3 System Goals</w:t>
      </w:r>
    </w:p>
    <w:p>
      <w:pPr>
        <w:pStyle w:val="ListBullet"/>
        <w:spacing w:before="20" w:after="40"/>
      </w:pPr>
      <w:r>
        <w:rPr>
          <w:rFonts w:ascii="Calibri" w:hAnsi="Calibri"/>
          <w:color w:val="1E293B"/>
          <w:sz w:val="20"/>
        </w:rPr>
        <w:t>Centralise CSR fund lifecycle management in a single web platform</w:t>
      </w:r>
    </w:p>
    <w:p>
      <w:pPr>
        <w:pStyle w:val="ListBullet"/>
        <w:spacing w:before="20" w:after="40"/>
      </w:pPr>
      <w:r>
        <w:rPr>
          <w:rFonts w:ascii="Calibri" w:hAnsi="Calibri"/>
          <w:color w:val="1E293B"/>
          <w:sz w:val="20"/>
        </w:rPr>
        <w:t>Automate email communications at each stage of the fund journey</w:t>
      </w:r>
    </w:p>
    <w:p>
      <w:pPr>
        <w:pStyle w:val="ListBullet"/>
        <w:spacing w:before="20" w:after="40"/>
      </w:pPr>
      <w:r>
        <w:rPr>
          <w:rFonts w:ascii="Calibri" w:hAnsi="Calibri"/>
          <w:color w:val="1E293B"/>
          <w:sz w:val="20"/>
        </w:rPr>
        <w:t>Provide role-based dashboards for transparency and accountability</w:t>
      </w:r>
    </w:p>
    <w:p>
      <w:pPr>
        <w:pStyle w:val="ListBullet"/>
        <w:spacing w:before="20" w:after="40"/>
      </w:pPr>
      <w:r>
        <w:rPr>
          <w:rFonts w:ascii="Calibri" w:hAnsi="Calibri"/>
          <w:color w:val="1E293B"/>
          <w:sz w:val="20"/>
        </w:rPr>
        <w:t>Enable document upload and audit trail for compliance</w:t>
      </w:r>
    </w:p>
    <w:p>
      <w:pPr>
        <w:pStyle w:val="ListBullet"/>
        <w:spacing w:before="20" w:after="40"/>
      </w:pPr>
      <w:r>
        <w:rPr>
          <w:rFonts w:ascii="Calibri" w:hAnsi="Calibri"/>
          <w:color w:val="1E293B"/>
          <w:sz w:val="20"/>
        </w:rPr>
        <w:t>Support multi-branch fund allocation and utilization tracking</w:t>
      </w:r>
    </w:p>
    <w:p>
      <w:pPr>
        <w:pStyle w:val="ListBullet"/>
        <w:spacing w:before="20" w:after="40"/>
      </w:pPr>
      <w:r>
        <w:rPr>
          <w:rFonts w:ascii="Calibri" w:hAnsi="Calibri"/>
          <w:color w:val="1E293B"/>
          <w:sz w:val="20"/>
        </w:rPr>
        <w:t>Align user roles with existing School Management ERP hierarchy</w:t>
      </w:r>
    </w:p>
    <w:p>
      <w:pPr>
        <w:pStyle w:val="Heading2"/>
        <w:spacing w:before="280" w:after="120"/>
      </w:pPr>
      <w:r>
        <w:rPr>
          <w:rFonts w:ascii="Calibri" w:hAnsi="Calibri"/>
          <w:b/>
          <w:color w:val="C44C03"/>
          <w:sz w:val="26"/>
        </w:rPr>
        <w:t>1.4 Definitions</w:t>
      </w:r>
    </w:p>
    <w:tbl>
      <w:tblPr>
        <w:tblStyle w:val="TableGrid"/>
        <w:tblW w:type="auto" w:w="0"/>
        <w:tblLook w:firstColumn="1" w:firstRow="1" w:lastColumn="0" w:lastRow="0" w:noHBand="0" w:noVBand="1" w:val="04A0"/>
      </w:tblPr>
      <w:tblGrid>
        <w:gridCol w:w="4873"/>
        <w:gridCol w:w="4873"/>
      </w:tblGrid>
      <w:tr>
        <w:tc>
          <w:tcPr>
            <w:tcW w:type="dxa" w:w="4873"/>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Term</w:t>
            </w:r>
          </w:p>
        </w:tc>
        <w:tc>
          <w:tcPr>
            <w:tcW w:type="dxa" w:w="4873"/>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Definition</w:t>
            </w:r>
          </w:p>
        </w:tc>
      </w:tr>
      <w:tr>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CSR</w:t>
            </w:r>
          </w:p>
        </w:tc>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Corporate Social Responsibility — mandatory company spend (&gt;=2% of net profit per Companies Act 2013)</w:t>
            </w:r>
          </w:p>
        </w:tc>
      </w:tr>
      <w:tr>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Donor</w:t>
            </w:r>
          </w:p>
        </w:tc>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CSR Company providing funds to the school management system</w:t>
            </w:r>
          </w:p>
        </w:tc>
      </w:tr>
      <w:tr>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Proposal</w:t>
            </w:r>
          </w:p>
        </w:tc>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A fund request document submitted by CSR Coordinator for donor approval</w:t>
            </w:r>
          </w:p>
        </w:tc>
      </w:tr>
      <w:tr>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Allocation</w:t>
            </w:r>
          </w:p>
        </w:tc>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Admin-approved assignment of approved proposal funds to a specific school branch</w:t>
            </w:r>
          </w:p>
        </w:tc>
      </w:tr>
      <w:tr>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Utilization</w:t>
            </w:r>
          </w:p>
        </w:tc>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Record of actual spend by a branch against an allocation, backed by bills/proofs</w:t>
            </w:r>
          </w:p>
        </w:tc>
      </w:tr>
      <w:tr>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FY</w:t>
            </w:r>
          </w:p>
        </w:tc>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Financial Year (e.g., 2024-2025)</w:t>
            </w:r>
          </w:p>
        </w:tc>
      </w:tr>
    </w:tbl>
    <w:p/>
    <w:p>
      <w:r>
        <w:br w:type="page"/>
      </w:r>
    </w:p>
    <w:p>
      <w:pPr>
        <w:pStyle w:val="Heading1"/>
        <w:spacing w:before="360" w:after="160"/>
      </w:pPr>
      <w:r>
        <w:rPr>
          <w:rFonts w:ascii="Calibri" w:hAnsi="Calibri"/>
          <w:b/>
          <w:color w:val="1B3A6B"/>
          <w:sz w:val="36"/>
        </w:rPr>
        <w:t>2. System Architecture</w:t>
      </w:r>
    </w:p>
    <w:p>
      <w:pPr>
        <w:spacing w:before="40" w:after="120"/>
        <w:pBdr>
          <w:bottom w:val="single" w:sz="6" w:space="1" w:color="CBD5E1"/>
        </w:pBdr>
      </w:pPr>
    </w:p>
    <w:p>
      <w:pPr>
        <w:pStyle w:val="Heading2"/>
        <w:spacing w:before="280" w:after="120"/>
      </w:pPr>
      <w:r>
        <w:rPr>
          <w:rFonts w:ascii="Calibri" w:hAnsi="Calibri"/>
          <w:b/>
          <w:color w:val="C44C03"/>
          <w:sz w:val="26"/>
        </w:rPr>
        <w:t>2.1 Architecture Pattern</w:t>
      </w:r>
    </w:p>
    <w:p>
      <w:pPr>
        <w:spacing w:before="0" w:after="120"/>
      </w:pPr>
      <w:r>
        <w:rPr>
          <w:rFonts w:ascii="Calibri" w:hAnsi="Calibri"/>
          <w:b w:val="0"/>
          <w:i w:val="0"/>
          <w:color w:val="1E293B"/>
          <w:sz w:val="21"/>
        </w:rPr>
        <w:t>The system follows a three-tier MVC architecture with a REST API middleware layer separating the React frontend from the MongoDB data layer. This pattern ensures separation of concerns, horizontal scalability, and independent deployability of each tier.</w:t>
      </w:r>
    </w:p>
    <w:p>
      <w:pPr>
        <w:pStyle w:val="Heading2"/>
        <w:spacing w:before="280" w:after="120"/>
      </w:pPr>
      <w:r>
        <w:rPr>
          <w:rFonts w:ascii="Calibri" w:hAnsi="Calibri"/>
          <w:b/>
          <w:color w:val="C44C03"/>
          <w:sz w:val="26"/>
        </w:rPr>
        <w:t>2.2 Architectural Layers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Tier</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Technology</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Responsibility</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Presentation</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React 18 + Context API</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SPA; role-aware UI; JWT storage; file uploads; real-time progress feedback</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API / Middleware</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Node.js 18 + Express 4</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REST API; JWT auth; RBAC middleware; business logic; Multer file handling; Nodemailer</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Data</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MongoDB 6 + Mongoose 8</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Document storage; schema validation; indexes; aggregation pipeline reporting</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File Storage</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Server filesystem (Multer)</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Monthly-partitioned uploads directory; UUID-renamed files; MIME validation</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Email</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Nodemailer (SMTP)</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6 automated trigger templates; manual admin emails; mock console mode</w:t>
            </w:r>
          </w:p>
        </w:tc>
      </w:tr>
    </w:tbl>
    <w:p/>
    <w:p>
      <w:pPr>
        <w:pStyle w:val="Heading2"/>
        <w:spacing w:before="280" w:after="120"/>
      </w:pPr>
      <w:r>
        <w:rPr>
          <w:rFonts w:ascii="Calibri" w:hAnsi="Calibri"/>
          <w:b/>
          <w:color w:val="C44C03"/>
          <w:sz w:val="26"/>
        </w:rPr>
        <w:t>2.3 Technology Stack</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Component</w:t>
            </w:r>
          </w:p>
        </w:tc>
        <w:tc>
          <w:tcPr>
            <w:tcW w:type="dxa" w:w="2436"/>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Technology</w:t>
            </w:r>
          </w:p>
        </w:tc>
        <w:tc>
          <w:tcPr>
            <w:tcW w:type="dxa" w:w="2436"/>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Version</w:t>
            </w:r>
          </w:p>
        </w:tc>
        <w:tc>
          <w:tcPr>
            <w:tcW w:type="dxa" w:w="2436"/>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Justification</w:t>
            </w:r>
          </w:p>
        </w:tc>
      </w:tr>
      <w:tr>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Frontend Framework</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React</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18.2</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Component model, hooks, Context API, wide ecosystem</w:t>
            </w:r>
          </w:p>
        </w:tc>
      </w:tr>
      <w:tr>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HTTP Client</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Axios</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1.6.x</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Interceptor support for JWT injection and global error handling</w:t>
            </w:r>
          </w:p>
        </w:tc>
      </w:tr>
      <w:tr>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Backend Runtime</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Node.js</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18.x LTS</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Non-blocking I/O; ideal for API and file handling</w:t>
            </w:r>
          </w:p>
        </w:tc>
      </w:tr>
      <w:tr>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API Framework</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Express</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4.18</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Minimal, flexible, large middleware ecosystem</w:t>
            </w:r>
          </w:p>
        </w:tc>
      </w:tr>
      <w:tr>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Database</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MongoDB</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6.x</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Schema flexibility for nested documents (proposals/allocations)</w:t>
            </w:r>
          </w:p>
        </w:tc>
      </w:tr>
      <w:tr>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ODM</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Mongoose</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8.x</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Schema validation, virtuals, aggregation pipeline helpers</w:t>
            </w:r>
          </w:p>
        </w:tc>
      </w:tr>
      <w:tr>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Authentication</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JWT</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9.x</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Stateless auth; suitable for SPA and future mobile</w:t>
            </w:r>
          </w:p>
        </w:tc>
      </w:tr>
      <w:tr>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Password Hashing</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bcryptjs</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2.4</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Industry standard; cost factor 12</w:t>
            </w:r>
          </w:p>
        </w:tc>
      </w:tr>
      <w:tr>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Email</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Nodemailer</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6.9</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SMTP transport; no vendor lock-in; mock mode without SMTP</w:t>
            </w:r>
          </w:p>
        </w:tc>
      </w:tr>
      <w:tr>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File Upload</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Multer</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1.4.5</w:t>
            </w:r>
          </w:p>
        </w:tc>
        <w:tc>
          <w:tcPr>
            <w:tcW w:type="dxa" w:w="2436"/>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Stream-based disk storage; MIME type validation</w:t>
            </w:r>
          </w:p>
        </w:tc>
      </w:tr>
      <w:tr>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Security</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Helmet + ratelimit</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7.x</w:t>
            </w:r>
          </w:p>
        </w:tc>
        <w:tc>
          <w:tcPr>
            <w:tcW w:type="dxa" w:w="2436"/>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Security headers; brute force protection</w:t>
            </w:r>
          </w:p>
        </w:tc>
      </w:tr>
    </w:tbl>
    <w:p/>
    <w:p>
      <w:r>
        <w:br w:type="page"/>
      </w:r>
    </w:p>
    <w:p>
      <w:pPr>
        <w:pStyle w:val="Heading1"/>
        <w:spacing w:before="360" w:after="160"/>
      </w:pPr>
      <w:r>
        <w:rPr>
          <w:rFonts w:ascii="Calibri" w:hAnsi="Calibri"/>
          <w:b/>
          <w:color w:val="1B3A6B"/>
          <w:sz w:val="36"/>
        </w:rPr>
        <w:t>3. User Roles and Access Model</w:t>
      </w:r>
    </w:p>
    <w:p>
      <w:pPr>
        <w:spacing w:before="40" w:after="120"/>
        <w:pBdr>
          <w:bottom w:val="single" w:sz="6" w:space="1" w:color="CBD5E1"/>
        </w:pBdr>
      </w:pP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Role</w:t>
            </w:r>
          </w:p>
        </w:tc>
        <w:tc>
          <w:tcPr>
            <w:tcW w:type="dxa" w:w="1624"/>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Upload</w:t>
            </w:r>
          </w:p>
        </w:tc>
        <w:tc>
          <w:tcPr>
            <w:tcW w:type="dxa" w:w="1624"/>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Approve</w:t>
            </w:r>
          </w:p>
        </w:tc>
        <w:tc>
          <w:tcPr>
            <w:tcW w:type="dxa" w:w="1624"/>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Allocate</w:t>
            </w:r>
          </w:p>
        </w:tc>
        <w:tc>
          <w:tcPr>
            <w:tcW w:type="dxa" w:w="1624"/>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Manage Users</w:t>
            </w:r>
          </w:p>
        </w:tc>
        <w:tc>
          <w:tcPr>
            <w:tcW w:type="dxa" w:w="1624"/>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Data Scope</w:t>
            </w:r>
          </w:p>
        </w:tc>
      </w:tr>
      <w:tr>
        <w:tc>
          <w:tcPr>
            <w:tcW w:type="dxa" w:w="1624"/>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Admin</w:t>
            </w:r>
          </w:p>
        </w:tc>
        <w:tc>
          <w:tcPr>
            <w:tcW w:type="dxa" w:w="1624"/>
            <w:shd w:val="clear" w:color="auto" w:fill="DCFCE7"/>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5803D"/>
                <w:sz w:val="19"/>
              </w:rPr>
              <w:t>Yes</w:t>
            </w:r>
          </w:p>
        </w:tc>
        <w:tc>
          <w:tcPr>
            <w:tcW w:type="dxa" w:w="1624"/>
            <w:shd w:val="clear" w:color="auto" w:fill="DCFCE7"/>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5803D"/>
                <w:sz w:val="19"/>
              </w:rPr>
              <w:t>Yes</w:t>
            </w:r>
          </w:p>
        </w:tc>
        <w:tc>
          <w:tcPr>
            <w:tcW w:type="dxa" w:w="1624"/>
            <w:shd w:val="clear" w:color="auto" w:fill="DCFCE7"/>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5803D"/>
                <w:sz w:val="19"/>
              </w:rPr>
              <w:t>Yes</w:t>
            </w:r>
          </w:p>
        </w:tc>
        <w:tc>
          <w:tcPr>
            <w:tcW w:type="dxa" w:w="1624"/>
            <w:shd w:val="clear" w:color="auto" w:fill="DCFCE7"/>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5803D"/>
                <w:sz w:val="19"/>
              </w:rPr>
              <w:t>Yes</w:t>
            </w:r>
          </w:p>
        </w:tc>
        <w:tc>
          <w:tcPr>
            <w:tcW w:type="dxa" w:w="1624"/>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334155"/>
                <w:sz w:val="19"/>
              </w:rPr>
              <w:t>Full system</w:t>
            </w:r>
          </w:p>
        </w:tc>
      </w:tr>
      <w:tr>
        <w:tc>
          <w:tcPr>
            <w:tcW w:type="dxa" w:w="1624"/>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CSR Coordinator</w:t>
            </w:r>
          </w:p>
        </w:tc>
        <w:tc>
          <w:tcPr>
            <w:tcW w:type="dxa" w:w="1624"/>
            <w:shd w:val="clear" w:color="auto" w:fill="DCFCE7"/>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5803D"/>
                <w:sz w:val="19"/>
              </w:rPr>
              <w:t>Yes</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334155"/>
                <w:sz w:val="19"/>
              </w:rPr>
              <w:t>Donors and proposals</w:t>
            </w:r>
          </w:p>
        </w:tc>
      </w:tr>
      <w:tr>
        <w:tc>
          <w:tcPr>
            <w:tcW w:type="dxa" w:w="1624"/>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Branch School User</w:t>
            </w:r>
          </w:p>
        </w:tc>
        <w:tc>
          <w:tcPr>
            <w:tcW w:type="dxa" w:w="1624"/>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334155"/>
                <w:sz w:val="19"/>
              </w:rPr>
              <w:t>Bills only</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334155"/>
                <w:sz w:val="19"/>
              </w:rPr>
              <w:t>Own branch only</w:t>
            </w:r>
          </w:p>
        </w:tc>
      </w:tr>
      <w:tr>
        <w:tc>
          <w:tcPr>
            <w:tcW w:type="dxa" w:w="1624"/>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Donor</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EE2E2"/>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B91C1C"/>
                <w:sz w:val="19"/>
              </w:rPr>
              <w:t>No</w:t>
            </w:r>
          </w:p>
        </w:tc>
        <w:tc>
          <w:tcPr>
            <w:tcW w:type="dxa" w:w="1624"/>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334155"/>
                <w:sz w:val="19"/>
              </w:rPr>
              <w:t>Own proposals only</w:t>
            </w:r>
          </w:p>
        </w:tc>
      </w:tr>
    </w:tbl>
    <w:p/>
    <w:p>
      <w:r>
        <w:br w:type="page"/>
      </w:r>
    </w:p>
    <w:p>
      <w:pPr>
        <w:pStyle w:val="Heading1"/>
        <w:spacing w:before="360" w:after="160"/>
      </w:pPr>
      <w:r>
        <w:rPr>
          <w:rFonts w:ascii="Calibri" w:hAnsi="Calibri"/>
          <w:b/>
          <w:color w:val="1B3A6B"/>
          <w:sz w:val="36"/>
        </w:rPr>
        <w:t>4. High-Level Data Model</w:t>
      </w:r>
    </w:p>
    <w:p>
      <w:pPr>
        <w:spacing w:before="40" w:after="120"/>
        <w:pBdr>
          <w:bottom w:val="single" w:sz="6" w:space="1" w:color="CBD5E1"/>
        </w:pBdr>
      </w:pPr>
    </w:p>
    <w:p>
      <w:pPr>
        <w:spacing w:before="0" w:after="120"/>
      </w:pPr>
      <w:r>
        <w:rPr>
          <w:rFonts w:ascii="Calibri" w:hAnsi="Calibri"/>
          <w:b w:val="0"/>
          <w:i w:val="0"/>
          <w:color w:val="1E293B"/>
          <w:sz w:val="21"/>
        </w:rPr>
        <w:t>The system uses seven MongoDB collections with the following structure and relationships: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Collection</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Key Fields</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Relationships</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users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name, email, role, branchId, donorId</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Refs Branch (branch_user) and Donor (donor)</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donors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companyName, contactPerson, csrBudget, sector, status, documents[]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Created by User; refed by Proposal, Allocation, Utilization</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branches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name, code, city, principalName, email</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Refed by User (branch_user), Allocation, Utilization</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proposals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title, donorId, requestedAmount, approvedAmount, status, targetBranches[], documents[]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Refs Donor and Branch[]; reviewed by User</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allocations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proposalId, donorId, branchId, amount, purpose, deadline, status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Refs Proposal, Donor, Branch; parent of Utilization</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utilizations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allocationId, branchId, amountUtilized, category, bills[], status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Refs Allocation, Proposal, Donor, Branch</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communications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type, subject, donorId, proposalId, sentBy, status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7"/>
              </w:rPr>
              <w:t>Audit log for all emails and manual communications</w:t>
            </w:r>
          </w:p>
        </w:tc>
      </w:tr>
    </w:tbl>
    <w:p/>
    <w:p>
      <w:r>
        <w:br w:type="page"/>
      </w:r>
    </w:p>
    <w:p>
      <w:pPr>
        <w:pStyle w:val="Heading1"/>
        <w:spacing w:before="360" w:after="160"/>
      </w:pPr>
      <w:r>
        <w:rPr>
          <w:rFonts w:ascii="Calibri" w:hAnsi="Calibri"/>
          <w:b/>
          <w:color w:val="1B3A6B"/>
          <w:sz w:val="36"/>
        </w:rPr>
        <w:t>5. API Design Summary</w:t>
      </w:r>
    </w:p>
    <w:p>
      <w:pPr>
        <w:spacing w:before="40" w:after="120"/>
        <w:pBdr>
          <w:bottom w:val="single" w:sz="6" w:space="1" w:color="CBD5E1"/>
        </w:pBdr>
      </w:pPr>
    </w:p>
    <w:p>
      <w:pPr>
        <w:pStyle w:val="Heading2"/>
        <w:spacing w:before="280" w:after="120"/>
      </w:pPr>
      <w:r>
        <w:rPr>
          <w:rFonts w:ascii="Calibri" w:hAnsi="Calibri"/>
          <w:b/>
          <w:color w:val="C44C03"/>
          <w:sz w:val="26"/>
        </w:rPr>
        <w:t>5.1 Conventions</w:t>
      </w:r>
    </w:p>
    <w:p>
      <w:pPr>
        <w:pStyle w:val="ListBullet"/>
        <w:spacing w:before="20" w:after="40"/>
      </w:pPr>
      <w:r>
        <w:rPr>
          <w:rFonts w:ascii="Calibri" w:hAnsi="Calibri"/>
          <w:color w:val="1E293B"/>
          <w:sz w:val="20"/>
        </w:rPr>
        <w:t>Base URL: /api  |  Authentication: Bearer JWT in Authorization header</w:t>
      </w:r>
    </w:p>
    <w:p>
      <w:pPr>
        <w:pStyle w:val="ListBullet"/>
        <w:spacing w:before="20" w:after="40"/>
      </w:pPr>
      <w:r>
        <w:rPr>
          <w:rFonts w:ascii="Calibri" w:hAnsi="Calibri"/>
          <w:color w:val="1E293B"/>
          <w:sz w:val="20"/>
        </w:rPr>
        <w:t>Content-Type: application/json (multipart/form-data for file uploads)</w:t>
      </w:r>
    </w:p>
    <w:p>
      <w:pPr>
        <w:pStyle w:val="ListBullet"/>
        <w:spacing w:before="20" w:after="40"/>
      </w:pPr>
      <w:r>
        <w:rPr>
          <w:rFonts w:ascii="Calibri" w:hAnsi="Calibri"/>
          <w:color w:val="1E293B"/>
          <w:sz w:val="20"/>
        </w:rPr>
        <w:t>All responses use { data, error, message } envelope pattern</w:t>
      </w:r>
    </w:p>
    <w:p>
      <w:pPr>
        <w:pStyle w:val="ListBullet"/>
        <w:spacing w:before="20" w:after="40"/>
      </w:pPr>
      <w:r>
        <w:rPr>
          <w:rFonts w:ascii="Calibri" w:hAnsi="Calibri"/>
          <w:color w:val="1E293B"/>
          <w:sz w:val="20"/>
        </w:rPr>
        <w:t>HTTP codes: 200/201 success, 400 validation, 401 auth, 403 forbidden, 404 not found, 409 conflict, 500 server</w:t>
      </w:r>
    </w:p>
    <w:p>
      <w:pPr>
        <w:pStyle w:val="Heading2"/>
        <w:spacing w:before="280" w:after="120"/>
      </w:pPr>
      <w:r>
        <w:rPr>
          <w:rFonts w:ascii="Calibri" w:hAnsi="Calibri"/>
          <w:b/>
          <w:color w:val="C44C03"/>
          <w:sz w:val="26"/>
        </w:rPr>
        <w:t>5.2 Endpoint Groups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Group</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Methods</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Endpoints</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/api/auth</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POST, GET, PUT</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login, me, users CRUD, password change</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/api/donors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GET, POST, PUT, DELETE, POST</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CRUD + upload documents + send manual email</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/api/branches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GET, POST, PUT, DELETE</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Full branch CRUD</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/api/proposals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GET, POST, PUT, PATCH</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CRUD + submit + approve + reject + upload documents</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/api/allocations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GET, POST, PUT, PATCH</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CRUD + status update</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/api/utilizations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GET, POST, PATCH, POST</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CRUD + verify/reject + add more bills</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8"/>
              </w:rPr>
              <w:t>/api/reports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GET</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8"/>
              </w:rPr>
              <w:t>dashboard, fund-flow, branch-summary, donor-report, communications</w:t>
            </w:r>
          </w:p>
        </w:tc>
      </w:tr>
    </w:tbl>
    <w:p/>
    <w:p>
      <w:r>
        <w:br w:type="page"/>
      </w:r>
    </w:p>
    <w:p>
      <w:pPr>
        <w:pStyle w:val="Heading1"/>
        <w:spacing w:before="360" w:after="160"/>
      </w:pPr>
      <w:r>
        <w:rPr>
          <w:rFonts w:ascii="Calibri" w:hAnsi="Calibri"/>
          <w:b/>
          <w:color w:val="1B3A6B"/>
          <w:sz w:val="36"/>
        </w:rPr>
        <w:t>6. Security Architecture</w:t>
      </w:r>
    </w:p>
    <w:p>
      <w:pPr>
        <w:spacing w:before="40" w:after="120"/>
        <w:pBdr>
          <w:bottom w:val="single" w:sz="6" w:space="1" w:color="CBD5E1"/>
        </w:pBdr>
      </w:pPr>
    </w:p>
    <w:tbl>
      <w:tblPr>
        <w:tblStyle w:val="TableGrid"/>
        <w:tblW w:type="auto" w:w="0"/>
        <w:tblLook w:firstColumn="1" w:firstRow="1" w:lastColumn="0" w:lastRow="0" w:noHBand="0" w:noVBand="1" w:val="04A0"/>
      </w:tblPr>
      <w:tblGrid>
        <w:gridCol w:w="4873"/>
        <w:gridCol w:w="4873"/>
      </w:tblGrid>
      <w:tr>
        <w:tc>
          <w:tcPr>
            <w:tcW w:type="dxa" w:w="4873"/>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Security Control</w:t>
            </w:r>
          </w:p>
        </w:tc>
        <w:tc>
          <w:tcPr>
            <w:tcW w:type="dxa" w:w="4873"/>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Implementation</w:t>
            </w:r>
          </w:p>
        </w:tc>
      </w:tr>
      <w:tr>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Authentication</w:t>
            </w:r>
          </w:p>
        </w:tc>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JWT HS256 tokens with 8-hour expiry, stored in localStorage</w:t>
            </w:r>
          </w:p>
        </w:tc>
      </w:tr>
      <w:tr>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Authorisation</w:t>
            </w:r>
          </w:p>
        </w:tc>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Role-based middleware on every route; per-resource ownership checks</w:t>
            </w:r>
          </w:p>
        </w:tc>
      </w:tr>
      <w:tr>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Password Security</w:t>
            </w:r>
          </w:p>
        </w:tc>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bcrypt hashing at cost factor 12; minimum length enforced</w:t>
            </w:r>
          </w:p>
        </w:tc>
      </w:tr>
      <w:tr>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Brute Force Protection</w:t>
            </w:r>
          </w:p>
        </w:tc>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express-rate-limit: 20 login attempts per 15 minutes per IP</w:t>
            </w:r>
          </w:p>
        </w:tc>
      </w:tr>
      <w:tr>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Request Throttling</w:t>
            </w:r>
          </w:p>
        </w:tc>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300 general API requests per 15 minutes per IP</w:t>
            </w:r>
          </w:p>
        </w:tc>
      </w:tr>
      <w:tr>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Security Headers</w:t>
            </w:r>
          </w:p>
        </w:tc>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Helmet.js: X-Frame-Options, CSP, HSTS, X-Content-Type-Options</w:t>
            </w:r>
          </w:p>
        </w:tc>
      </w:tr>
      <w:tr>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CORS</w:t>
            </w:r>
          </w:p>
        </w:tc>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Configured to frontend origin only; credentials: true</w:t>
            </w:r>
          </w:p>
        </w:tc>
      </w:tr>
      <w:tr>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File Upload Safety</w:t>
            </w:r>
          </w:p>
        </w:tc>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MIME type whitelist; UUID filenames; size limit 20 MB configurable</w:t>
            </w:r>
          </w:p>
        </w:tc>
      </w:tr>
      <w:tr>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Injection Prevention</w:t>
            </w:r>
          </w:p>
        </w:tc>
        <w:tc>
          <w:tcPr>
            <w:tcW w:type="dxa" w:w="4873"/>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Mongoose parameterised queries; no raw user input in MongoDB operators</w:t>
            </w:r>
          </w:p>
        </w:tc>
      </w:tr>
      <w:tr>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Transport Security</w:t>
            </w:r>
          </w:p>
        </w:tc>
        <w:tc>
          <w:tcPr>
            <w:tcW w:type="dxa" w:w="4873"/>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HTTPS via Nginx SSL termination with Let's Encrypt in production</w:t>
            </w:r>
          </w:p>
        </w:tc>
      </w:tr>
    </w:tbl>
    <w:p/>
    <w:p>
      <w:pPr>
        <w:pStyle w:val="Heading1"/>
        <w:spacing w:before="360" w:after="160"/>
      </w:pPr>
      <w:r>
        <w:rPr>
          <w:rFonts w:ascii="Calibri" w:hAnsi="Calibri"/>
          <w:b/>
          <w:color w:val="1B3A6B"/>
          <w:sz w:val="36"/>
        </w:rPr>
        <w:t>7. Integration and Communication</w:t>
      </w:r>
    </w:p>
    <w:p>
      <w:pPr>
        <w:spacing w:before="40" w:after="120"/>
        <w:pBdr>
          <w:bottom w:val="single" w:sz="6" w:space="1" w:color="CBD5E1"/>
        </w:pBdr>
      </w:pPr>
    </w:p>
    <w:p>
      <w:pPr>
        <w:pStyle w:val="Heading2"/>
        <w:spacing w:before="280" w:after="120"/>
      </w:pPr>
      <w:r>
        <w:rPr>
          <w:rFonts w:ascii="Calibri" w:hAnsi="Calibri"/>
          <w:b/>
          <w:color w:val="C44C03"/>
          <w:sz w:val="26"/>
        </w:rPr>
        <w:t>7.1 Email Integration Triggers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Event Trigger</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Recipient</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Template Description</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Donor onboarded</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Donor (CSR company)</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Welcome email with portal access information</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Proposal submitted</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All Admin users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New proposal alert with title and requested amount</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Proposal approved</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Donor</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Approval confirmation with approved amount</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Proposal rejected</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Donor</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Rejection notice with reason from admin</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Fund allocated to branch</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Branch (by email)</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Allocation notice with amount, purpose, and deadline</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Utilization submitted</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All Admin users</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Review notification for pending verification</w:t>
            </w:r>
          </w:p>
        </w:tc>
      </w:tr>
    </w:tbl>
    <w:p/>
    <w:p>
      <w:pPr>
        <w:pStyle w:val="Heading1"/>
        <w:spacing w:before="360" w:after="160"/>
      </w:pPr>
      <w:r>
        <w:rPr>
          <w:rFonts w:ascii="Calibri" w:hAnsi="Calibri"/>
          <w:b/>
          <w:color w:val="1B3A6B"/>
          <w:sz w:val="36"/>
        </w:rPr>
        <w:t>8. Non-Functional Requirements</w:t>
      </w:r>
    </w:p>
    <w:p>
      <w:pPr>
        <w:spacing w:before="40" w:after="120"/>
        <w:pBdr>
          <w:bottom w:val="single" w:sz="6" w:space="1" w:color="CBD5E1"/>
        </w:pBdr>
      </w:pP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Attribute</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Target</w:t>
            </w:r>
          </w:p>
        </w:tc>
        <w:tc>
          <w:tcPr>
            <w:tcW w:type="dxa" w:w="3249"/>
            <w:shd w:val="clear" w:color="auto" w:fill="1B3A6B"/>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FFFFFF"/>
                <w:sz w:val="19"/>
              </w:rPr>
              <w:t>Approach</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Performance</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D4ED8"/>
                <w:sz w:val="19"/>
              </w:rPr>
              <w:t>API response &lt; 500ms p95</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MongoDB indexes on donorId, branchId, status, createdAt</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Availability</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D4ED8"/>
                <w:sz w:val="19"/>
              </w:rPr>
              <w:t>99.5% uptime</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PM2 auto-restart; MongoDB replica set for production</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Scalability</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D4ED8"/>
                <w:sz w:val="19"/>
              </w:rPr>
              <w:t>1000 concurrent users</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Stateless API; connection pooling (20 connections)</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Security</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D4ED8"/>
                <w:sz w:val="19"/>
              </w:rPr>
              <w:t>OWASP Top 10 compliance</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Helmet, rate limiting, bcrypt, JWT, parameterised queries</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File Upload</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D4ED8"/>
                <w:sz w:val="19"/>
              </w:rPr>
              <w:t>Up to 20 MB per file</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Multer disk storage; configurable via MAX_FILE_SIZE_MB env</w:t>
            </w:r>
          </w:p>
        </w:tc>
      </w:tr>
      <w:tr>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Browser</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D4ED8"/>
                <w:sz w:val="19"/>
              </w:rPr>
              <w:t>Chrome, Firefox, Edge (last 2)</w:t>
            </w:r>
          </w:p>
        </w:tc>
        <w:tc>
          <w:tcPr>
            <w:tcW w:type="dxa" w:w="3249"/>
            <w:shd w:val="clear" w:color="auto"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Standard HTML5/CSS3/React — no browser-specific APIs</w:t>
            </w:r>
          </w:p>
        </w:tc>
      </w:tr>
      <w:tr>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E293B"/>
                <w:sz w:val="19"/>
              </w:rPr>
              <w:t>Logging</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i w:val="0"/>
                <w:color w:val="1D4ED8"/>
                <w:sz w:val="19"/>
              </w:rPr>
              <w:t>Request log to stdout</w:t>
            </w:r>
          </w:p>
        </w:tc>
        <w:tc>
          <w:tcPr>
            <w:tcW w:type="dxa" w:w="3249"/>
            <w:shd w:val="clear" w:color="auto"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jc w:val="left"/>
            </w:pPr>
            <w:r/>
            <w:r>
              <w:rPr>
                <w:rFonts w:ascii="Calibri" w:hAnsi="Calibri"/>
                <w:b w:val="0"/>
                <w:i w:val="0"/>
                <w:color w:val="1E293B"/>
                <w:sz w:val="19"/>
              </w:rPr>
              <w:t>Console logging with ISO timestamps; PM2 log rotation in production</w:t>
            </w:r>
          </w:p>
        </w:tc>
      </w:tr>
    </w:tbl>
    <w:p/>
    <w:p>
      <w:pPr>
        <w:spacing w:before="40" w:after="120"/>
        <w:pBdr>
          <w:bottom w:val="single" w:sz="6" w:space="1" w:color="CBD5E1"/>
        </w:pBdr>
      </w:pPr>
    </w:p>
    <w:p>
      <w:pPr>
        <w:spacing w:before="0" w:after="120"/>
        <w:jc w:val="center"/>
      </w:pPr>
      <w:r>
        <w:rPr>
          <w:rFonts w:ascii="Calibri" w:hAnsi="Calibri"/>
          <w:b w:val="0"/>
          <w:i/>
          <w:color w:val="334155"/>
          <w:sz w:val="18"/>
        </w:rPr>
        <w:t>CSR Fund Management — HLD v1.0  |  Sevak Digital Technologies Pvt. Ltd.  |  April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