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80"/>
      </w:pPr>
      <w:r>
        <w:rPr>
          <w:rFonts w:ascii="Calibri" w:hAnsi="Calibri"/>
          <w:b/>
          <w:color w:val="1B3A6B"/>
          <w:sz w:val="52"/>
        </w:rPr>
        <w:t>RELEASE NOTES</w:t>
      </w:r>
    </w:p>
    <w:p>
      <w:pPr>
        <w:spacing w:after="40"/>
      </w:pPr>
      <w:r>
        <w:rPr>
          <w:rFonts w:ascii="Calibri" w:hAnsi="Calibri"/>
          <w:color w:val="C44C03"/>
          <w:sz w:val="32"/>
        </w:rPr>
        <w:t>CSR Fund Management System — Version 1.0.0</w:t>
      </w:r>
    </w:p>
    <w:p>
      <w:pPr>
        <w:spacing w:after="240"/>
      </w:pPr>
      <w:r>
        <w:rPr>
          <w:rFonts w:ascii="Calibri" w:hAnsi="Calibri"/>
          <w:i/>
          <w:color w:val="334155"/>
          <w:sz w:val="19"/>
        </w:rPr>
        <w:t>Initial GA Release  |  April 2026  |  April 2026  |  Sevak Digital Technologies Pvt. Ltd.</w:t>
      </w:r>
    </w:p>
    <w:p>
      <w:pPr>
        <w:spacing w:before="40" w:after="120"/>
        <w:pBdr>
          <w:bottom w:val="single" w:sz="6" w:space="1" w:color="C44C03"/>
        </w:pBdr>
      </w:pP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2592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Release Version</w:t>
            </w:r>
          </w:p>
        </w:tc>
        <w:tc>
          <w:tcPr>
            <w:tcW w:type="dxa" w:w="6912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v1.0.0</w:t>
            </w:r>
          </w:p>
        </w:tc>
      </w:tr>
      <w:tr>
        <w:tc>
          <w:tcPr>
            <w:tcW w:type="dxa" w:w="2592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Release Date</w:t>
            </w:r>
          </w:p>
        </w:tc>
        <w:tc>
          <w:tcPr>
            <w:tcW w:type="dxa" w:w="6912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April 2026</w:t>
            </w:r>
          </w:p>
        </w:tc>
      </w:tr>
      <w:tr>
        <w:tc>
          <w:tcPr>
            <w:tcW w:type="dxa" w:w="2592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Product</w:t>
            </w:r>
          </w:p>
        </w:tc>
        <w:tc>
          <w:tcPr>
            <w:tcW w:type="dxa" w:w="6912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CSR Fund Management System</w:t>
            </w:r>
          </w:p>
        </w:tc>
      </w:tr>
      <w:tr>
        <w:tc>
          <w:tcPr>
            <w:tcW w:type="dxa" w:w="2592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Release Type</w:t>
            </w:r>
          </w:p>
        </w:tc>
        <w:tc>
          <w:tcPr>
            <w:tcW w:type="dxa" w:w="6912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Initial General Availability (GA) Release</w:t>
            </w:r>
          </w:p>
        </w:tc>
      </w:tr>
      <w:tr>
        <w:tc>
          <w:tcPr>
            <w:tcW w:type="dxa" w:w="2592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Prepared By</w:t>
            </w:r>
          </w:p>
        </w:tc>
        <w:tc>
          <w:tcPr>
            <w:tcW w:type="dxa" w:w="6912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Sevak Digital Technologies Pvt. Ltd.</w:t>
            </w:r>
          </w:p>
        </w:tc>
      </w:tr>
      <w:tr>
        <w:tc>
          <w:tcPr>
            <w:tcW w:type="dxa" w:w="2592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Client</w:t>
            </w:r>
          </w:p>
        </w:tc>
        <w:tc>
          <w:tcPr>
            <w:tcW w:type="dxa" w:w="6912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School Management ERP</w:t>
            </w:r>
          </w:p>
        </w:tc>
      </w:tr>
    </w:tbl>
    <w:p/>
    <w:p>
      <w:pPr>
        <w:pStyle w:val="Heading1"/>
        <w:spacing w:before="360" w:after="160"/>
      </w:pPr>
      <w:r>
        <w:rPr>
          <w:rFonts w:ascii="Calibri" w:hAnsi="Calibri"/>
          <w:b/>
          <w:color w:val="1B3A6B"/>
          <w:sz w:val="36"/>
        </w:rPr>
        <w:t>1. Executive Summary</w:t>
      </w:r>
    </w:p>
    <w:p>
      <w:pPr>
        <w:spacing w:before="40" w:after="120"/>
        <w:pBdr>
          <w:bottom w:val="single" w:sz="6" w:space="1" w:color="CBD5E1"/>
        </w:pBdr>
      </w:pPr>
    </w:p>
    <w:p>
      <w:pPr>
        <w:spacing w:before="0" w:after="120"/>
      </w:pPr>
      <w:r>
        <w:rPr>
          <w:rFonts w:ascii="Calibri" w:hAnsi="Calibri"/>
          <w:b w:val="0"/>
          <w:i w:val="0"/>
          <w:color w:val="1E293B"/>
          <w:sz w:val="21"/>
        </w:rPr>
        <w:t>Version 1.0.0 is the initial General Availability release of the CSR Fund Management System. This release delivers a complete, production-ready platform for end-to-end tracking of Corporate Social Responsibility funds — from donor onboarding to fund utilization across school branches — with automated email communications and role-based reporting.</w:t>
      </w:r>
    </w:p>
    <w:p>
      <w:pPr>
        <w:spacing w:before="120" w:after="120"/>
      </w:pPr>
      <w:r>
        <w:rPr>
          <w:rFonts w:ascii="Calibri" w:hAnsi="Calibri"/>
          <w:b w:val="0"/>
          <w:i w:val="0"/>
          <w:color w:val="1E293B"/>
          <w:sz w:val="21"/>
        </w:rPr>
        <w:t>The system is built on a React 18 frontend, Node.js/Express API, and MongoDB database, supporting four distinct user roles aligned to the school management ERP hierarchy: Admin, CSR Coordinator, Branch School User, and Donor.</w:t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1B3A6B"/>
          <w:sz w:val="36"/>
        </w:rPr>
        <w:t>2. New Features in v1.0.0</w:t>
      </w:r>
    </w:p>
    <w:p>
      <w:pPr>
        <w:spacing w:before="4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C44C03"/>
          <w:sz w:val="26"/>
        </w:rPr>
        <w:t>2.1 User Authentication and Role Management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JWT-based authentication with 8-hour token expiry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Four user roles: Admin, CSR Coordinator, Branch School User, Donor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Role-based access control enforced at every API route middleware layer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bcrypt password hashing at cost factor 12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Rate limiting: 20 login attempts per 15 minutes per IP (brute force protection)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Admin user management: create, edit, enable/disable accounts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C44C03"/>
          <w:sz w:val="26"/>
        </w:rPr>
        <w:t>2.2 Donor (CSR Company) Onboarding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Full donor profile: company name, CIN, contact person, email, CSR budget, sector, address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Automated welcome email sent immediately on donor creation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Document upload to donor profile (PDF, DOCX, XLSX, images — up to 20 MB each)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Manual email trigger: Admin can send custom messages to any donor at any time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Donor status management: active, inactive, pending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Optional donor portal login for self-service reporting access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C44C03"/>
          <w:sz w:val="26"/>
        </w:rPr>
        <w:t>2.3 Fund Proposal Lifecycle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Full proposal creation: title, description, requested amount, purpose, target branches, fiscal year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5-state status machine: draft → submitted → approved / partially_approved / rejected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Admin approval supports partial amount (enables staged funding)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Admin rejection with mandatory reason field ensures transparency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Automated email notifications triggered at every state transition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Document attachments supported (MoUs, agreements, supporting plans)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C44C03"/>
          <w:sz w:val="26"/>
        </w:rPr>
        <w:t>2.4 Fund Allocation to School Branches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Admin allocates approved proposal funds to specific branches with amount, purpose, and deadline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Budget guard: cumulative allocations cannot exceed the proposal approved amount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Branch receives email notification immediately on fund allocation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Allocation status lifecycle: allocated → in_progress → completed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C44C03"/>
          <w:sz w:val="26"/>
        </w:rPr>
        <w:t>2.5 Fund Utilization and Bill Submission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Branch users submit utilization reports with amount, category, date, and description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8 expense categories: infrastructure, books, uniforms, salary, equipment, events, other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Multi-file bill upload per submission (up to 10 files: PDF, images, Word documents)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Budget guard: utilization cannot exceed remaining allocation balance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Admin verification workflow: pending → verified or rejected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Admin receives email notification on every new utilization submission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C44C03"/>
          <w:sz w:val="26"/>
        </w:rPr>
        <w:t>2.6 Automated Email Communication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Trigger Event</w:t>
            </w:r>
          </w:p>
        </w:tc>
        <w:tc>
          <w:tcPr>
            <w:tcW w:type="dxa" w:w="3249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Recipient</w:t>
            </w:r>
          </w:p>
        </w:tc>
        <w:tc>
          <w:tcPr>
            <w:tcW w:type="dxa" w:w="3249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Email Template Description</w:t>
            </w:r>
          </w:p>
        </w:tc>
      </w:tr>
      <w:tr>
        <w:tc>
          <w:tcPr>
            <w:tcW w:type="dxa" w:w="32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Donor onboarded</w:t>
            </w:r>
          </w:p>
        </w:tc>
        <w:tc>
          <w:tcPr>
            <w:tcW w:type="dxa" w:w="32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Donor (CSR company email)</w:t>
            </w:r>
          </w:p>
        </w:tc>
        <w:tc>
          <w:tcPr>
            <w:tcW w:type="dxa" w:w="32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Welcome email with portal access information</w:t>
            </w:r>
          </w:p>
        </w:tc>
      </w:tr>
      <w:tr>
        <w:tc>
          <w:tcPr>
            <w:tcW w:type="dxa" w:w="32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Proposal submitted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All Admin users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New proposal alert with title and amount</w:t>
            </w:r>
          </w:p>
        </w:tc>
      </w:tr>
      <w:tr>
        <w:tc>
          <w:tcPr>
            <w:tcW w:type="dxa" w:w="32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Proposal approved</w:t>
            </w:r>
          </w:p>
        </w:tc>
        <w:tc>
          <w:tcPr>
            <w:tcW w:type="dxa" w:w="32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Donor</w:t>
            </w:r>
          </w:p>
        </w:tc>
        <w:tc>
          <w:tcPr>
            <w:tcW w:type="dxa" w:w="32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Approval confirmation with approved amount</w:t>
            </w:r>
          </w:p>
        </w:tc>
      </w:tr>
      <w:tr>
        <w:tc>
          <w:tcPr>
            <w:tcW w:type="dxa" w:w="32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Proposal rejected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Donor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Rejection notice with reason from admin</w:t>
            </w:r>
          </w:p>
        </w:tc>
      </w:tr>
      <w:tr>
        <w:tc>
          <w:tcPr>
            <w:tcW w:type="dxa" w:w="32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Funds allocated to branch</w:t>
            </w:r>
          </w:p>
        </w:tc>
        <w:tc>
          <w:tcPr>
            <w:tcW w:type="dxa" w:w="32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Branch (by branch email)</w:t>
            </w:r>
          </w:p>
        </w:tc>
        <w:tc>
          <w:tcPr>
            <w:tcW w:type="dxa" w:w="32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Allocation notice: amount, purpose, deadline</w:t>
            </w:r>
          </w:p>
        </w:tc>
      </w:tr>
      <w:tr>
        <w:tc>
          <w:tcPr>
            <w:tcW w:type="dxa" w:w="32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Utilization submitted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All Admin users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Review notification for pending verification</w:t>
            </w:r>
          </w:p>
        </w:tc>
      </w:tr>
    </w:tbl>
    <w:p>
      <w:pPr>
        <w:spacing w:before="120" w:after="120"/>
      </w:pPr>
      <w:r>
        <w:rPr>
          <w:rFonts w:ascii="Calibri" w:hAnsi="Calibri"/>
          <w:b w:val="0"/>
          <w:i/>
          <w:color w:val="334155"/>
          <w:sz w:val="18"/>
        </w:rPr>
        <w:t>Note: When SMTP credentials are not configured, emails are logged to the server console (mock mode). The system functions fully without email configuration.</w:t>
      </w:r>
    </w:p>
    <w:p/>
    <w:p>
      <w:pPr>
        <w:pStyle w:val="Heading2"/>
        <w:spacing w:before="280" w:after="120"/>
      </w:pPr>
      <w:r>
        <w:rPr>
          <w:rFonts w:ascii="Calibri" w:hAnsi="Calibri"/>
          <w:b/>
          <w:color w:val="C44C03"/>
          <w:sz w:val="26"/>
        </w:rPr>
        <w:t>2.7 Reporting and Transparency Dashboard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Role-aware dashboard: different stat cards and layouts per user role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Fund Flow Report: proposal → branch allocation → utilization hierarchy with progress bars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Branch Summary Report: all branches ranked by allocation amount with utilization rate cards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Donor Report: per-company view of all proposals, allocations, and verified utilizations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Communication Log: complete audit trail of all system email events with sent/mock/failed status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1B3A6B"/>
          <w:sz w:val="36"/>
        </w:rPr>
        <w:t>3. Technical Specifications</w:t>
      </w:r>
    </w:p>
    <w:p>
      <w:pPr>
        <w:spacing w:before="40" w:after="120"/>
        <w:pBdr>
          <w:bottom w:val="single" w:sz="6" w:space="1" w:color="CBD5E1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Component</w:t>
            </w:r>
          </w:p>
        </w:tc>
        <w:tc>
          <w:tcPr>
            <w:tcW w:type="dxa" w:w="4873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Specification</w:t>
            </w:r>
          </w:p>
        </w:tc>
      </w:tr>
      <w:tr>
        <w:tc>
          <w:tcPr>
            <w:tcW w:type="dxa" w:w="487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Frontend</w:t>
            </w:r>
          </w:p>
        </w:tc>
        <w:tc>
          <w:tcPr>
            <w:tcW w:type="dxa" w:w="487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React 18.2 + Context API + Axios 1.6; Plus Jakarta Sans typeface; no external UI library dependency</w:t>
            </w:r>
          </w:p>
        </w:tc>
      </w:tr>
      <w:tr>
        <w:tc>
          <w:tcPr>
            <w:tcW w:type="dxa" w:w="487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Backend</w:t>
            </w:r>
          </w:p>
        </w:tc>
        <w:tc>
          <w:tcPr>
            <w:tcW w:type="dxa" w:w="487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Node.js 18 LTS + Express 4.18; RESTful JSON API; 28 endpoints across 7 route files</w:t>
            </w:r>
          </w:p>
        </w:tc>
      </w:tr>
      <w:tr>
        <w:tc>
          <w:tcPr>
            <w:tcW w:type="dxa" w:w="487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Database</w:t>
            </w:r>
          </w:p>
        </w:tc>
        <w:tc>
          <w:tcPr>
            <w:tcW w:type="dxa" w:w="487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MongoDB 6 + Mongoose 8; 7 collections; aggregation pipeline reporting</w:t>
            </w:r>
          </w:p>
        </w:tc>
      </w:tr>
      <w:tr>
        <w:tc>
          <w:tcPr>
            <w:tcW w:type="dxa" w:w="487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Authentication</w:t>
            </w:r>
          </w:p>
        </w:tc>
        <w:tc>
          <w:tcPr>
            <w:tcW w:type="dxa" w:w="487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jsonwebtoken 9 (HS256); 8-hour token expiry; bcrypt cost factor 12</w:t>
            </w:r>
          </w:p>
        </w:tc>
      </w:tr>
      <w:tr>
        <w:tc>
          <w:tcPr>
            <w:tcW w:type="dxa" w:w="487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File Upload</w:t>
            </w:r>
          </w:p>
        </w:tc>
        <w:tc>
          <w:tcPr>
            <w:tcW w:type="dxa" w:w="487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Multer 1.4.5; monthly-partitioned directories; UUID-named files; 20 MB limit (configurable)</w:t>
            </w:r>
          </w:p>
        </w:tc>
      </w:tr>
      <w:tr>
        <w:tc>
          <w:tcPr>
            <w:tcW w:type="dxa" w:w="487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Email</w:t>
            </w:r>
          </w:p>
        </w:tc>
        <w:tc>
          <w:tcPr>
            <w:tcW w:type="dxa" w:w="487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Nodemailer 6.9; SMTP/Gmail transport; 6 automated templates; console mock mode</w:t>
            </w:r>
          </w:p>
        </w:tc>
      </w:tr>
      <w:tr>
        <w:tc>
          <w:tcPr>
            <w:tcW w:type="dxa" w:w="487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Security</w:t>
            </w:r>
          </w:p>
        </w:tc>
        <w:tc>
          <w:tcPr>
            <w:tcW w:type="dxa" w:w="487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Helmet 7 + express-rate-limit 7; CORS single origin; MIME type whitelist on uploads</w:t>
            </w:r>
          </w:p>
        </w:tc>
      </w:tr>
      <w:tr>
        <w:tc>
          <w:tcPr>
            <w:tcW w:type="dxa" w:w="487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Deployment</w:t>
            </w:r>
          </w:p>
        </w:tc>
        <w:tc>
          <w:tcPr>
            <w:tcW w:type="dxa" w:w="487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Nginx reverse proxy; PM2 process manager; Let's Encrypt SSL in production</w:t>
            </w:r>
          </w:p>
        </w:tc>
      </w:tr>
      <w:tr>
        <w:tc>
          <w:tcPr>
            <w:tcW w:type="dxa" w:w="487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Browser Support</w:t>
            </w:r>
          </w:p>
        </w:tc>
        <w:tc>
          <w:tcPr>
            <w:tcW w:type="dxa" w:w="487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Chrome 120+, Firefox 120+, Edge 120+ (last 2 major versions of each)</w:t>
            </w:r>
          </w:p>
        </w:tc>
      </w:tr>
    </w:tbl>
    <w:p/>
    <w:p>
      <w:pPr>
        <w:pStyle w:val="Heading1"/>
        <w:spacing w:before="360" w:after="160"/>
      </w:pPr>
      <w:r>
        <w:rPr>
          <w:rFonts w:ascii="Calibri" w:hAnsi="Calibri"/>
          <w:b/>
          <w:color w:val="1B3A6B"/>
          <w:sz w:val="36"/>
        </w:rPr>
        <w:t>4. Known Issues and Limitations</w:t>
      </w:r>
    </w:p>
    <w:p>
      <w:pPr>
        <w:spacing w:before="40" w:after="120"/>
        <w:pBdr>
          <w:bottom w:val="single" w:sz="6" w:space="1" w:color="CBD5E1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Issue ID</w:t>
            </w:r>
          </w:p>
        </w:tc>
        <w:tc>
          <w:tcPr>
            <w:tcW w:type="dxa" w:w="2436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2436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Severity</w:t>
            </w:r>
          </w:p>
        </w:tc>
        <w:tc>
          <w:tcPr>
            <w:tcW w:type="dxa" w:w="2436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Workaround / Plan</w:t>
            </w:r>
          </w:p>
        </w:tc>
      </w:tr>
      <w:tr>
        <w:tc>
          <w:tcPr>
            <w:tcW w:type="dxa" w:w="2436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KI-001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Overdue allocations not auto-detected — no cron job in v1.0</w:t>
            </w:r>
          </w:p>
        </w:tc>
        <w:tc>
          <w:tcPr>
            <w:tcW w:type="dxa" w:w="2436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Low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Admin can manually update status; auto-detection cron planned for v1.1</w:t>
            </w:r>
          </w:p>
        </w:tc>
      </w:tr>
      <w:tr>
        <w:tc>
          <w:tcPr>
            <w:tcW w:type="dxa" w:w="2436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KI-002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File content not indexed — search covers metadata only</w:t>
            </w:r>
          </w:p>
        </w:tc>
        <w:tc>
          <w:tcPr>
            <w:tcW w:type="dxa" w:w="2436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Title and description search works; Apache Tika content extraction planned for v1.1</w:t>
            </w:r>
          </w:p>
        </w:tc>
      </w:tr>
      <w:tr>
        <w:tc>
          <w:tcPr>
            <w:tcW w:type="dxa" w:w="2436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KI-003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Bills/proofs are download-only — no in-browser PDF preview</w:t>
            </w:r>
          </w:p>
        </w:tc>
        <w:tc>
          <w:tcPr>
            <w:tcW w:type="dxa" w:w="2436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Low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Download button available; PDF.js viewer planned for v1.1</w:t>
            </w:r>
          </w:p>
        </w:tc>
      </w:tr>
      <w:tr>
        <w:tc>
          <w:tcPr>
            <w:tcW w:type="dxa" w:w="2436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KI-004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No JWT refresh tokens — hard 8-hour session expiry</w:t>
            </w:r>
          </w:p>
        </w:tc>
        <w:tc>
          <w:tcPr>
            <w:tcW w:type="dxa" w:w="2436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Low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Re-login after session expires; refresh token rotation planned for v1.1</w:t>
            </w:r>
          </w:p>
        </w:tc>
      </w:tr>
      <w:tr>
        <w:tc>
          <w:tcPr>
            <w:tcW w:type="dxa" w:w="2436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KI-005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Mobile sidebar hidden on small screens</w:t>
            </w:r>
          </w:p>
        </w:tc>
        <w:tc>
          <w:tcPr>
            <w:tcW w:type="dxa" w:w="2436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Low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Desktop-first layout; hamburger menu for mobile planned for v1.1</w:t>
            </w:r>
          </w:p>
        </w:tc>
      </w:tr>
      <w:tr>
        <w:tc>
          <w:tcPr>
            <w:tcW w:type="dxa" w:w="2436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KI-006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No SSO integration with School ERP</w:t>
            </w:r>
          </w:p>
        </w:tc>
        <w:tc>
          <w:tcPr>
            <w:tcW w:type="dxa" w:w="2436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Standalone authentication in v1.0; SAML 2.0 / OAuth2 planned for v1.1</w:t>
            </w:r>
          </w:p>
        </w:tc>
      </w:tr>
      <w:tr>
        <w:tc>
          <w:tcPr>
            <w:tcW w:type="dxa" w:w="2436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KI-007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File storage on local filesystem only</w:t>
            </w:r>
          </w:p>
        </w:tc>
        <w:tc>
          <w:tcPr>
            <w:tcW w:type="dxa" w:w="2436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Works for single-server; AWS S3 / Azure Blob adapter planned for v1.1</w:t>
            </w:r>
          </w:p>
        </w:tc>
      </w:tr>
    </w:tbl>
    <w:p/>
    <w:p>
      <w:pPr>
        <w:pStyle w:val="Heading1"/>
        <w:spacing w:before="360" w:after="160"/>
      </w:pPr>
      <w:r>
        <w:rPr>
          <w:rFonts w:ascii="Calibri" w:hAnsi="Calibri"/>
          <w:b/>
          <w:color w:val="1B3A6B"/>
          <w:sz w:val="36"/>
        </w:rPr>
        <w:t>5. Installation and Quick Start</w:t>
      </w:r>
    </w:p>
    <w:p>
      <w:pPr>
        <w:spacing w:before="4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C44C03"/>
          <w:sz w:val="26"/>
        </w:rPr>
        <w:t>5.1 Prerequisites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Node.js v16 or higher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MongoDB 6.x (local installation or Atlas cluster)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SMTP credentials optional — mock mode active when not configured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C44C03"/>
          <w:sz w:val="26"/>
        </w:rPr>
        <w:t>5.2 Setup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Step</w:t>
            </w:r>
          </w:p>
        </w:tc>
        <w:tc>
          <w:tcPr>
            <w:tcW w:type="dxa" w:w="3249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Action</w:t>
            </w:r>
          </w:p>
        </w:tc>
        <w:tc>
          <w:tcPr>
            <w:tcW w:type="dxa" w:w="3249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Command</w:t>
            </w:r>
          </w:p>
        </w:tc>
      </w:tr>
      <w:tr>
        <w:tc>
          <w:tcPr>
            <w:tcW w:type="dxa" w:w="3249"/>
            <w:shd w:val="clear" w:color="auto" w:fill="C44C0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1</w:t>
            </w:r>
          </w:p>
        </w:tc>
        <w:tc>
          <w:tcPr>
            <w:tcW w:type="dxa" w:w="32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Seed demo data</w:t>
            </w:r>
          </w:p>
        </w:tc>
        <w:tc>
          <w:tcPr>
            <w:tcW w:type="dxa" w:w="32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cd backend &amp;&amp; node seed.js</w:t>
            </w:r>
          </w:p>
        </w:tc>
      </w:tr>
      <w:tr>
        <w:tc>
          <w:tcPr>
            <w:tcW w:type="dxa" w:w="3249"/>
            <w:shd w:val="clear" w:color="auto" w:fill="C44C0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2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Configure environment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cp .env.example .env  (edit MONGODB_URI and JWT_SECRET)</w:t>
            </w:r>
          </w:p>
        </w:tc>
      </w:tr>
      <w:tr>
        <w:tc>
          <w:tcPr>
            <w:tcW w:type="dxa" w:w="3249"/>
            <w:shd w:val="clear" w:color="auto" w:fill="C44C0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3</w:t>
            </w:r>
          </w:p>
        </w:tc>
        <w:tc>
          <w:tcPr>
            <w:tcW w:type="dxa" w:w="32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Install backend dependencies</w:t>
            </w:r>
          </w:p>
        </w:tc>
        <w:tc>
          <w:tcPr>
            <w:tcW w:type="dxa" w:w="32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cd backend &amp;&amp; npm install</w:t>
            </w:r>
          </w:p>
        </w:tc>
      </w:tr>
      <w:tr>
        <w:tc>
          <w:tcPr>
            <w:tcW w:type="dxa" w:w="3249"/>
            <w:shd w:val="clear" w:color="auto" w:fill="C44C0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4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Start backend API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npm run dev  (runs on port 5000)</w:t>
            </w:r>
          </w:p>
        </w:tc>
      </w:tr>
      <w:tr>
        <w:tc>
          <w:tcPr>
            <w:tcW w:type="dxa" w:w="3249"/>
            <w:shd w:val="clear" w:color="auto" w:fill="C44C0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5</w:t>
            </w:r>
          </w:p>
        </w:tc>
        <w:tc>
          <w:tcPr>
            <w:tcW w:type="dxa" w:w="32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Install frontend dependencies</w:t>
            </w:r>
          </w:p>
        </w:tc>
        <w:tc>
          <w:tcPr>
            <w:tcW w:type="dxa" w:w="32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cd frontend &amp;&amp; npm install</w:t>
            </w:r>
          </w:p>
        </w:tc>
      </w:tr>
      <w:tr>
        <w:tc>
          <w:tcPr>
            <w:tcW w:type="dxa" w:w="3249"/>
            <w:shd w:val="clear" w:color="auto" w:fill="C44C0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6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Start frontend application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npm start  (opens on port 3000)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Calibri" w:hAnsi="Calibri"/>
          <w:b/>
          <w:color w:val="C44C03"/>
          <w:sz w:val="26"/>
        </w:rPr>
        <w:t>5.3 Demo Login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Email Address</w:t>
            </w:r>
          </w:p>
        </w:tc>
        <w:tc>
          <w:tcPr>
            <w:tcW w:type="dxa" w:w="3249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Password</w:t>
            </w:r>
          </w:p>
        </w:tc>
        <w:tc>
          <w:tcPr>
            <w:tcW w:type="dxa" w:w="3249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32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admin@school.edu</w:t>
            </w:r>
          </w:p>
        </w:tc>
        <w:tc>
          <w:tcPr>
            <w:tcW w:type="dxa" w:w="32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B91C1C"/>
                <w:sz w:val="19"/>
              </w:rPr>
              <w:t>Admin@123</w:t>
            </w:r>
          </w:p>
        </w:tc>
        <w:tc>
          <w:tcPr>
            <w:tcW w:type="dxa" w:w="32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Admin — full system access</w:t>
            </w:r>
          </w:p>
        </w:tc>
      </w:tr>
      <w:tr>
        <w:tc>
          <w:tcPr>
            <w:tcW w:type="dxa" w:w="32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coord@school.edu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B91C1C"/>
                <w:sz w:val="19"/>
              </w:rPr>
              <w:t>Admin@123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CSR Coordinator</w:t>
            </w:r>
          </w:p>
        </w:tc>
      </w:tr>
      <w:tr>
        <w:tc>
          <w:tcPr>
            <w:tcW w:type="dxa" w:w="32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branch@school.edu</w:t>
            </w:r>
          </w:p>
        </w:tc>
        <w:tc>
          <w:tcPr>
            <w:tcW w:type="dxa" w:w="32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B91C1C"/>
                <w:sz w:val="19"/>
              </w:rPr>
              <w:t>Admin@123</w:t>
            </w:r>
          </w:p>
        </w:tc>
        <w:tc>
          <w:tcPr>
            <w:tcW w:type="dxa" w:w="32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Branch School User</w:t>
            </w:r>
          </w:p>
        </w:tc>
      </w:tr>
      <w:tr>
        <w:tc>
          <w:tcPr>
            <w:tcW w:type="dxa" w:w="32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donor@company.com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B91C1C"/>
                <w:sz w:val="19"/>
              </w:rPr>
              <w:t>Admin@123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Donor — Tata Consultancy Services</w:t>
            </w:r>
          </w:p>
        </w:tc>
      </w:tr>
    </w:tbl>
    <w:p>
      <w:pPr>
        <w:spacing w:before="40" w:after="120"/>
        <w:pBdr>
          <w:bottom w:val="single" w:sz="6" w:space="1" w:color="CBD5E1"/>
        </w:pBdr>
      </w:pPr>
    </w:p>
    <w:p>
      <w:pPr>
        <w:spacing w:before="0" w:after="120"/>
        <w:jc w:val="center"/>
      </w:pPr>
      <w:r>
        <w:rPr>
          <w:rFonts w:ascii="Calibri" w:hAnsi="Calibri"/>
          <w:b w:val="0"/>
          <w:i/>
          <w:color w:val="334155"/>
          <w:sz w:val="18"/>
        </w:rPr>
        <w:t>CSR Fund Management — Release Notes v1.0.0  |  Sevak Digital Technologies Pvt. Ltd.  |  April 2026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