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</w:pPr>
      <w:r>
        <w:rPr>
          <w:rFonts w:ascii="Calibri" w:hAnsi="Calibri"/>
          <w:b/>
          <w:color w:val="1B3A6B"/>
          <w:sz w:val="52"/>
        </w:rPr>
        <w:t>GAP ANALYSIS REPORT</w:t>
      </w:r>
    </w:p>
    <w:p>
      <w:pPr>
        <w:spacing w:after="40"/>
      </w:pPr>
      <w:r>
        <w:rPr>
          <w:rFonts w:ascii="Calibri" w:hAnsi="Calibri"/>
          <w:color w:val="C44C03"/>
          <w:sz w:val="32"/>
        </w:rPr>
        <w:t>CSR Fund Management System — v1.0.0</w:t>
      </w:r>
    </w:p>
    <w:p>
      <w:pPr>
        <w:spacing w:after="240"/>
      </w:pPr>
      <w:r>
        <w:rPr>
          <w:rFonts w:ascii="Calibri" w:hAnsi="Calibri"/>
          <w:i/>
          <w:color w:val="334155"/>
          <w:sz w:val="19"/>
        </w:rPr>
        <w:t>Requirements vs. Implementation  |  April 2026  |  April 2026  |  Sevak Digital Technologies Pvt. Ltd.</w:t>
      </w:r>
    </w:p>
    <w:p>
      <w:pPr>
        <w:spacing w:before="40" w:after="120"/>
        <w:pBdr>
          <w:bottom w:val="single" w:sz="6" w:space="1" w:color="C44C03"/>
        </w:pBdr>
      </w:pP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 Type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Gap Analysis Report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v1.0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April 2026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Prepared By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Sevak Digital Technologies Pvt. Ltd.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Total Requirements Assessed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32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Status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Implemented: Requirement fully met in v1.0</w:t>
            </w:r>
          </w:p>
        </w:tc>
        <w:tc>
          <w:tcPr>
            <w:tcW w:type="dxa" w:w="2436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Partial: Partially met; enhancement needed</w:t>
            </w:r>
          </w:p>
        </w:tc>
        <w:tc>
          <w:tcPr>
            <w:tcW w:type="dxa" w:w="2436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Not Implemented: Requirement absent from v1.0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Out of Scope: Deferred or external dependency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1. Core Role Requirements (from Requirements Document)</w:t>
      </w:r>
    </w:p>
    <w:p>
      <w:pPr>
        <w:spacing w:before="4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1.1 Admin Role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Implementation in v1.0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Admin: Full system control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role with full CRUD, approval, allocation, user management, and email trigger access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Fully implemented — highest privilege role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Admin: Manage CSR donors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Donor CRUD with search, status management, document upload, manual email trigger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Complete donor lifecycle management delivered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Admin: Approve fund allocation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Proposal approve/partially_approve with amount input; reject with mandatory reason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5-state lifecycle with automated email at each step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Admin: Monitor all branches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Branch summary report and all-branch allocation/utilization views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Branch summary cards with utilization rates and pending bill counts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Admin: Trigger email comms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Manual email to donor + 6 automated email templates with communication audit log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SMTP integration with console mock mode fallback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1.2 CSR Coordinator Role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Implementation in v1.0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Coordinator: Add/update CSR company details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Full donor create and edit access; cannot delete (admin only)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Role guard enforces separation — coordinator cannot delete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Coordinator: Track proposal &amp; approval status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Proposals list with status filter, colour badges, and approval history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Status filter and badges fully implemented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Coordinator: Upload documents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Document upload to donors and proposals (PDF, DOCX, images)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Multer disk storage with MIME validation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1.3 Branch School User Role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Implementation in v1.0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Branch User: View allocated funds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Allocations page scoped to own branchId; amount, purpose, deadline, status visible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Role-scoped visibility implemented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Branch User: Update fund utilization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Utilization submission with amount, category, date, description, and budget guard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Server-side budget guard prevents over-utilization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Branch User: Upload bills/proofs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Multi-file upload (up to 10 files) attached to each utilization submission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Bills listed in detail view for admin verification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1.4 Donor Role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Implementation in v1.0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Donor: View reports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Donor-scoped fund flow report showing own proposals and utilization breakdown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Reports filtered by donorId — no cross-donor data exposure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Donor: Receive updates via email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 automated triggers: onboarding, proposal submission, approval, rejection, allocation, utilization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Full email automation with Nodemailer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Donor: Optional portal login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Donor user account with email/password login and scoped dashboard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Fully functional donor login with role-scoped views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2. Additional and Implied Requirements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Implementation in v1.0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9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Audit trail and transparency log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Communication log table; proposal review history; utilization verification records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Communications collection + reviewedBy + verifiedBy fields fully tracked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Budget guard: allocation vs approval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Aggregation check prevents cumulative allocation exceeding approved amount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Server-side pre-create aggregation enforced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Budget guard: utilization vs alloc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Running sum check prevents over-utilization submission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Server-side aggregation check on every submission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File type and size validation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MIME type whitelist + 20 MB configurable size limit via env variable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Multer fileFilter + limits configuration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Data security and API authentication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JWT + bcrypt + Helmet + rate limiting + CORS + parameterised queries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Full OWASP Top 10 coverage for API layer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ERP role hierarchy alignment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4-level role hierarchy matching school ERP structure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Roles: admin &gt; csr_coordinator &gt; branch_user &gt; donor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Fiscal year tracking on proposals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fiscalYear field on Proposal schema and creation form; filter by FY in list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Fiscal year filter available on proposals page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Expense categorisation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 expense categories in utilization form</w:t>
            </w:r>
          </w:p>
        </w:tc>
        <w:tc>
          <w:tcPr>
            <w:tcW w:type="dxa" w:w="19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Implemented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P2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infrastructure, books, uniforms, salary, equipment, events, other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SSO with School ERP system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implemented — standalone JWT authentication only in v1.0</w:t>
            </w:r>
          </w:p>
        </w:tc>
        <w:tc>
          <w:tcPr>
            <w:tcW w:type="dxa" w:w="1949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7"/>
              </w:rPr>
              <w:t>Not 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SAML 2.0 / OAuth2 ERP identity provider integration planned for v1.1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PDF in-browser preview for bills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Download button available; no in-browser viewer</w:t>
            </w:r>
          </w:p>
        </w:tc>
        <w:tc>
          <w:tcPr>
            <w:tcW w:type="dxa" w:w="1949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7"/>
              </w:rPr>
              <w:t>Partial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P3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PDF.js embedded viewer planned for v1.1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File content full-text search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Search covers title and description metadata only; not file body content</w:t>
            </w:r>
          </w:p>
        </w:tc>
        <w:tc>
          <w:tcPr>
            <w:tcW w:type="dxa" w:w="1949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7"/>
              </w:rPr>
              <w:t>Partial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P2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Apache Tika / Tesseract OCR extraction planned for v1.1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Overdue allocation auto-detection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Manual status update only; no automated cron job for deadline monitoring</w:t>
            </w:r>
          </w:p>
        </w:tc>
        <w:tc>
          <w:tcPr>
            <w:tcW w:type="dxa" w:w="1949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7"/>
              </w:rPr>
              <w:t>Partial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P2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Scheduled cron job to auto-mark overdue allocations planned for v1.1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Multi-factor authentication (MFA)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implemented in v1.0</w:t>
            </w:r>
          </w:p>
        </w:tc>
        <w:tc>
          <w:tcPr>
            <w:tcW w:type="dxa" w:w="1949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7"/>
              </w:rPr>
              <w:t>Not 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P2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TOTP (Google Authenticator) for Admin+ roles planned for v1.1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Mobile responsive design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Desktop-first layout; sidebar hidden on mobile via CSS breakpoint</w:t>
            </w:r>
          </w:p>
        </w:tc>
        <w:tc>
          <w:tcPr>
            <w:tcW w:type="dxa" w:w="1949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7"/>
              </w:rPr>
              <w:t>Partial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P2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Hamburger menu and touch-optimised layout planned for v1.1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JWT refresh token rotation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Hard 8-hour expiry; users must re-login after session ends</w:t>
            </w:r>
          </w:p>
        </w:tc>
        <w:tc>
          <w:tcPr>
            <w:tcW w:type="dxa" w:w="1949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7"/>
              </w:rPr>
              <w:t>Partial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P2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Refresh token rotation for seamless sessions planned for v1.1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Cloud file storage (S3/GCS)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Local filesystem storage only in v1.0</w:t>
            </w:r>
          </w:p>
        </w:tc>
        <w:tc>
          <w:tcPr>
            <w:tcW w:type="dxa" w:w="1949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7"/>
              </w:rPr>
              <w:t>Not Implemented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P1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AWS S3 / Azure Blob storage adapter planned for v1.1</w:t>
            </w:r>
          </w:p>
        </w:tc>
      </w:tr>
      <w:tr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ERP webhook event integration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 outbound webhooks in v1.0</w:t>
            </w:r>
          </w:p>
        </w:tc>
        <w:tc>
          <w:tcPr>
            <w:tcW w:type="dxa" w:w="1949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7"/>
              </w:rPr>
              <w:t>Not Implemented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P2</w:t>
            </w:r>
          </w:p>
        </w:tc>
        <w:tc>
          <w:tcPr>
            <w:tcW w:type="dxa" w:w="19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Event webhooks for document and fund events planned for v1.2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Distributed/scalable architecture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Single-server PM2 + MongoDB standalone in v1.0</w:t>
            </w:r>
          </w:p>
        </w:tc>
        <w:tc>
          <w:tcPr>
            <w:tcW w:type="dxa" w:w="1949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7"/>
              </w:rPr>
              <w:t>Partial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P2</w:t>
            </w:r>
          </w:p>
        </w:tc>
        <w:tc>
          <w:tcPr>
            <w:tcW w:type="dxa" w:w="19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PM2 cluster mode + MongoDB replica set + CDN planned for v1.2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3. Gap Summary and Release Roadmap</w:t>
      </w:r>
    </w:p>
    <w:p>
      <w:pPr>
        <w:spacing w:before="4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3.1 Implementation Status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Count</w:t>
            </w:r>
          </w:p>
        </w:tc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% of Total</w:t>
            </w:r>
          </w:p>
        </w:tc>
      </w:tr>
      <w:tr>
        <w:tc>
          <w:tcPr>
            <w:tcW w:type="dxa" w:w="32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5803D"/>
                <w:sz w:val="19"/>
              </w:rPr>
              <w:t>Implemented</w:t>
            </w:r>
          </w:p>
        </w:tc>
        <w:tc>
          <w:tcPr>
            <w:tcW w:type="dxa" w:w="32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26"/>
              </w:rPr>
              <w:t>19</w:t>
            </w:r>
          </w:p>
        </w:tc>
        <w:tc>
          <w:tcPr>
            <w:tcW w:type="dxa" w:w="3249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26"/>
              </w:rPr>
              <w:t>59%</w:t>
            </w:r>
          </w:p>
        </w:tc>
      </w:tr>
      <w:tr>
        <w:tc>
          <w:tcPr>
            <w:tcW w:type="dxa" w:w="3249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B45309"/>
                <w:sz w:val="19"/>
              </w:rPr>
              <w:t>Partial</w:t>
            </w:r>
          </w:p>
        </w:tc>
        <w:tc>
          <w:tcPr>
            <w:tcW w:type="dxa" w:w="3249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26"/>
              </w:rPr>
              <w:t>7</w:t>
            </w:r>
          </w:p>
        </w:tc>
        <w:tc>
          <w:tcPr>
            <w:tcW w:type="dxa" w:w="3249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26"/>
              </w:rPr>
              <w:t>22%</w:t>
            </w:r>
          </w:p>
        </w:tc>
      </w:tr>
      <w:tr>
        <w:tc>
          <w:tcPr>
            <w:tcW w:type="dxa" w:w="3249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B91C1C"/>
                <w:sz w:val="19"/>
              </w:rPr>
              <w:t>Not Implemented</w:t>
            </w:r>
          </w:p>
        </w:tc>
        <w:tc>
          <w:tcPr>
            <w:tcW w:type="dxa" w:w="3249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26"/>
              </w:rPr>
              <w:t>6</w:t>
            </w:r>
          </w:p>
        </w:tc>
        <w:tc>
          <w:tcPr>
            <w:tcW w:type="dxa" w:w="3249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26"/>
              </w:rPr>
              <w:t>19%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3.2 Recommended Release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Release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Gap Items to Close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Effort Estimate</w:t>
            </w:r>
          </w:p>
        </w:tc>
      </w:tr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v1.1</w:t>
            </w:r>
          </w:p>
        </w:tc>
        <w:tc>
          <w:tcPr>
            <w:tcW w:type="dxa" w:w="2436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Q2 2026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ERP SSO integration, AWS S3 cloud storage, MFA for Admin+, JWT refresh tokens, file content search (OCR), overdue cron job, mobile responsive UI, PDF in-browser viewer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Large — 10 to 14 weeks</w:t>
            </w:r>
          </w:p>
        </w:tc>
      </w:tr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v1.2</w:t>
            </w:r>
          </w:p>
        </w:tc>
        <w:tc>
          <w:tcPr>
            <w:tcW w:type="dxa" w:w="2436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Q3 2026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ERP webhook events, scalable architecture (PM2 cluster + replica set), WCAG 2.1 AA accessibility audit, advanced fund analytics dashboard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Medium — 6 to 8 weeks</w:t>
            </w:r>
          </w:p>
        </w:tc>
      </w:tr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v1.3</w:t>
            </w:r>
          </w:p>
        </w:tc>
        <w:tc>
          <w:tcPr>
            <w:tcW w:type="dxa" w:w="2436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Q4 2026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Dark mode toggle, saved search preferences, bulk fund operations, email template editor, custom report builder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Small — 4 to 6 weeks</w:t>
            </w:r>
          </w:p>
        </w:tc>
      </w:tr>
    </w:tbl>
    <w:p/>
    <w:p>
      <w:pPr>
        <w:spacing w:before="40" w:after="120"/>
        <w:pBdr>
          <w:bottom w:val="single" w:sz="6" w:space="1" w:color="CBD5E1"/>
        </w:pBdr>
      </w:pP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334155"/>
          <w:sz w:val="18"/>
        </w:rPr>
        <w:t>CSR Fund Management — Gap Analysis v1.0  |  Sevak Digital Technologies Pvt. Ltd.  |  April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