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/>
      </w:pPr>
      <w:bookmarkStart w:colFirst="0" w:colLast="0" w:name="_heading=h.acjqfylrq1nr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Between Day and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400" w:lineRule="auto"/>
        <w:rPr/>
      </w:pPr>
      <w:bookmarkStart w:colFirst="0" w:colLast="0" w:name="_heading=h.tzuygp5iyjb7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67” width ×35” height ×20”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400" w:lineRule="auto"/>
        <w:rPr/>
      </w:pPr>
      <w:bookmarkStart w:colFirst="0" w:colLast="0" w:name="_heading=h.7dqsj2tseqjg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Acrylic painting on canvas with a wooden base of functional art having a top of sawn live edge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400" w:lineRule="auto"/>
        <w:rPr/>
      </w:pPr>
      <w:bookmarkStart w:colFirst="0" w:colLast="0" w:name="_heading=h.k414zu4i2pz8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As you follow this console around, a vibrant afternoon flows into indigo twilight, then gives way to bright morning. A steady wooden top grounds this passage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“Where light changes, time moves, and the city tells its story.”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400" w:lineRule="auto"/>
        <w:rPr/>
      </w:pPr>
      <w:bookmarkStart w:colFirst="0" w:colLast="0" w:name="_heading=h.5r34hapt9bqm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Inspired by those quiet hours when a city winds down, sleeps, and wakes up again. One side captures the bright energy of the afternoon which then slowly softens into a deep, indigo twilight. But as you follow the piece around, the dark gives way to that first, crisp line of morning gold. It’s the feeling of a fresh start, right before the rest of the world wakes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​A warm, live-edge wood top sits above it all, like a steady horizon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color w:val="1d1b18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084alvWb5GWBcgRNGQENWv0A8g==">CgMxLjAyDmguYWNqcWZ5bHJxMW5yMg5oLnR6dXlncDVpeWpiNzIOaC43ZHFzajJ0c2VxamcyDmguazQxNHp1NGkycHo4Mg5oLjVyMzRoYXB0OWJxbTgAciExTXJLWW1MS2swcFV2c0FhckI1U3lmRmxTUGttZWthd1Q=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