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2019-07-16</w:t>
      </w:r>
    </w:p>
    <w:p>
      <w:pPr>
        <w:pStyle w:val="Heading1"/>
      </w:pPr>
      <w:bookmarkStart w:id="20" w:name="section"/>
      <w:r>
        <w:t xml:space="preserve">발간사</w:t>
      </w:r>
      <w:bookmarkEnd w:id="20"/>
    </w:p>
    <w:p>
      <w:pPr>
        <w:pStyle w:val="FirstParagraph"/>
      </w:pPr>
      <w:r>
        <w:rPr>
          <w:b/>
        </w:rPr>
        <w:t xml:space="preserve">삽화편두통 예방치료약물”에 대한 임상진료지침 발간을 축하하며</w:t>
      </w:r>
    </w:p>
    <w:p>
      <w:pPr>
        <w:pStyle w:val="BodyText"/>
      </w:pPr>
      <w:r>
        <w:t xml:space="preserve">우선 본 지침을 만들기 위해 노고를 아끼지 않으신 총괄책임자인 정재면위원장님과 모든 실무를 도맡아 해주신 박광열간사님을 비롯한 참여하여 주신 모든 분들께 학회를 대표하여 깊은 감사의 말씀을 드립니다.</w:t>
      </w:r>
    </w:p>
    <w:p>
      <w:pPr>
        <w:pStyle w:val="BodyText"/>
      </w:pPr>
      <w:r>
        <w:t xml:space="preserve">편두통은 가장 흔한 뇌질환으로 전세계 13억 인구가 고통받고 있습니다. 흔할 뿐아니라 반복되는 통증과 두통에 동반된 증상들로 인한 장애도 매우 커서 세계보건기구(WHO)의 조사에서 질병부담이 큰 질환 2위일 정도로, 심각하게 환자의 삶의 질을 저하시키고 사회경제적 비용 부담을 유발하는 질환입니다. 하지만 아직 편두통에 대한 의과대학과정이나 수련과정에서 교육시간은 절대 부족하고 사회와 보건당국의 이해와 관심은 미미하여 전체 편두통환자의 10% 미만이 제대로 진단과 치료를 받고 있습니다.</w:t>
      </w:r>
    </w:p>
    <w:p>
      <w:pPr>
        <w:pStyle w:val="BodyText"/>
      </w:pPr>
      <w:r>
        <w:t xml:space="preserve">최근 편두통의 중요성이 부각됨에 따라 미국과 유럽의 많은 나라에서 앞다투어 편두통 진료지침을 제시하고 있습니다. 하지만 편두통의 치료의 많은 부분이 근거보다는 전문가의 견해에 의존하고 있고 나라마다 허가된 약제들이 다르기 때문에 다양한 진료지침은 때로는 혼란의 원인이 될 수도 있습니다. 그런 만큼 우리나라 현실에 부합하고 일차 진료현장에서 쉽게 적용할 수 있는 가이드라인을 개발하여 활용할 필요성이 어느 때보다 높다고 생각합니다. 과거 두차례 대한두통학회의 편두통진료지침이 있었지만 본 지침서는 대한의학회의 진료지침의 개발과 평가방법에 맞춘 최초의 체계적인 임상진료지침이라는 큰 의의가 있습니다.</w:t>
      </w:r>
    </w:p>
    <w:p>
      <w:pPr>
        <w:pStyle w:val="BodyText"/>
      </w:pPr>
      <w:r>
        <w:t xml:space="preserve">본 진료지침은 세계 주요 국가에서 사용되고 있는 진료지침들을 분석하여 우리나라 의료 현장에 맞게 조정하였고, 본 학회 이외도 진료지침 전문가의 자문을 받아 더욱 완성도를 높였습니다. 편두통 치료에 있어 신기원을 이루는 새로운 약제와 기구들이 수년 내에 국내 출시 예정입니다. 빠른 시일내에 새로 개발된 치료법을 포함하는 새로운 지침서를 기대합니다.</w:t>
      </w:r>
    </w:p>
    <w:p>
      <w:pPr>
        <w:pStyle w:val="Compact"/>
      </w:pPr>
      <w:r>
        <w:rPr>
          <w:b/>
        </w:rPr>
        <w:t xml:space="preserve">대한두통학회 회장 김병건</w:t>
      </w:r>
    </w:p>
    <w:p>
      <w:pPr>
        <w:pStyle w:val="Heading1"/>
      </w:pPr>
      <w:bookmarkStart w:id="21" w:name="section-1"/>
      <w:r>
        <w:t xml:space="preserve">간행사</w:t>
      </w:r>
      <w:bookmarkEnd w:id="21"/>
    </w:p>
    <w:p>
      <w:pPr>
        <w:pStyle w:val="FirstParagraph"/>
      </w:pPr>
      <w:r>
        <w:t xml:space="preserve">대한두통학회 창립 20주년을 맞이하여 삽화편두통 예방치료약물 진료지침이 발간됩니다.</w:t>
      </w:r>
    </w:p>
    <w:p>
      <w:pPr>
        <w:pStyle w:val="BodyText"/>
      </w:pPr>
      <w:r>
        <w:t xml:space="preserve">대한두통학회에서는 이미 2002년에</w:t>
      </w:r>
      <w:r>
        <w:t xml:space="preserve"> </w:t>
      </w:r>
      <w:r>
        <w:t xml:space="preserve">“</w:t>
      </w:r>
      <w:r>
        <w:t xml:space="preserve">편두통 진료지침</w:t>
      </w:r>
      <w:r>
        <w:t xml:space="preserve">”</w:t>
      </w:r>
      <w:r>
        <w:t xml:space="preserve">을, 2009년에</w:t>
      </w:r>
      <w:r>
        <w:t xml:space="preserve"> </w:t>
      </w:r>
      <w:r>
        <w:t xml:space="preserve">“</w:t>
      </w:r>
      <w:r>
        <w:t xml:space="preserve">편두통 진료지침 제 2판</w:t>
      </w:r>
      <w:r>
        <w:t xml:space="preserve">”</w:t>
      </w:r>
      <w:r>
        <w:t xml:space="preserve">을 발간한 바 있습니다. 초판에서는 당시 미국 신경과학회에서 발표된</w:t>
      </w:r>
      <w:r>
        <w:t xml:space="preserve"> </w:t>
      </w:r>
      <w:r>
        <w:t xml:space="preserve">“</w:t>
      </w:r>
      <w:r>
        <w:t xml:space="preserve">Practice guideline for migraine headache</w:t>
      </w:r>
      <w:r>
        <w:t xml:space="preserve">”</w:t>
      </w:r>
      <w:r>
        <w:t xml:space="preserve">를 발췌 번역한 것이었기에 우리의 임상상황과는 상이한 부분이 있었고, 우리나라 건강보험 체계의 현실과 맞지 않는 한계가 있었습니다. 하지만 대한두통학회 출범과 함께 두통을 진료하는 임상의사들에게 부족하나마 길잡이 역할을 제공하였다고 생각합니다. 제2판에서는 이런 단점을 보완하여 국내 임상현장의 현실을 반영하도록 애썼고 소아편두통 분야의 가이드라인을 추가하였다는 점에서 의의가 크다고 할 수 있습니다.</w:t>
      </w:r>
    </w:p>
    <w:p>
      <w:pPr>
        <w:pStyle w:val="BodyText"/>
      </w:pPr>
      <w:r>
        <w:t xml:space="preserve">2000년대 중반이 되면서 진료지침의 개발과 검증에 대한 방법론적인 발전으로 국내에서도 한국보건의료원(NECA)의 개원과 함께 대한의학회 주관으로 진료지침 개발의 표준화가 진행되었습니다. 이에 신경학 분야의 진료지침 개발의 필요성을 절감하고 있던 대한신경과학회와 대한두통학회가 협력하여 새로운 개발 체계를 적용한 진료지침을 개발하기로 한 것입니다. 2016년 가을 이번 진료지침의 개시모임이 있은 이후 대한의학회에서 권고하는 방법론을 준수하여 진료지침 개발과정이 시작되었습니다. 간사인 박광열 교수를 포함한 진료지침 위원들이 새로운 방법론에 대한 지식과 경험을 쌓아나가며 느리지만 한 단계씩 개발을 진행하였습니다. 기존에 발간하였던 편두통 진료지침과 다르게 삽화편두통의 예방치료약물로 그 범위를 한정한 것은 실제 임상의 요구가 크다는 점과 체계화된 개발의 경험을 쌓기 위한 두 가지 목적이 있었기 때문입니다.</w:t>
      </w:r>
    </w:p>
    <w:p>
      <w:pPr>
        <w:pStyle w:val="BodyText"/>
      </w:pPr>
      <w:r>
        <w:t xml:space="preserve">대한두통학회 창립 20주년을 맞이하여 이제 체계화된 개발 과정을 거쳐 두통에 관한 표준진료지침의 첫걸음을 내딛게 되었습니다. 완성도에서는 아직도 미흡한 점이 많습니다. 하지만 앞으로 개발될 일련의 두통 관련 표준진료지침들과 후속 개정작업을 통해 두통질환의 진료와 연구 수준을 높이는 계기가 된다는 점에서 그 의미가 크다고 할 수 있겠습니다</w:t>
      </w:r>
    </w:p>
    <w:p>
      <w:pPr>
        <w:pStyle w:val="BodyText"/>
      </w:pPr>
      <w:r>
        <w:t xml:space="preserve">진료지침 개발과정이 중단없이 진행될 수 있도록 배려해 주신 대한두통학회 김병건 회장님, 대한신경과학회의 정진상 이사장님과 김원주 진료지침위원장께 우선 감사 드립니다. 궂은 일을 도맡아 해주신 간사 박광열 교수께 큰 빚을 진 느낌입니다. 열정을 잃지 않고 끝까지 작업을 해주신 실무위원들께 머리 숙여 감사의 마음을 전합니다. 개발과정에 나침반이 되어주신 세 분의 외부인사, 박동아, 이유경, 최미영 선생님께도 이 자리를 빌어 감사의 인사를 드립니다.</w:t>
      </w:r>
    </w:p>
    <w:p>
      <w:pPr>
        <w:pStyle w:val="Compact"/>
      </w:pPr>
      <w:r>
        <w:rPr>
          <w:b/>
        </w:rPr>
        <w:t xml:space="preserve">대한두통학회 편두통진료지침위원장 정재면</w:t>
      </w:r>
    </w:p>
    <w:p>
      <w:pPr>
        <w:pStyle w:val="Heading1"/>
      </w:pPr>
      <w:bookmarkStart w:id="22" w:name="section-2"/>
      <w:r>
        <w:t xml:space="preserve">요약</w:t>
      </w:r>
      <w:bookmarkEnd w:id="22"/>
    </w:p>
    <w:p>
      <w:pPr>
        <w:pStyle w:val="Heading2"/>
      </w:pPr>
      <w:bookmarkStart w:id="23" w:name="section-3"/>
      <w:r>
        <w:t xml:space="preserve">핵심질문과 권고사항</w:t>
      </w:r>
      <w:bookmarkEnd w:id="23"/>
    </w:p>
    <w:p>
      <w:pPr>
        <w:pStyle w:val="FirstParagraph"/>
      </w:pPr>
      <w:r>
        <w:t xml:space="preserve">1. 성인 삽화편두통 환자에서 예방치료를 고려해야 하는 요인들(두통빈도, 두통강도, 환자의 선호도, 일상생활에 대한 영향 등)은 무엇인가?</w:t>
      </w:r>
    </w:p>
    <w:p>
      <w:pPr>
        <w:numPr>
          <w:numId w:val="1001"/>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4"/>
      </w:r>
      <w:r>
        <w:t xml:space="preserve">를 겪는 경우에 예방치료를 권고한다. (근거수준: 전문가의견, 권고등급: 강함)</w:t>
      </w:r>
    </w:p>
    <w:p>
      <w:pPr>
        <w:numPr>
          <w:numId w:val="1001"/>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1"/>
          <w:ilvl w:val="0"/>
        </w:numPr>
      </w:pPr>
      <w:r>
        <w:t xml:space="preserve">편두통환자가 편두통 급성기치료제를 월 10–15일 이상 사용하는 경우에 약물과용두통</w:t>
      </w:r>
      <w:r>
        <w:rPr>
          <w:rStyle w:val="FootnoteReference"/>
        </w:rPr>
        <w:footnoteReference w:id="25"/>
      </w:r>
      <w:r>
        <w:t xml:space="preserve">의 우려가 있으므로 예방치료를 권고한다. (근거수준: 전문가의견, 권고등급: 강함)</w:t>
      </w:r>
    </w:p>
    <w:p>
      <w:pPr>
        <w:numPr>
          <w:numId w:val="1001"/>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1"/>
          <w:ilvl w:val="0"/>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numId w:val="1003"/>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03"/>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03"/>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03"/>
          <w:ilvl w:val="0"/>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numId w:val="1004"/>
          <w:ilvl w:val="0"/>
        </w:numPr>
      </w:pPr>
      <w:r>
        <w:t xml:space="preserve">프로프라놀롤은 성인 삽화편두통 환자에서 편두통 예방약제로 사용하는 것을 권고한다. (근거수준: 높음, 권고등급: 강함)</w:t>
      </w:r>
    </w:p>
    <w:p>
      <w:pPr>
        <w:numPr>
          <w:numId w:val="1004"/>
          <w:ilvl w:val="0"/>
        </w:numPr>
      </w:pPr>
      <w:r>
        <w:t xml:space="preserve">메토프롤롤은 성인 삽화편두통 환자에서 편두통 예방약제로 사용하는 것을 권고한다.(근거수준: 높음, 권고등급: 강함)</w:t>
      </w:r>
    </w:p>
    <w:p>
      <w:pPr>
        <w:numPr>
          <w:numId w:val="1004"/>
          <w:ilvl w:val="0"/>
        </w:numPr>
      </w:pPr>
      <w:r>
        <w:t xml:space="preserve">아테놀롤은 성인 삽화편두통 환자에서 편두통 예방약제로 사용하는 것을 고려할 수 있다. (근거수준: 보통, 권고등급: 약함)</w:t>
      </w:r>
    </w:p>
    <w:p>
      <w:pPr>
        <w:numPr>
          <w:numId w:val="1004"/>
          <w:ilvl w:val="0"/>
        </w:numPr>
      </w:pPr>
      <w:r>
        <w:t xml:space="preserve">나돌롤은 성인 삽화편두통 환자에서 편두통 예방약제로 사용하는 것을 고려할 수 있다. (근거수준: 보통, 권고등급: 약함)</w:t>
      </w:r>
    </w:p>
    <w:p>
      <w:pPr>
        <w:numPr>
          <w:numId w:val="1004"/>
          <w:ilvl w:val="0"/>
        </w:numPr>
      </w:pPr>
      <w:r>
        <w:t xml:space="preserve">네비볼롤은 성인 삽화편두통 환자에서 편두통 예방약제로 사용하는 것을 고려할 수 있다. (근거수준: 낮음, 권고등급: 약함)</w:t>
      </w:r>
    </w:p>
    <w:p>
      <w:pPr>
        <w:numPr>
          <w:numId w:val="1004"/>
          <w:ilvl w:val="0"/>
        </w:numPr>
      </w:pPr>
      <w:r>
        <w:t xml:space="preserve">비소프롤롤은 성인 삽화편두통 환자에서 편두통 예방약제로 사용하지 않을 것을 제안한다. (근거수준: 전문가의견, 권고등급: 약함)</w:t>
      </w:r>
    </w:p>
    <w:p>
      <w:pPr>
        <w:numPr>
          <w:numId w:val="100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numId w:val="1005"/>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05"/>
          <w:ilvl w:val="0"/>
        </w:numPr>
      </w:pPr>
      <w:r>
        <w:t xml:space="preserve">베라파밀은 성인 삽화편두통 환자에서 편두통 예방약제로 사용하지 않을 것을 제안한다. (근거수준: 전문가의견, 권고등급: 약함)</w:t>
      </w:r>
    </w:p>
    <w:p>
      <w:pPr>
        <w:numPr>
          <w:numId w:val="1005"/>
          <w:ilvl w:val="0"/>
        </w:numPr>
      </w:pPr>
      <w:r>
        <w:t xml:space="preserve">플루나리진은 성인 삽화편두통 환자에서 편두통 예방약제로 사용하는 것을 고려할 수 있다. (근거수준: 높음, 권고등급: 약함)</w:t>
      </w:r>
    </w:p>
    <w:p>
      <w:pPr>
        <w:numPr>
          <w:numId w:val="1005"/>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BlockText"/>
      </w:pPr>
      <w:r>
        <w:t xml:space="preserve">플루나리진은 파킨슨 증상이나 떨림 등의 질환이 있는 환자에서는 금기이며 고령환자에서는 가급적 투여를 피해야 한다.</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numId w:val="1006"/>
          <w:ilvl w:val="0"/>
        </w:numPr>
      </w:pPr>
      <w:r>
        <w:t xml:space="preserve">칸데사르탄은 성인 삽화편두통 환자에서 편두통 예방약제로 사용하는 것을 고려할 수 있다. (근거수준: 보통, 권고등급: 약함)</w:t>
      </w:r>
    </w:p>
    <w:p>
      <w:pPr>
        <w:numPr>
          <w:numId w:val="1006"/>
          <w:ilvl w:val="0"/>
        </w:numPr>
      </w:pPr>
      <w:r>
        <w:t xml:space="preserve">리시노프릴은 성인 삽화편두통 환자에서 편두통 예방약제로 사용하는 것을 고려할 수 있다. (근거수준: 낮음, 권고등급: 약함)</w:t>
      </w:r>
    </w:p>
    <w:p>
      <w:pPr>
        <w:numPr>
          <w:numId w:val="1006"/>
          <w:ilvl w:val="0"/>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numId w:val="1007"/>
          <w:ilvl w:val="0"/>
        </w:numPr>
      </w:pPr>
      <w:r>
        <w:t xml:space="preserve">아미트리프틸린은 성인 삽화편두통 환자에서 편두통 예방약제로 사용하는 것을 권고한다. (근거수준: 보통, 권고등급: 강함)</w:t>
      </w:r>
    </w:p>
    <w:p>
      <w:pPr>
        <w:numPr>
          <w:numId w:val="1007"/>
          <w:ilvl w:val="0"/>
        </w:numPr>
      </w:pPr>
      <w:r>
        <w:t xml:space="preserve">벤라팍신은 성인 삽화편두통 환자에서 편두통 예방약제로 사용하는 것을 고려할 수 있다. (근거수준: 보통, 권고등급: 약함)</w:t>
      </w:r>
    </w:p>
    <w:p>
      <w:pPr>
        <w:numPr>
          <w:numId w:val="1007"/>
          <w:ilvl w:val="0"/>
        </w:numPr>
      </w:pPr>
      <w:r>
        <w:t xml:space="preserve">플루옥세틴은 성인 삽화편두통 환자에서 편두통 예방약제로 사용하지 않을 것을 제안한다. (근거수준: 매우낮음, 권고등급: 약함)</w:t>
      </w:r>
    </w:p>
    <w:p>
      <w:pPr>
        <w:numPr>
          <w:numId w:val="1007"/>
          <w:ilvl w:val="0"/>
        </w:numPr>
      </w:pPr>
      <w:r>
        <w:t xml:space="preserve">노르트리프틸린은 성인 삽화편두통 환자에서 편두통 예방치료제로 사용하는 것을 고려할 수 있다. (근거수준: 매우낮음, 권고등급: 약함)</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numId w:val="1008"/>
          <w:ilvl w:val="0"/>
        </w:numPr>
      </w:pPr>
      <w:r>
        <w:t xml:space="preserve">토피라메이트는 성인 삽화편두통 환자에서 편두통 예방약제로 사용할 것을 권고한다. (근거수준: 높음, 권고등급: 강함)</w:t>
      </w:r>
    </w:p>
    <w:p>
      <w:pPr>
        <w:numPr>
          <w:numId w:val="1008"/>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08"/>
          <w:ilvl w:val="0"/>
        </w:numPr>
      </w:pPr>
      <w:r>
        <w:t xml:space="preserve">가바펜틴은 성인 삽화편두통 환자에서 편두통 예방약제로 사용하지 않을 것을 제안한다. (근거수준: 매우낮음, 권고등급: 약함)</w:t>
      </w:r>
    </w:p>
    <w:p>
      <w:pPr>
        <w:numPr>
          <w:numId w:val="1008"/>
          <w:ilvl w:val="0"/>
        </w:numPr>
      </w:pPr>
      <w:r>
        <w:t xml:space="preserve">레베티라세탐은 성인 삽화편두통 환자에서 편두통 예방약제로 사용하는 것을 고려할 수 있다. (근거수준: 낮음, 권고등급: 약함)</w:t>
      </w:r>
    </w:p>
    <w:p>
      <w:pPr>
        <w:numPr>
          <w:numId w:val="1008"/>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디발프로엑스나트륨과 발프로산은 신경과 결손을 포함한 기형유발의 위험이 있으므로 가임기 여성에서는 유의하여야 하며, 임신중인 환자에서는 금기이다.</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p>
      <w:pPr>
        <w:pStyle w:val="Heading2"/>
      </w:pPr>
      <w:bookmarkStart w:id="26" w:name="section-4"/>
      <w:r>
        <w:t xml:space="preserve">약물별 권고수준</w:t>
      </w:r>
      <w:bookmarkEnd w:id="26"/>
    </w:p>
    <w:p>
      <w:pPr>
        <w:pStyle w:val="TableCaption"/>
      </w:pPr>
      <w:r>
        <w:t xml:space="preserve">Table 1: 베타차단제</w:t>
      </w:r>
    </w:p>
    <w:tbl>
      <w:tblPr>
        <w:tblStyle w:val="Table"/>
        <w:tblW w:type="pct" w:w="0.0"/>
        <w:tblLook w:firstRow="1"/>
        <w:tblCaption w:val="Table 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2: 칼슘통로차단제</w:t>
      </w:r>
    </w:p>
    <w:tbl>
      <w:tblPr>
        <w:tblStyle w:val="Table"/>
        <w:tblW w:type="pct" w:w="0.0"/>
        <w:tblLook w:firstRow="1"/>
        <w:tblCaption w:val="Table 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3: 안지오텐신수용체 또는 전환효소억제제</w:t>
      </w:r>
    </w:p>
    <w:tbl>
      <w:tblPr>
        <w:tblStyle w:val="Table"/>
        <w:tblW w:type="pct" w:w="0.0"/>
        <w:tblLook w:firstRow="1"/>
        <w:tblCaption w:val="Table 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4: 항우울제</w:t>
      </w:r>
    </w:p>
    <w:tbl>
      <w:tblPr>
        <w:tblStyle w:val="Table"/>
        <w:tblW w:type="pct" w:w="0.0"/>
        <w:tblLook w:firstRow="1"/>
        <w:tblCaption w:val="Table 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5: 뇌전증약</w:t>
      </w:r>
    </w:p>
    <w:tbl>
      <w:tblPr>
        <w:tblStyle w:val="Table"/>
        <w:tblW w:type="pct" w:w="0.0"/>
        <w:tblLook w:firstRow="1"/>
        <w:tblCaption w:val="Table 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27" w:name="section-5"/>
      <w:r>
        <w:t xml:space="preserve">개요</w:t>
      </w:r>
      <w:bookmarkEnd w:id="27"/>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고찰하여, 국내의 일차진료를 담당하는 의사가 성인 삽화편두통 환자를 진료하는 외래 및 입원 진료에서 활용할 수 있는 편두통 예방치료약물 사용의 권고안을 제시하려고 한다.</w:t>
      </w:r>
      <w:r>
        <w:t xml:space="preserve"> </w:t>
      </w:r>
    </w:p>
    <w:p>
      <w:pPr>
        <w:pStyle w:val="Heading1"/>
      </w:pPr>
      <w:bookmarkStart w:id="28" w:name="section-6"/>
      <w:r>
        <w:t xml:space="preserve">각론</w:t>
      </w:r>
      <w:bookmarkEnd w:id="28"/>
    </w:p>
    <w:p>
      <w:pPr>
        <w:pStyle w:val="Heading2"/>
      </w:pPr>
      <w:bookmarkStart w:id="29" w:name="section-7"/>
      <w:r>
        <w:t xml:space="preserve">예방치료시 고려 요인</w:t>
      </w:r>
      <w:bookmarkEnd w:id="29"/>
    </w:p>
    <w:p>
      <w:pPr>
        <w:pStyle w:val="Heading4"/>
      </w:pPr>
      <w:bookmarkStart w:id="30" w:name="section-8"/>
      <w:r>
        <w:t xml:space="preserve">성인 삽화편두통 환자에서 예방치료를 고려해야 하는 요인들(두통빈도, 두통강도, 환자의 선호도, 일상생활에 대한 영향 등)은 무엇인가?</w:t>
      </w:r>
      <w:bookmarkEnd w:id="30"/>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numId w:val="1009"/>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31"/>
      </w:r>
      <w:r>
        <w:t xml:space="preserve">를 겪는 경우에 예방치료를 권고한다. (근거수준: 전문가의견, 권고등급: 강함)</w:t>
      </w:r>
    </w:p>
    <w:p>
      <w:pPr>
        <w:numPr>
          <w:numId w:val="1009"/>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9"/>
          <w:ilvl w:val="0"/>
        </w:numPr>
      </w:pPr>
      <w:r>
        <w:t xml:space="preserve">편두통환자가 편두통 급성기치료제를 월 10–15일 이상 사용하는 경우에 약물과용두통</w:t>
      </w:r>
      <w:r>
        <w:rPr>
          <w:rStyle w:val="FootnoteReference"/>
        </w:rPr>
        <w:footnoteReference w:id="32"/>
      </w:r>
      <w:r>
        <w:t xml:space="preserve">의 우려가 있으므로 예방치료를 권고한다. (근거수준: 전문가의견, 권고등급: 강함)</w:t>
      </w:r>
    </w:p>
    <w:p>
      <w:pPr>
        <w:numPr>
          <w:numId w:val="1009"/>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9"/>
          <w:ilvl w:val="0"/>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numId w:val="1011"/>
          <w:ilvl w:val="0"/>
        </w:numPr>
      </w:pPr>
      <w:r>
        <w:t xml:space="preserve">Pringsheim T, Davenport W, Mackie G, et al. Canadian Headache Society guideline for migraine prophylaxis. Can J Neurol Sci. 2012 Mar;39(2 Suppl 2):S1-59.</w:t>
      </w:r>
    </w:p>
    <w:p>
      <w:pPr>
        <w:numPr>
          <w:numId w:val="1011"/>
          <w:ilvl w:val="0"/>
        </w:numPr>
      </w:pPr>
      <w:r>
        <w:t xml:space="preserve">Lipton RB, Bigal ME, Diamond M, et al. Migraine prevalence, disease burden, and the need for preventive therapy. Neurology. 2007 Jan 30;68(5):343-9.</w:t>
      </w:r>
    </w:p>
    <w:p>
      <w:pPr>
        <w:numPr>
          <w:numId w:val="1011"/>
          <w:ilvl w:val="0"/>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p>
      <w:pPr>
        <w:pStyle w:val="Heading2"/>
      </w:pPr>
      <w:bookmarkStart w:id="33" w:name="section-9"/>
      <w:r>
        <w:t xml:space="preserve">예방치료의 중단</w:t>
      </w:r>
      <w:bookmarkEnd w:id="33"/>
    </w:p>
    <w:p>
      <w:pPr>
        <w:pStyle w:val="Heading4"/>
      </w:pPr>
      <w:bookmarkStart w:id="34" w:name="section-10"/>
      <w:r>
        <w:t xml:space="preserve">성인 삽화편두통 환자에서 예방치료의 중단은 어떻게 결정해야 하는가?</w:t>
      </w:r>
      <w:bookmarkEnd w:id="34"/>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numId w:val="1012"/>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12"/>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12"/>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12"/>
          <w:ilvl w:val="0"/>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pStyle w:val="Compact"/>
        <w:numPr>
          <w:numId w:val="1013"/>
          <w:ilvl w:val="0"/>
        </w:numPr>
      </w:pPr>
      <w:r>
        <w:t xml:space="preserve">Pringsheim T, Davenport W, Mackie G, et al. Canadian Headache Society guideline for migraine prophylaxis. Can J Neurol Sci. 2012 Mar;39(2 Suppl 2):S1-59.</w:t>
      </w:r>
    </w:p>
    <w:p>
      <w:r>
        <w:pict>
          <v:rect style="width:0;height:1.5pt" o:hralign="center" o:hrstd="t" o:hr="t"/>
        </w:pict>
      </w:r>
    </w:p>
    <w:p>
      <w:pPr>
        <w:pStyle w:val="Heading2"/>
      </w:pPr>
      <w:bookmarkStart w:id="35" w:name="section-11"/>
      <w:r>
        <w:t xml:space="preserve">베타차단제</w:t>
      </w:r>
      <w:bookmarkEnd w:id="35"/>
    </w:p>
    <w:p>
      <w:pPr>
        <w:pStyle w:val="Heading4"/>
      </w:pPr>
      <w:bookmarkStart w:id="36" w:name="section-12"/>
      <w:r>
        <w:t xml:space="preserve">성인 삽화편두통 환자에서 예방치료로 베타차단제를 사용하는 것이 타약제, 위약 또는 치료하지 않는 것에 비해 두통의 완화에 효과적인가?</w:t>
      </w:r>
      <w:bookmarkEnd w:id="36"/>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50mg부터 시작하여 200mg까지 증량하여 사용할 수 있다.</w:t>
      </w:r>
    </w:p>
    <w:p>
      <w:pPr>
        <w:pStyle w:val="BodyText"/>
      </w:pPr>
      <w:r>
        <w:rPr>
          <w:b/>
        </w:rP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40mg부터 160mg까지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numId w:val="1014"/>
          <w:ilvl w:val="0"/>
        </w:numPr>
      </w:pPr>
      <w:r>
        <w:t xml:space="preserve">프로프라놀롤은 성인 삽화편두통 환자에서 편두통 예방약제로 사용하는 것을 권고한다. (근거수준: 높음, 권고등급: 강함)</w:t>
      </w:r>
    </w:p>
    <w:p>
      <w:pPr>
        <w:numPr>
          <w:numId w:val="1014"/>
          <w:ilvl w:val="0"/>
        </w:numPr>
      </w:pPr>
      <w:r>
        <w:t xml:space="preserve">메토프롤롤은 성인 삽화편두통 환자에서 편두통 예방약제로 사용하는 것을 권고한다. (근거수준: 높음, 권고등급: 강함)</w:t>
      </w:r>
    </w:p>
    <w:p>
      <w:pPr>
        <w:numPr>
          <w:numId w:val="1014"/>
          <w:ilvl w:val="0"/>
        </w:numPr>
      </w:pPr>
      <w:r>
        <w:t xml:space="preserve">아테놀롤은 성인 삽화편두통 환자에서 편두통 예방약제로 사용하는 것을 고려할 수 있다. (근거수준: 보통, 권고등급: 약함)</w:t>
      </w:r>
    </w:p>
    <w:p>
      <w:pPr>
        <w:numPr>
          <w:numId w:val="1014"/>
          <w:ilvl w:val="0"/>
        </w:numPr>
      </w:pPr>
      <w:r>
        <w:t xml:space="preserve">나돌롤은 성인 삽화편두통 환자에서 편두통 예방약제로 사용하는 것을 고려할 수 있다. (근거수준: 보통, 권고등급: 약함)</w:t>
      </w:r>
    </w:p>
    <w:p>
      <w:pPr>
        <w:numPr>
          <w:numId w:val="1014"/>
          <w:ilvl w:val="0"/>
        </w:numPr>
      </w:pPr>
      <w:r>
        <w:t xml:space="preserve">네비볼롤은 성인 삽화편두통 환자에서 편두통 예방약제로 사용하는 것을 고려할 수 있다. (근거수준: 낮음, 권고등급: 약함)</w:t>
      </w:r>
    </w:p>
    <w:p>
      <w:pPr>
        <w:numPr>
          <w:numId w:val="1014"/>
          <w:ilvl w:val="0"/>
        </w:numPr>
      </w:pPr>
      <w:r>
        <w:t xml:space="preserve">비소프롤롤은 성인 삽화편두통 환자에서 편두통 예방약제로 사용하지 않을 것을 제안한다. (근거수준: 전문가의견, 권고등급: 약함)</w:t>
      </w:r>
    </w:p>
    <w:p>
      <w:pPr>
        <w:numPr>
          <w:numId w:val="101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pPr>
        <w:pStyle w:val="FirstParagraph"/>
      </w:pPr>
      <w:r>
        <w:t xml:space="preserve">참고문헌</w:t>
      </w:r>
    </w:p>
    <w:p>
      <w:pPr>
        <w:numPr>
          <w:numId w:val="1015"/>
          <w:ilvl w:val="0"/>
        </w:numPr>
      </w:pPr>
      <w:r>
        <w:t xml:space="preserve">Silberstein SD, Holland S, Freitag F, et al. Evidence-based guideline update: Pharmacologic treatment for episodic migraine prevention in adults. Neurology 2012:78:1337-1345.</w:t>
      </w:r>
    </w:p>
    <w:p>
      <w:pPr>
        <w:numPr>
          <w:numId w:val="1015"/>
          <w:ilvl w:val="0"/>
        </w:numPr>
      </w:pPr>
      <w:r>
        <w:t xml:space="preserve">Linde K, Rossnagel K. Propranolol for migraine prophylaxis. Cochrane Database of Systematic Reviews 2013 Cochrane Database Syst Rev. 2004;(2):CD003225.</w:t>
      </w:r>
    </w:p>
    <w:p>
      <w:pPr>
        <w:numPr>
          <w:numId w:val="1015"/>
          <w:ilvl w:val="0"/>
        </w:numPr>
      </w:pPr>
      <w:r>
        <w:t xml:space="preserve">Shamliyan TA, Choi JY, Ramakrishnan R, et al. Preventive pharmacologic treatments for episodic migraine in adults. J Gen Intern Med. 2013;28:1225-1237.</w:t>
      </w:r>
    </w:p>
    <w:p>
      <w:pPr>
        <w:numPr>
          <w:numId w:val="1015"/>
          <w:ilvl w:val="0"/>
        </w:numPr>
      </w:pPr>
      <w:r>
        <w:t xml:space="preserve">Jackson JL, Cogbill E, Santana-Davila R, et al. A Comparative Effectiveness Meta-Analysis of Drugs for the Prophylaxis of Migraine Headache. PLoS One 2015;10:e0130733.</w:t>
      </w:r>
    </w:p>
    <w:p>
      <w:pPr>
        <w:numPr>
          <w:numId w:val="1015"/>
          <w:ilvl w:val="0"/>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p>
      <w:pPr>
        <w:pStyle w:val="Heading2"/>
      </w:pPr>
      <w:bookmarkStart w:id="37" w:name="section-13"/>
      <w:r>
        <w:t xml:space="preserve">칼슘통로차단제</w:t>
      </w:r>
      <w:bookmarkEnd w:id="37"/>
    </w:p>
    <w:p>
      <w:pPr>
        <w:pStyle w:val="Heading4"/>
      </w:pPr>
      <w:bookmarkStart w:id="38" w:name="section-14"/>
      <w:r>
        <w:t xml:space="preserve">성인 삽화편두통 환자에서 예방치료로 칼슘통로차단제를 사용하는 것이 타약제, 위약 또는 치료하지 않는 것에 비해 두통의 완화에 효과적인가?</w:t>
      </w:r>
      <w:bookmarkEnd w:id="38"/>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numId w:val="1016"/>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16"/>
          <w:ilvl w:val="0"/>
        </w:numPr>
      </w:pPr>
      <w:r>
        <w:t xml:space="preserve">베라파밀은 성인 삽화편두통 환자에서 편두통 예방약제로 사용하지 않을 것을 제안한다. (근거수준: 전문가의견, 권고등급: 약함)</w:t>
      </w:r>
    </w:p>
    <w:p>
      <w:pPr>
        <w:numPr>
          <w:numId w:val="1016"/>
          <w:ilvl w:val="0"/>
        </w:numPr>
      </w:pPr>
      <w:r>
        <w:t xml:space="preserve">플루나리진은 성인 삽화편두통 환자에서 편두통 예방약제로 사용하는 것을 고려할 수 있다. (근거수준: 높음, 권고등급: 약함)</w:t>
      </w:r>
    </w:p>
    <w:p>
      <w:pPr>
        <w:numPr>
          <w:numId w:val="1016"/>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BlockText"/>
      </w:pPr>
      <w:r>
        <w:t xml:space="preserve">플루나리진은 파킨슨 증상이나 떨림 등의 질환이 있는 환자에서는 금기이며 고령환자에서는 가급적 투여를 피해야 한다.</w:t>
      </w:r>
    </w:p>
    <w:p>
      <w:pPr>
        <w:pStyle w:val="FirstParagraph"/>
      </w:pPr>
      <w:r>
        <w:t xml:space="preserve">참고문헌</w:t>
      </w:r>
    </w:p>
    <w:p>
      <w:pPr>
        <w:numPr>
          <w:numId w:val="1017"/>
          <w:ilvl w:val="0"/>
        </w:numPr>
      </w:pPr>
      <w:r>
        <w:t xml:space="preserve">Pringsheim T, Davenport W, Mackie G, et al. Canadian Headache Society guideline for migraine prophylaxis. Can J Neurol Sci. 2012 Mar;39(2 Suppl 2):S1-59.</w:t>
      </w:r>
    </w:p>
    <w:p>
      <w:pPr>
        <w:numPr>
          <w:numId w:val="1017"/>
          <w:ilvl w:val="0"/>
        </w:numPr>
      </w:pPr>
      <w:r>
        <w:t xml:space="preserve">Evidence-based guideline update: Pharmacologic treatment for episodic migraine prevention in adults. Neurology. 2012;78:1337–1345.</w:t>
      </w:r>
    </w:p>
    <w:p>
      <w:pPr>
        <w:numPr>
          <w:numId w:val="1017"/>
          <w:ilvl w:val="0"/>
        </w:numPr>
      </w:pPr>
      <w:r>
        <w:t xml:space="preserve">Bostani A, Rajabi A, Moradian N, et al. The effects of cinnarizine versus sodium valproate in migraine prophylaxis. Int J Neurosci. 2013 Jul;123(7):487-93.</w:t>
      </w:r>
    </w:p>
    <w:p>
      <w:pPr>
        <w:numPr>
          <w:numId w:val="1017"/>
          <w:ilvl w:val="0"/>
        </w:numPr>
      </w:pPr>
      <w:r>
        <w:t xml:space="preserve">Jackson JL, Cogbill E, Santana-Davila R, , et al. A Comparative Effectiveness Meta-Analysis of Drugs for the Prophylaxis of Migraine Headache. PLoS One. 2015 Jul 14;10(7):e0130733.</w:t>
      </w:r>
    </w:p>
    <w:p>
      <w:pPr>
        <w:numPr>
          <w:numId w:val="1017"/>
          <w:ilvl w:val="0"/>
        </w:numPr>
      </w:pPr>
      <w:r>
        <w:t xml:space="preserve">Shamliyan TA, Choi JY, Ramakrishnan R, et al. Preventive pharmacologic treatments for episodic migraine in adults. J Gen Intern Med. 2013 Sep;28(9):1225-37.</w:t>
      </w:r>
    </w:p>
    <w:p>
      <w:pPr>
        <w:numPr>
          <w:numId w:val="1017"/>
          <w:ilvl w:val="0"/>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p>
      <w:pPr>
        <w:pStyle w:val="Heading2"/>
      </w:pPr>
      <w:bookmarkStart w:id="39" w:name="section-15"/>
      <w:r>
        <w:t xml:space="preserve">안지오텐신수용체차단제 또는 안지오텐신전환효소억제제</w:t>
      </w:r>
      <w:bookmarkEnd w:id="39"/>
    </w:p>
    <w:p>
      <w:pPr>
        <w:pStyle w:val="Heading4"/>
      </w:pPr>
      <w:bookmarkStart w:id="40" w:name="Xf7a50435c190d908bfe56c1ace74c0e1f19d336"/>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bookmarkEnd w:id="40"/>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numId w:val="1018"/>
          <w:ilvl w:val="0"/>
        </w:numPr>
      </w:pPr>
      <w:r>
        <w:t xml:space="preserve">칸데사르탄은 성인 삽화편두통 환자에서 편두통 예방약제로 사용하는 것을 고려할 수 있다. (근거수준: 보통, 권고등급: 약함)</w:t>
      </w:r>
    </w:p>
    <w:p>
      <w:pPr>
        <w:numPr>
          <w:numId w:val="1018"/>
          <w:ilvl w:val="0"/>
        </w:numPr>
      </w:pPr>
      <w:r>
        <w:t xml:space="preserve">리시노프릴은 성인 삽화편두통 환자에서 편두통 예방약제로 사용하는 것을 고려할 수 있다. (근거수준: 낮음, 권고등급: 약함)</w:t>
      </w:r>
    </w:p>
    <w:p>
      <w:pPr>
        <w:numPr>
          <w:numId w:val="1018"/>
          <w:ilvl w:val="0"/>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numId w:val="1019"/>
          <w:ilvl w:val="0"/>
        </w:numPr>
      </w:pPr>
      <w:r>
        <w:t xml:space="preserve">Tronvik E, Stovner LJ, Helde G, et al. Prophylactic treatment of migraine with an angiotensin II receptor blocker: a randomized controlled trial. JAMA 2003;289:65-69.</w:t>
      </w:r>
    </w:p>
    <w:p>
      <w:pPr>
        <w:numPr>
          <w:numId w:val="1019"/>
          <w:ilvl w:val="0"/>
        </w:numPr>
      </w:pPr>
      <w:r>
        <w:t xml:space="preserve">Stovner LJ, Linde M, Gravdahl GB, et al. A comparative study of candesartan versus propranolol for migraine prophylaxis: A randomised, triple-blind, placebo-controlled, double cross-over study. Cephalalgia 2014;34:523-532.</w:t>
      </w:r>
    </w:p>
    <w:p>
      <w:pPr>
        <w:numPr>
          <w:numId w:val="1019"/>
          <w:ilvl w:val="0"/>
        </w:numPr>
      </w:pPr>
      <w:r>
        <w:t xml:space="preserve">Schrader H, Stovner LJ, Helde G, et al. Prophylactic treatment of migraine with angiotensin converting enzyme inhibitor (lisinopril): randomised, placebo controlled, crossover study. BMJ 2001;322:19-22.</w:t>
      </w:r>
    </w:p>
    <w:p>
      <w:pPr>
        <w:numPr>
          <w:numId w:val="1019"/>
          <w:ilvl w:val="0"/>
        </w:numPr>
      </w:pPr>
      <w:r>
        <w:t xml:space="preserve">Diener HC, Gendolla A, Feuersenger A, et al. Telmisartan in migraine prophylaxis: a randomized, placebo-controlled trial. Cephalalgia 2009;29:921-927.</w:t>
      </w:r>
    </w:p>
    <w:p>
      <w:r>
        <w:pict>
          <v:rect style="width:0;height:1.5pt" o:hralign="center" o:hrstd="t" o:hr="t"/>
        </w:pict>
      </w:r>
    </w:p>
    <w:p>
      <w:pPr>
        <w:pStyle w:val="Heading2"/>
      </w:pPr>
      <w:bookmarkStart w:id="41" w:name="section-16"/>
      <w:r>
        <w:t xml:space="preserve">항우울제</w:t>
      </w:r>
      <w:bookmarkEnd w:id="41"/>
    </w:p>
    <w:p>
      <w:pPr>
        <w:pStyle w:val="Heading4"/>
      </w:pPr>
      <w:bookmarkStart w:id="42" w:name="section-17"/>
      <w:r>
        <w:t xml:space="preserve">성인 삽화편두통 환자에서 예방치료로 항우울제를 사용하는 것이 타약제, 위약 또는 치료하지 않는 것에 비해 두통의 완화에 효과적인가?</w:t>
      </w:r>
      <w:bookmarkEnd w:id="42"/>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numId w:val="1020"/>
          <w:ilvl w:val="0"/>
        </w:numPr>
      </w:pPr>
      <w:r>
        <w:t xml:space="preserve">아미트리프틸린은 성인 삽화편두통 환자에서 편두통 예방약제로 사용하는 것을 권고한다. (근거수준: 보통, 권고등급: 강함)</w:t>
      </w:r>
    </w:p>
    <w:p>
      <w:pPr>
        <w:numPr>
          <w:numId w:val="1020"/>
          <w:ilvl w:val="0"/>
        </w:numPr>
      </w:pPr>
      <w:r>
        <w:t xml:space="preserve">벤라팍신은 성인 삽화편두통 환자에서 편두통 예방약제로 사용하는 것을 고려할 수 있다. (근거수준: 보통, 권고등급: 약함)</w:t>
      </w:r>
    </w:p>
    <w:p>
      <w:pPr>
        <w:numPr>
          <w:numId w:val="1020"/>
          <w:ilvl w:val="0"/>
        </w:numPr>
      </w:pPr>
      <w:r>
        <w:t xml:space="preserve">플루옥세틴은 성인 삽화편두통 환자에서 편두통 예방약제로 사용하지 않을 것을 제안한다. (근거수준: 매우낮음, 권고등급: 약함)</w:t>
      </w:r>
    </w:p>
    <w:p>
      <w:pPr>
        <w:numPr>
          <w:numId w:val="1020"/>
          <w:ilvl w:val="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numId w:val="1021"/>
          <w:ilvl w:val="0"/>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numId w:val="1021"/>
          <w:ilvl w:val="0"/>
        </w:numPr>
      </w:pPr>
      <w:r>
        <w:t xml:space="preserve">Keskinbora K, Aydinli I. A double-blind randomized controlled trial of topiramate and amitriptyline either alone or in combination for the prevention of migraine. Clin Neurol Neurosurg 2008;110:979 –984.</w:t>
      </w:r>
    </w:p>
    <w:p>
      <w:pPr>
        <w:numPr>
          <w:numId w:val="1021"/>
          <w:ilvl w:val="0"/>
        </w:numPr>
      </w:pPr>
      <w:r>
        <w:t xml:space="preserve">Bulut S, Berilgen MS, Baran A, et al. Venlafaxine versus amitriptyline in the prophylactic treatment of migraine: randomized, doubleblind, crossover study. Clin Neurol Neurosurg 2004;107: 44–48.</w:t>
      </w:r>
    </w:p>
    <w:p>
      <w:pPr>
        <w:numPr>
          <w:numId w:val="1021"/>
          <w:ilvl w:val="0"/>
        </w:numPr>
      </w:pPr>
      <w:r>
        <w:t xml:space="preserve">Kalita J, Bhoi SK, Misra UK. Amitriptyline vs divalproate in migraine prophylaxis: a randomized controlled trial. Acta Neurol Scand 2013: 128: 65–72.</w:t>
      </w:r>
    </w:p>
    <w:p>
      <w:pPr>
        <w:numPr>
          <w:numId w:val="1021"/>
          <w:ilvl w:val="0"/>
        </w:numPr>
      </w:pPr>
      <w:r>
        <w:t xml:space="preserve">Gonçalves AL, Martini Ferreira A, Ribeiro RT, et al. Randomised clinical trial comparing melatonin 3 mg, amitriptyline 25 mg and placebo for migraine prevention. J Neurol Neurosurg Psychiatry 2016;87:1127–1132.</w:t>
      </w:r>
    </w:p>
    <w:p>
      <w:pPr>
        <w:numPr>
          <w:numId w:val="1021"/>
          <w:ilvl w:val="0"/>
        </w:numPr>
      </w:pPr>
      <w:r>
        <w:t xml:space="preserve">Jackson JL, Shimeall W, Sessums L, et al. Tricyclic antidepressants and headaches: systematic review and meta-analysis. BMJ 2010; 341:c5222</w:t>
      </w:r>
      <w:r>
        <w:t xml:space="preserve"> </w:t>
      </w:r>
      <w:hyperlink r:id="rId43">
        <w:r>
          <w:rPr>
            <w:rStyle w:val="Hyperlink"/>
          </w:rPr>
          <w:t xml:space="preserve">doi:10.1136/bmj.c5222</w:t>
        </w:r>
      </w:hyperlink>
      <w:r>
        <w:t xml:space="preserve">.</w:t>
      </w:r>
    </w:p>
    <w:p>
      <w:pPr>
        <w:numPr>
          <w:numId w:val="1021"/>
          <w:ilvl w:val="0"/>
        </w:numPr>
      </w:pPr>
      <w:r>
        <w:t xml:space="preserve">Ozyalcin SN, Talu GK, Kiziltan E, et al. The efficacy and safety of venlafaxine in the prophylaxis of migraine. Headache 2005;45:144 –152.</w:t>
      </w:r>
    </w:p>
    <w:p>
      <w:pPr>
        <w:numPr>
          <w:numId w:val="1021"/>
          <w:ilvl w:val="0"/>
        </w:numPr>
      </w:pPr>
      <w:r>
        <w:t xml:space="preserve">Koch HJ, Jurgens TP. Antidepressants in long-term migraine prevention. Drugs 2009;69:1-19.</w:t>
      </w:r>
    </w:p>
    <w:p>
      <w:pPr>
        <w:numPr>
          <w:numId w:val="1021"/>
          <w:ilvl w:val="0"/>
        </w:numPr>
      </w:pPr>
      <w:r>
        <w:t xml:space="preserve">Krymchantowski AV, da Cunha Jevoux C, Bigal ME. Topiramate plus nortriptyline in the preventive treatment of migraine: a controlled study for nonresponders. J Headache Pain 2012; 13(1):53-9.</w:t>
      </w:r>
    </w:p>
    <w:p>
      <w:pPr>
        <w:numPr>
          <w:numId w:val="1021"/>
          <w:ilvl w:val="0"/>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p>
      <w:pPr>
        <w:pStyle w:val="Heading2"/>
      </w:pPr>
      <w:bookmarkStart w:id="44" w:name="section-18"/>
      <w:r>
        <w:t xml:space="preserve">뇌전증치료제</w:t>
      </w:r>
      <w:bookmarkEnd w:id="44"/>
    </w:p>
    <w:p>
      <w:pPr>
        <w:pStyle w:val="Heading4"/>
      </w:pPr>
      <w:bookmarkStart w:id="45" w:name="section-19"/>
      <w:r>
        <w:t xml:space="preserve">성인 삽화편두통 환자에서 예방치료로 뇌전증약을 사용하는 것이 타약제, 위약 또는 치료하지 않는 것에 비해 두통의 완화에 효과적인가?</w:t>
      </w:r>
      <w:bookmarkEnd w:id="45"/>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numId w:val="1022"/>
          <w:ilvl w:val="0"/>
        </w:numPr>
      </w:pPr>
      <w:r>
        <w:t xml:space="preserve">토피라메이트는 성인 삽화편두통 환자에서 편두통 예방약제로 사용할 것을 권고한다. (근거수준: 높음, 권고등급: 강함)</w:t>
      </w:r>
    </w:p>
    <w:p>
      <w:pPr>
        <w:numPr>
          <w:numId w:val="1022"/>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22"/>
          <w:ilvl w:val="0"/>
        </w:numPr>
      </w:pPr>
      <w:r>
        <w:t xml:space="preserve">가바펜틴은 성인 삽화편두통 환자에서 편두통 예방약제로 사용하지 않을 것을 제안한다. (근거수준: 매우낮음, 권고등급: 약함)</w:t>
      </w:r>
    </w:p>
    <w:p>
      <w:pPr>
        <w:numPr>
          <w:numId w:val="1022"/>
          <w:ilvl w:val="0"/>
        </w:numPr>
      </w:pPr>
      <w:r>
        <w:t xml:space="preserve">레베티라세탐은 성인 삽화편두통 환자에서 편두통 예방약제로 사용하는 것을 고려할 수 있다. (근거수준: 낮음, 권고등급: 약함)</w:t>
      </w:r>
    </w:p>
    <w:p>
      <w:pPr>
        <w:numPr>
          <w:numId w:val="1022"/>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디발프로엑스나트륨과 발프로산은 신경과 결손을 포함한 기형유발의 위험이 있으므로 가임기 여성에서는 유의하여야 하며, 임신중인 환자에서는 금기이다.</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p>
      <w:pPr>
        <w:pStyle w:val="FirstParagraph"/>
      </w:pPr>
      <w:r>
        <w:t xml:space="preserve">참고문헌</w:t>
      </w:r>
    </w:p>
    <w:p>
      <w:pPr>
        <w:numPr>
          <w:numId w:val="1023"/>
          <w:ilvl w:val="0"/>
        </w:numPr>
      </w:pPr>
      <w:r>
        <w:t xml:space="preserve">Linde M, Mulleners WM, Chronicle EP, et al. Topiramate for the prophylaxis of episodic migraine in adults. Cochrane Database Syst Rev 2013;6:CD010610.</w:t>
      </w:r>
    </w:p>
    <w:p>
      <w:pPr>
        <w:numPr>
          <w:numId w:val="1023"/>
          <w:ilvl w:val="0"/>
        </w:numPr>
      </w:pPr>
      <w:r>
        <w:t xml:space="preserve">Brandes JL, Saper JR, Diamond M, et al. Topiramate for migraine prevention: a randomized controlled trial. JAMA 2004;291:965-73.</w:t>
      </w:r>
    </w:p>
    <w:p>
      <w:pPr>
        <w:numPr>
          <w:numId w:val="1023"/>
          <w:ilvl w:val="0"/>
        </w:numPr>
      </w:pPr>
      <w:r>
        <w:t xml:space="preserve">Silberstein SD, Neto W, Schmitt J, et al.; MIGR-001 Study Group. Topiramate in migraine prevention: results of a large controlled trial. Arch Neurol 2004;61:490-5.</w:t>
      </w:r>
    </w:p>
    <w:p>
      <w:pPr>
        <w:numPr>
          <w:numId w:val="1023"/>
          <w:ilvl w:val="0"/>
        </w:numPr>
      </w:pPr>
      <w:r>
        <w:t xml:space="preserve">Luo N, Di W, Zhang A, et al. A randomized, one-year clinical trial comparing the efficacy of topiramate, flunarizine, and a combination of flunarizine and topiramate in migraine prophylaxis. Pain Med 2012;13:80-6.</w:t>
      </w:r>
    </w:p>
    <w:p>
      <w:pPr>
        <w:numPr>
          <w:numId w:val="1023"/>
          <w:ilvl w:val="0"/>
        </w:numPr>
      </w:pPr>
      <w:r>
        <w:t xml:space="preserve">Linde M, Mulleners WM, Chronicle EP, et al. Valproate (valproic acid or sodium valproate or a combination of the two) for the prophylaxis of episodic migraine in adults. Cochrane Database Syst Rev. 2013;6:CD010611.</w:t>
      </w:r>
    </w:p>
    <w:p>
      <w:pPr>
        <w:numPr>
          <w:numId w:val="1023"/>
          <w:ilvl w:val="0"/>
        </w:numPr>
      </w:pPr>
      <w:r>
        <w:t xml:space="preserve">Kalita J, Bhoi SK, Misra UK. Amitriptyline vs divalproate in migraine prophylaxis: a randomized controlled trial. Acta Neurol Scand 2013;128:65-72.</w:t>
      </w:r>
    </w:p>
    <w:p>
      <w:pPr>
        <w:numPr>
          <w:numId w:val="1023"/>
          <w:ilvl w:val="0"/>
        </w:numPr>
      </w:pPr>
      <w:r>
        <w:t xml:space="preserve">Di Trapani G, Mei D, Marra C, et al. Gabapentin in the prophylaxis of migraine: a double-blind randomized placebo-controlled study. Clin Ter 2000;151:145-8.</w:t>
      </w:r>
    </w:p>
    <w:p>
      <w:pPr>
        <w:numPr>
          <w:numId w:val="1023"/>
          <w:ilvl w:val="0"/>
        </w:numPr>
      </w:pPr>
      <w:r>
        <w:t xml:space="preserve">Mathew NT, Rapoport A, Saper J, et al. Efficacy of gabapentin in migraine prophylaxis.Headache 2001;41:119-28.</w:t>
      </w:r>
    </w:p>
    <w:p>
      <w:pPr>
        <w:numPr>
          <w:numId w:val="1023"/>
          <w:ilvl w:val="0"/>
        </w:numPr>
      </w:pPr>
      <w:r>
        <w:t xml:space="preserve">Verma A, Srivastava D, Kumar A, et al. Levetiracetam in migraine prophylaxis: a randomized placebo-controlled study in a rural medical institute in northern India.Clin Neuropharmacol 2013;36:193-7.</w:t>
      </w:r>
    </w:p>
    <w:p>
      <w:pPr>
        <w:numPr>
          <w:numId w:val="1023"/>
          <w:ilvl w:val="0"/>
        </w:numPr>
      </w:pPr>
      <w:r>
        <w:t xml:space="preserve">Sadeghian H, Motiei-Langroudi R. Comparison of Levetiracetam and sodium Valproate in migraine prophylaxis: A randomized placebo-controlled study. Ann Indian Acad Neurol 2015;18:45-8.</w:t>
      </w:r>
    </w:p>
    <w:p>
      <w:pPr>
        <w:numPr>
          <w:numId w:val="1023"/>
          <w:ilvl w:val="0"/>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numId w:val="1023"/>
          <w:ilvl w:val="0"/>
        </w:numPr>
      </w:pPr>
      <w:r>
        <w:t xml:space="preserve">Mohammadianinejad SE, Abbasi V, Sajedi SA, et al. Zonisamide versus topiramate in migraine prophylaxis: a double-blind randomized clinical trial. Clin Neuropharmacol 2011;34:174-7.</w:t>
      </w:r>
    </w:p>
    <w:p>
      <w:pPr>
        <w:numPr>
          <w:numId w:val="1023"/>
          <w:ilvl w:val="0"/>
        </w:numPr>
      </w:pPr>
      <w:r>
        <w:t xml:space="preserve">Chung JY, Kim MW, Kim M. Efficacy of zonisamide in migraineurs with nonresponse to topiramate. Biomed Res Int 2014;2014:891348.</w:t>
      </w:r>
    </w:p>
    <w:p>
      <w:pPr>
        <w:pStyle w:val="Heading1"/>
      </w:pPr>
      <w:bookmarkStart w:id="46" w:name="appendix"/>
      <w:r>
        <w:t xml:space="preserve">Appendix</w:t>
      </w:r>
      <w:bookmarkEnd w:id="46"/>
    </w:p>
    <w:p>
      <w:pPr>
        <w:pStyle w:val="Heading1"/>
      </w:pPr>
      <w:bookmarkStart w:id="47" w:name="section-20"/>
      <w:r>
        <w:t xml:space="preserve">두통 일기</w:t>
      </w:r>
      <w:bookmarkEnd w:id="47"/>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numId w:val="1024"/>
          <w:ilvl w:val="0"/>
        </w:numPr>
      </w:pPr>
      <w:r>
        <w:t xml:space="preserve">두통의 강도 (경도/중등도/심도): 경도의 두통이란 두통으로 인해 일상생활에 영향을 받지 않는 정도의 두통, 심도의 두통은 두통이 너무 심해 일상생활을 전혀 할 수 없는 정도의 두통을 의미하며, 중등도의 두통은 그 중간을 의미한다.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numId w:val="1024"/>
          <w:ilvl w:val="0"/>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numId w:val="1024"/>
          <w:ilvl w:val="0"/>
        </w:numPr>
      </w:pPr>
      <w:r>
        <w:t xml:space="preserve">유발요인: 당일 또는 전일의 특별한 사건, 생활습관의 변화, 특정한 음식의 섭취 등을 기록하도록 한다.</w:t>
      </w:r>
    </w:p>
    <w:p>
      <w:pPr>
        <w:numPr>
          <w:numId w:val="1024"/>
          <w:ilvl w:val="0"/>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48"/>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p>
      <w:pPr>
        <w:pStyle w:val="Heading1"/>
      </w:pPr>
      <w:bookmarkStart w:id="49" w:name="section-21"/>
      <w:r>
        <w:t xml:space="preserve">삽화편두통 예방약물의 용량, 부작용 및 금기사항</w:t>
      </w:r>
      <w:bookmarkEnd w:id="49"/>
    </w:p>
    <w:p>
      <w:pPr>
        <w:pStyle w:val="Heading2"/>
      </w:pPr>
      <w:bookmarkStart w:id="50" w:name="section-22"/>
      <w:r>
        <w:t xml:space="preserve">일반적인 용량 및 흔한 부작용</w:t>
      </w:r>
      <w:bookmarkEnd w:id="50"/>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용량범위_1일</w:t>
            </w:r>
          </w:p>
        </w:tc>
        <w:tc>
          <w:tcPr>
            <w:tcBorders>
              <w:bottom w:val="single"/>
            </w:tcBorders>
            <w:vAlign w:val="bottom"/>
          </w:tcPr>
          <w:p>
            <w:pPr>
              <w:pStyle w:val="Compact"/>
              <w:jc w:val="left"/>
            </w:pPr>
            <w:r>
              <w:t xml:space="preserve">부작용</w:t>
            </w:r>
          </w:p>
        </w:tc>
      </w:tr>
      <w:tr>
        <w:tc>
          <w:p>
            <w:pPr>
              <w:pStyle w:val="Compact"/>
              <w:jc w:val="left"/>
            </w:pPr>
            <w:r>
              <w:t xml:space="preserve">베타차단제</w:t>
            </w:r>
          </w:p>
        </w:tc>
        <w:tc>
          <w:p/>
        </w:tc>
        <w:tc>
          <w:p/>
        </w:tc>
      </w:tr>
      <w:tr>
        <w:tc>
          <w:p>
            <w:pPr>
              <w:pStyle w:val="Compact"/>
              <w:jc w:val="left"/>
            </w:pPr>
            <w:r>
              <w:t xml:space="preserve">프로프라놀롤</w:t>
            </w:r>
          </w:p>
        </w:tc>
        <w:tc>
          <w:p>
            <w:pPr>
              <w:pStyle w:val="Compact"/>
              <w:jc w:val="left"/>
            </w:pPr>
            <w:r>
              <w:t xml:space="preserve">20-160mg</w:t>
            </w:r>
          </w:p>
        </w:tc>
        <w:tc>
          <w:p>
            <w:pPr>
              <w:pStyle w:val="Compact"/>
              <w:jc w:val="left"/>
            </w:pPr>
            <w:r>
              <w:t xml:space="preserve">피로, 어지럼, 우울, 생생한 꿈</w:t>
            </w:r>
          </w:p>
        </w:tc>
      </w:tr>
      <w:tr>
        <w:tc>
          <w:p>
            <w:pPr>
              <w:pStyle w:val="Compact"/>
              <w:jc w:val="left"/>
            </w:pPr>
            <w:r>
              <w:t xml:space="preserve">메토프롤롤</w:t>
            </w:r>
          </w:p>
        </w:tc>
        <w:tc>
          <w:p>
            <w:pPr>
              <w:pStyle w:val="Compact"/>
              <w:jc w:val="left"/>
            </w:pPr>
            <w:r>
              <w:t xml:space="preserve">50-200mg</w:t>
            </w:r>
          </w:p>
        </w:tc>
        <w:tc>
          <w:p>
            <w:pPr>
              <w:pStyle w:val="Compact"/>
              <w:jc w:val="left"/>
            </w:pPr>
            <w:r>
              <w:t xml:space="preserve">피로, 어지럼, 우울, 생생한 꿈</w:t>
            </w:r>
          </w:p>
        </w:tc>
      </w:tr>
      <w:tr>
        <w:tc>
          <w:p>
            <w:pPr>
              <w:pStyle w:val="Compact"/>
              <w:jc w:val="left"/>
            </w:pPr>
            <w:r>
              <w:t xml:space="preserve">아테놀롤</w:t>
            </w:r>
          </w:p>
        </w:tc>
        <w:tc>
          <w:p>
            <w:pPr>
              <w:pStyle w:val="Compact"/>
              <w:jc w:val="left"/>
            </w:pPr>
            <w:r>
              <w:t xml:space="preserve">50-200mg</w:t>
            </w:r>
          </w:p>
        </w:tc>
        <w:tc>
          <w:p>
            <w:pPr>
              <w:pStyle w:val="Compact"/>
              <w:jc w:val="left"/>
            </w:pPr>
            <w:r>
              <w:t xml:space="preserve">피로, 어지럼, 우울, 생생한 꿈, 숨참, 서맥, 심계항진, 구역</w:t>
            </w:r>
          </w:p>
        </w:tc>
      </w:tr>
      <w:tr>
        <w:tc>
          <w:p>
            <w:pPr>
              <w:pStyle w:val="Compact"/>
              <w:jc w:val="left"/>
            </w:pPr>
            <w:r>
              <w:t xml:space="preserve">나돌롤</w:t>
            </w:r>
          </w:p>
        </w:tc>
        <w:tc>
          <w:p>
            <w:pPr>
              <w:pStyle w:val="Compact"/>
              <w:jc w:val="left"/>
            </w:pPr>
            <w:r>
              <w:t xml:space="preserve">40-160mg</w:t>
            </w:r>
          </w:p>
        </w:tc>
        <w:tc>
          <w:p>
            <w:pPr>
              <w:pStyle w:val="Compact"/>
              <w:jc w:val="left"/>
            </w:pPr>
            <w:r>
              <w:t xml:space="preserve">피로, 어지럼, 우울, 생생한 꿈, 숨참, 서맥, 심계항진, 구역</w:t>
            </w:r>
          </w:p>
        </w:tc>
      </w:tr>
      <w:tr>
        <w:tc>
          <w:p>
            <w:pPr>
              <w:pStyle w:val="Compact"/>
              <w:jc w:val="left"/>
            </w:pPr>
            <w:r>
              <w:t xml:space="preserve">네비볼롤</w:t>
            </w:r>
          </w:p>
        </w:tc>
        <w:tc>
          <w:p>
            <w:pPr>
              <w:pStyle w:val="Compact"/>
              <w:jc w:val="left"/>
            </w:pPr>
            <w:r>
              <w:t xml:space="preserve">2.5-5mg</w:t>
            </w:r>
          </w:p>
        </w:tc>
        <w:tc>
          <w:p>
            <w:pPr>
              <w:pStyle w:val="Compact"/>
              <w:jc w:val="left"/>
            </w:pPr>
            <w:r>
              <w:t xml:space="preserve">두통, 어지럼, 감각이상, 악몽, 위장장애, 호흡곤란, 가려움, 부종</w:t>
            </w:r>
          </w:p>
        </w:tc>
      </w:tr>
      <w:tr>
        <w:tc>
          <w:p>
            <w:pPr>
              <w:pStyle w:val="Compact"/>
              <w:jc w:val="left"/>
            </w:pPr>
            <w:r>
              <w:t xml:space="preserve">비소프롤롤</w:t>
            </w:r>
          </w:p>
        </w:tc>
        <w:tc>
          <w:p>
            <w:pPr>
              <w:pStyle w:val="Compact"/>
              <w:jc w:val="left"/>
            </w:pPr>
            <w:r>
              <w:t xml:space="preserve">1.25-10mg</w:t>
            </w:r>
          </w:p>
        </w:tc>
        <w:tc>
          <w:p>
            <w:pPr>
              <w:pStyle w:val="Compact"/>
              <w:jc w:val="left"/>
            </w:pPr>
            <w:r>
              <w:t xml:space="preserve">서맥, 두통, 어지럼, 오심, 구토, 설사, 변비, 피로</w:t>
            </w:r>
          </w:p>
        </w:tc>
      </w:tr>
      <w:tr>
        <w:tc>
          <w:p>
            <w:pPr>
              <w:pStyle w:val="Compact"/>
              <w:jc w:val="left"/>
            </w:pPr>
            <w:r>
              <w:t xml:space="preserve">핀돌롤</w:t>
            </w:r>
          </w:p>
        </w:tc>
        <w:tc>
          <w:p>
            <w:pPr>
              <w:pStyle w:val="Compact"/>
              <w:jc w:val="left"/>
            </w:pPr>
            <w:r>
              <w:t xml:space="preserve">5-30mg</w:t>
            </w:r>
          </w:p>
        </w:tc>
        <w:tc>
          <w:p>
            <w:pPr>
              <w:pStyle w:val="Compact"/>
              <w:jc w:val="left"/>
            </w:pPr>
            <w:r>
              <w:t xml:space="preserve">불면증, 어지럼, 피로, 악몽, 소화불량, 호흡곤란, 근육통, 관절통</w:t>
            </w:r>
          </w:p>
        </w:tc>
      </w:tr>
      <w:tr>
        <w:tc>
          <w:p>
            <w:pPr>
              <w:pStyle w:val="Compact"/>
              <w:jc w:val="left"/>
            </w:pPr>
            <w:r>
              <w:t xml:space="preserve">칼슘통로차단제</w:t>
            </w:r>
          </w:p>
        </w:tc>
        <w:tc>
          <w:p/>
        </w:tc>
        <w:tc>
          <w:p/>
        </w:tc>
      </w:tr>
      <w:tr>
        <w:tc>
          <w:p>
            <w:pPr>
              <w:pStyle w:val="Compact"/>
              <w:jc w:val="left"/>
            </w:pPr>
            <w:r>
              <w:t xml:space="preserve">플루나리진</w:t>
            </w:r>
          </w:p>
        </w:tc>
        <w:tc>
          <w:p>
            <w:pPr>
              <w:pStyle w:val="Compact"/>
              <w:jc w:val="left"/>
            </w:pPr>
            <w:r>
              <w:t xml:space="preserve">5-10mg</w:t>
            </w:r>
          </w:p>
        </w:tc>
        <w:tc>
          <w:p>
            <w:pPr>
              <w:pStyle w:val="Compact"/>
              <w:jc w:val="left"/>
            </w:pPr>
            <w:r>
              <w:t xml:space="preserve">체중증가, 졸림, 입마름, 어지럼, 저혈압, 우울</w:t>
            </w:r>
          </w:p>
        </w:tc>
      </w:tr>
      <w:tr>
        <w:tc>
          <w:p>
            <w:pPr>
              <w:pStyle w:val="Compact"/>
              <w:jc w:val="left"/>
            </w:pPr>
            <w:r>
              <w:t xml:space="preserve">신나리진</w:t>
            </w:r>
          </w:p>
        </w:tc>
        <w:tc>
          <w:p>
            <w:pPr>
              <w:pStyle w:val="Compact"/>
              <w:jc w:val="left"/>
            </w:pPr>
            <w:r>
              <w:t xml:space="preserve">25-50mg</w:t>
            </w:r>
          </w:p>
        </w:tc>
        <w:tc>
          <w:p>
            <w:pPr>
              <w:pStyle w:val="Compact"/>
              <w:jc w:val="left"/>
            </w:pPr>
            <w:r>
              <w:t xml:space="preserve">체중증가, 졸림, 입마름, 어지럼, 저혈압, 우울</w:t>
            </w:r>
          </w:p>
        </w:tc>
      </w:tr>
      <w:tr>
        <w:tc>
          <w:p>
            <w:pPr>
              <w:pStyle w:val="Compact"/>
              <w:jc w:val="left"/>
            </w:pPr>
            <w:r>
              <w:t xml:space="preserve">베라파밀</w:t>
            </w:r>
          </w:p>
        </w:tc>
        <w:tc>
          <w:p>
            <w:pPr>
              <w:pStyle w:val="Compact"/>
              <w:jc w:val="left"/>
            </w:pPr>
            <w:r>
              <w:t xml:space="preserve">120-480</w:t>
            </w:r>
          </w:p>
        </w:tc>
        <w:tc>
          <w:p>
            <w:pPr>
              <w:pStyle w:val="Compact"/>
              <w:jc w:val="left"/>
            </w:pPr>
            <w:r>
              <w:t xml:space="preserve">심계항진, 부종, 부정맥, 발진</w:t>
            </w:r>
          </w:p>
        </w:tc>
      </w:tr>
      <w:tr>
        <w:tc>
          <w:p>
            <w:pPr>
              <w:pStyle w:val="Compact"/>
              <w:jc w:val="left"/>
            </w:pPr>
            <w:r>
              <w:t xml:space="preserve">니카르디핀</w:t>
            </w:r>
          </w:p>
        </w:tc>
        <w:tc>
          <w:p>
            <w:pPr>
              <w:pStyle w:val="Compact"/>
              <w:jc w:val="left"/>
            </w:pPr>
            <w:r>
              <w:t xml:space="preserve">40-80mg</w:t>
            </w:r>
          </w:p>
        </w:tc>
        <w:tc>
          <w:p>
            <w:pPr>
              <w:pStyle w:val="Compact"/>
              <w:jc w:val="left"/>
            </w:pPr>
            <w:r>
              <w:t xml:space="preserve">변비, 안면홍조, 무력, 두통, 근육통, 진전, 어지럼</w:t>
            </w:r>
          </w:p>
        </w:tc>
      </w:tr>
      <w:tr>
        <w:tc>
          <w:p>
            <w:pPr>
              <w:pStyle w:val="Compact"/>
              <w:jc w:val="left"/>
            </w:pPr>
            <w:r>
              <w:t xml:space="preserve">니페디핀</w:t>
            </w:r>
          </w:p>
        </w:tc>
        <w:tc>
          <w:p>
            <w:pPr>
              <w:pStyle w:val="Compact"/>
              <w:jc w:val="left"/>
            </w:pPr>
            <w:r>
              <w:t xml:space="preserve">15-60mg</w:t>
            </w:r>
          </w:p>
        </w:tc>
        <w:tc>
          <w:p>
            <w:pPr>
              <w:pStyle w:val="Compact"/>
              <w:jc w:val="left"/>
            </w:pPr>
            <w:r>
              <w:t xml:space="preserve">변비, 안면홍조, 무력, 두통, 근육통, 진전, 어지럼</w:t>
            </w:r>
          </w:p>
        </w:tc>
      </w:tr>
      <w:tr>
        <w:tc>
          <w:p>
            <w:pPr>
              <w:pStyle w:val="Compact"/>
              <w:jc w:val="left"/>
            </w:pPr>
            <w:r>
              <w:t xml:space="preserve">니모디핀</w:t>
            </w:r>
          </w:p>
        </w:tc>
        <w:tc>
          <w:p>
            <w:pPr>
              <w:pStyle w:val="Compact"/>
              <w:jc w:val="left"/>
            </w:pPr>
            <w:r>
              <w:t xml:space="preserve">90mg</w:t>
            </w:r>
          </w:p>
        </w:tc>
        <w:tc>
          <w:p>
            <w:pPr>
              <w:pStyle w:val="Compact"/>
              <w:jc w:val="left"/>
            </w:pPr>
            <w:r>
              <w:t xml:space="preserve">위장장애, 두통, 현기증, 졸음, 진전</w:t>
            </w:r>
          </w:p>
        </w:tc>
      </w:tr>
      <w:tr>
        <w:tc>
          <w:p>
            <w:pPr>
              <w:pStyle w:val="Compact"/>
              <w:jc w:val="left"/>
            </w:pPr>
            <w:r>
              <w:t xml:space="preserve">ACEI or ARB</w:t>
            </w:r>
          </w:p>
        </w:tc>
        <w:tc>
          <w:p/>
        </w:tc>
        <w:tc>
          <w:p/>
        </w:tc>
      </w:tr>
      <w:tr>
        <w:tc>
          <w:p>
            <w:pPr>
              <w:pStyle w:val="Compact"/>
              <w:jc w:val="left"/>
            </w:pPr>
            <w:r>
              <w:t xml:space="preserve">칸데사르탄</w:t>
            </w:r>
          </w:p>
        </w:tc>
        <w:tc>
          <w:p>
            <w:pPr>
              <w:pStyle w:val="Compact"/>
              <w:jc w:val="left"/>
            </w:pPr>
            <w:r>
              <w:t xml:space="preserve">4-16mg</w:t>
            </w:r>
          </w:p>
        </w:tc>
        <w:tc>
          <w:p>
            <w:pPr>
              <w:pStyle w:val="Compact"/>
              <w:jc w:val="left"/>
            </w:pPr>
            <w:r>
              <w:t xml:space="preserve">저혈압, 울혈심부전의 악화</w:t>
            </w:r>
          </w:p>
        </w:tc>
      </w:tr>
      <w:tr>
        <w:tc>
          <w:p>
            <w:pPr>
              <w:pStyle w:val="Compact"/>
              <w:jc w:val="left"/>
            </w:pPr>
            <w:r>
              <w:t xml:space="preserve">리시노프릴</w:t>
            </w:r>
          </w:p>
        </w:tc>
        <w:tc>
          <w:p>
            <w:pPr>
              <w:pStyle w:val="Compact"/>
              <w:jc w:val="left"/>
            </w:pPr>
            <w:r>
              <w:t xml:space="preserve">10-20mg</w:t>
            </w:r>
          </w:p>
        </w:tc>
        <w:tc>
          <w:p>
            <w:pPr>
              <w:pStyle w:val="Compact"/>
              <w:jc w:val="left"/>
            </w:pPr>
            <w:r>
              <w:t xml:space="preserve">어지럼, 두통, 기침, 피로, 근육경련, 설사, 저혈압</w:t>
            </w:r>
          </w:p>
        </w:tc>
      </w:tr>
      <w:tr>
        <w:tc>
          <w:p>
            <w:pPr>
              <w:pStyle w:val="Compact"/>
              <w:jc w:val="left"/>
            </w:pPr>
            <w:r>
              <w:t xml:space="preserve">텔미사르탄</w:t>
            </w:r>
          </w:p>
        </w:tc>
        <w:tc>
          <w:p>
            <w:pPr>
              <w:pStyle w:val="Compact"/>
              <w:jc w:val="left"/>
            </w:pPr>
            <w:r>
              <w:t xml:space="preserve">40-80mg</w:t>
            </w:r>
          </w:p>
        </w:tc>
        <w:tc>
          <w:p>
            <w:pPr>
              <w:pStyle w:val="Compact"/>
              <w:jc w:val="left"/>
            </w:pPr>
            <w:r>
              <w:t xml:space="preserve">고칼륨혈증, 어지럼, 저혈압, 발진, 근육통</w:t>
            </w:r>
          </w:p>
        </w:tc>
      </w:tr>
      <w:tr>
        <w:tc>
          <w:p>
            <w:pPr>
              <w:pStyle w:val="Compact"/>
              <w:jc w:val="left"/>
            </w:pPr>
            <w:r>
              <w:t xml:space="preserve">항우울제</w:t>
            </w:r>
          </w:p>
        </w:tc>
        <w:tc>
          <w:p/>
        </w:tc>
        <w:tc>
          <w:p/>
        </w:tc>
      </w:tr>
      <w:tr>
        <w:tc>
          <w:p>
            <w:pPr>
              <w:pStyle w:val="Compact"/>
              <w:jc w:val="left"/>
            </w:pPr>
            <w:r>
              <w:t xml:space="preserve">아미트리프틸린</w:t>
            </w:r>
          </w:p>
        </w:tc>
        <w:tc>
          <w:p>
            <w:pPr>
              <w:pStyle w:val="Compact"/>
              <w:jc w:val="left"/>
            </w:pPr>
            <w:r>
              <w:t xml:space="preserve">2.5-50mg</w:t>
            </w:r>
          </w:p>
        </w:tc>
        <w:tc>
          <w:p>
            <w:pPr>
              <w:pStyle w:val="Compact"/>
              <w:jc w:val="left"/>
            </w:pPr>
            <w:r>
              <w:t xml:space="preserve">체중증가, 변비, 무력증, 어지럼, 졸림, 피로, 시야흐림, 입마름</w:t>
            </w:r>
          </w:p>
        </w:tc>
      </w:tr>
      <w:tr>
        <w:tc>
          <w:p>
            <w:pPr>
              <w:pStyle w:val="Compact"/>
              <w:jc w:val="left"/>
            </w:pPr>
            <w:r>
              <w:t xml:space="preserve">벤라팍신</w:t>
            </w:r>
          </w:p>
        </w:tc>
        <w:tc>
          <w:p>
            <w:pPr>
              <w:pStyle w:val="Compact"/>
              <w:jc w:val="left"/>
            </w:pPr>
            <w:r>
              <w:t xml:space="preserve">37.5 - 150mg</w:t>
            </w:r>
          </w:p>
        </w:tc>
        <w:tc>
          <w:p>
            <w:pPr>
              <w:pStyle w:val="Compact"/>
              <w:jc w:val="left"/>
            </w:pPr>
            <w:r>
              <w:t xml:space="preserve">졸림, 불면, 어지럼, 두통, 구역, 입마름, 불안, 성기능장애</w:t>
            </w:r>
          </w:p>
        </w:tc>
      </w:tr>
      <w:tr>
        <w:tc>
          <w:p>
            <w:pPr>
              <w:pStyle w:val="Compact"/>
              <w:jc w:val="left"/>
            </w:pPr>
            <w:r>
              <w:t xml:space="preserve">플루옥세틴</w:t>
            </w:r>
          </w:p>
        </w:tc>
        <w:tc>
          <w:p>
            <w:pPr>
              <w:pStyle w:val="Compact"/>
              <w:jc w:val="left"/>
            </w:pPr>
            <w:r>
              <w:t xml:space="preserve">10-80mg</w:t>
            </w:r>
          </w:p>
        </w:tc>
        <w:tc>
          <w:p>
            <w:pPr>
              <w:pStyle w:val="Compact"/>
              <w:jc w:val="left"/>
            </w:pPr>
            <w:r>
              <w:t xml:space="preserve">무력, 구역, 설사, 불면, 식욕부진, 발기부전, 떨림, 불안, 초조</w:t>
            </w:r>
          </w:p>
        </w:tc>
      </w:tr>
      <w:tr>
        <w:tc>
          <w:p>
            <w:pPr>
              <w:pStyle w:val="Compact"/>
              <w:jc w:val="left"/>
            </w:pPr>
            <w:r>
              <w:t xml:space="preserve">노르트리프틸린</w:t>
            </w:r>
          </w:p>
        </w:tc>
        <w:tc>
          <w:p>
            <w:pPr>
              <w:pStyle w:val="Compact"/>
              <w:jc w:val="left"/>
            </w:pPr>
            <w:r>
              <w:t xml:space="preserve">25-150mg</w:t>
            </w:r>
          </w:p>
        </w:tc>
        <w:tc>
          <w:p>
            <w:pPr>
              <w:pStyle w:val="Compact"/>
              <w:jc w:val="left"/>
            </w:pPr>
            <w:r>
              <w:t xml:space="preserve">체중증가, 변비, 무력, 어지럼, 졸림, 피로, 시야흐림, 입마름</w:t>
            </w:r>
          </w:p>
        </w:tc>
      </w:tr>
      <w:tr>
        <w:tc>
          <w:p>
            <w:pPr>
              <w:pStyle w:val="Compact"/>
              <w:jc w:val="left"/>
            </w:pPr>
            <w:r>
              <w:t xml:space="preserve">뇌전증약</w:t>
            </w:r>
          </w:p>
        </w:tc>
        <w:tc>
          <w:p/>
        </w:tc>
        <w:tc>
          <w:p/>
        </w:tc>
      </w:tr>
      <w:tr>
        <w:tc>
          <w:p>
            <w:pPr>
              <w:pStyle w:val="Compact"/>
              <w:jc w:val="left"/>
            </w:pPr>
            <w:r>
              <w:t xml:space="preserve">토피라메이트</w:t>
            </w:r>
          </w:p>
        </w:tc>
        <w:tc>
          <w:p>
            <w:pPr>
              <w:pStyle w:val="Compact"/>
              <w:jc w:val="left"/>
            </w:pPr>
            <w:r>
              <w:t xml:space="preserve">12.5-150mg</w:t>
            </w:r>
          </w:p>
        </w:tc>
        <w:tc>
          <w:p>
            <w:pPr>
              <w:pStyle w:val="Compact"/>
              <w:jc w:val="left"/>
            </w:pPr>
            <w:r>
              <w:t xml:space="preserve">감각이상, 체중감소, 기억장애</w:t>
            </w:r>
          </w:p>
        </w:tc>
      </w:tr>
      <w:tr>
        <w:tc>
          <w:p>
            <w:pPr>
              <w:pStyle w:val="Compact"/>
              <w:jc w:val="left"/>
            </w:pPr>
            <w:r>
              <w:t xml:space="preserve">디발프로엑스나트륨</w:t>
            </w:r>
          </w:p>
        </w:tc>
        <w:tc>
          <w:p>
            <w:pPr>
              <w:pStyle w:val="Compact"/>
              <w:jc w:val="left"/>
            </w:pPr>
            <w:r>
              <w:t xml:space="preserve">250-1500mg</w:t>
            </w:r>
          </w:p>
        </w:tc>
        <w:tc>
          <w:p>
            <w:pPr>
              <w:pStyle w:val="Compact"/>
              <w:jc w:val="left"/>
            </w:pPr>
            <w:r>
              <w:t xml:space="preserve">구역, 체중증가, 떨림, 탈모, 졸림, 어지럼, 구토, 약물상호작용</w:t>
            </w:r>
          </w:p>
        </w:tc>
      </w:tr>
      <w:tr>
        <w:tc>
          <w:p>
            <w:pPr>
              <w:pStyle w:val="Compact"/>
              <w:jc w:val="left"/>
            </w:pPr>
            <w:r>
              <w:t xml:space="preserve">발프로산</w:t>
            </w:r>
          </w:p>
        </w:tc>
        <w:tc>
          <w:p>
            <w:pPr>
              <w:pStyle w:val="Compact"/>
              <w:jc w:val="left"/>
            </w:pPr>
            <w:r>
              <w:t xml:space="preserve">600-2000mg</w:t>
            </w:r>
          </w:p>
        </w:tc>
        <w:tc>
          <w:p>
            <w:pPr>
              <w:pStyle w:val="Compact"/>
              <w:jc w:val="left"/>
            </w:pPr>
            <w:r>
              <w:t xml:space="preserve">구역, 체중증가, 떨림, 탈모, 졸림, 어지럼, 구토, 약물상호작용</w:t>
            </w:r>
          </w:p>
        </w:tc>
      </w:tr>
      <w:tr>
        <w:tc>
          <w:p>
            <w:pPr>
              <w:pStyle w:val="Compact"/>
              <w:jc w:val="left"/>
            </w:pPr>
            <w:r>
              <w:t xml:space="preserve">가바펜틴</w:t>
            </w:r>
          </w:p>
        </w:tc>
        <w:tc>
          <w:p>
            <w:pPr>
              <w:pStyle w:val="Compact"/>
              <w:jc w:val="left"/>
            </w:pPr>
            <w:r>
              <w:t xml:space="preserve">300-1800mg</w:t>
            </w:r>
          </w:p>
        </w:tc>
        <w:tc>
          <w:p>
            <w:pPr>
              <w:pStyle w:val="Compact"/>
              <w:jc w:val="left"/>
            </w:pPr>
            <w:r>
              <w:t xml:space="preserve">말초부종, 어지럼, 졸림, 실조증, 체중증가</w:t>
            </w:r>
          </w:p>
        </w:tc>
      </w:tr>
      <w:tr>
        <w:tc>
          <w:p>
            <w:pPr>
              <w:pStyle w:val="Compact"/>
              <w:jc w:val="left"/>
            </w:pPr>
            <w:r>
              <w:t xml:space="preserve">레베티라세탐</w:t>
            </w:r>
          </w:p>
        </w:tc>
        <w:tc>
          <w:p>
            <w:pPr>
              <w:pStyle w:val="Compact"/>
              <w:jc w:val="left"/>
            </w:pPr>
            <w:r>
              <w:t xml:space="preserve">500-2000mg</w:t>
            </w:r>
          </w:p>
        </w:tc>
        <w:tc>
          <w:p>
            <w:pPr>
              <w:pStyle w:val="Compact"/>
              <w:jc w:val="left"/>
            </w:pPr>
            <w:r>
              <w:t xml:space="preserve">무력증, 피로, 졸음, 어지럼, 근육통, 복시, 발진, 기침</w:t>
            </w:r>
          </w:p>
        </w:tc>
      </w:tr>
      <w:tr>
        <w:tc>
          <w:p>
            <w:pPr>
              <w:pStyle w:val="Compact"/>
              <w:jc w:val="left"/>
            </w:pPr>
            <w:r>
              <w:t xml:space="preserve">조니사미드</w:t>
            </w:r>
          </w:p>
        </w:tc>
        <w:tc>
          <w:p>
            <w:pPr>
              <w:pStyle w:val="Compact"/>
              <w:jc w:val="left"/>
            </w:pPr>
            <w:r>
              <w:t xml:space="preserve">100-600mg</w:t>
            </w:r>
          </w:p>
        </w:tc>
        <w:tc>
          <w:p>
            <w:pPr>
              <w:pStyle w:val="Compact"/>
              <w:jc w:val="left"/>
            </w:pPr>
            <w:r>
              <w:t xml:space="preserve">체중감소, 복시/시각장애, 졸림, 의욕저하</w:t>
            </w:r>
          </w:p>
        </w:tc>
      </w:tr>
    </w:tbl>
    <w:p>
      <w:pPr>
        <w:pStyle w:val="Heading2"/>
      </w:pPr>
      <w:bookmarkStart w:id="51" w:name="section-23"/>
      <w:r>
        <w:t xml:space="preserve">금기사항</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베타차단제</w:t>
            </w:r>
          </w:p>
        </w:tc>
        <w:tc>
          <w:p/>
        </w:tc>
      </w:tr>
      <w:tr>
        <w:tc>
          <w:p>
            <w:pPr>
              <w:pStyle w:val="Compact"/>
              <w:jc w:val="left"/>
            </w:pPr>
            <w:r>
              <w:t xml:space="preserve">프로프라놀롤</w:t>
            </w:r>
          </w:p>
        </w:tc>
        <w:tc>
          <w:p>
            <w:pPr>
              <w:pStyle w:val="Compact"/>
              <w:jc w:val="left"/>
            </w:pPr>
            <w:r>
              <w:t xml:space="preserve">심한 천식, 당뇨, 말초혈관병, 심장전도장애, 울혈성심부전</w:t>
            </w:r>
          </w:p>
        </w:tc>
      </w:tr>
      <w:tr>
        <w:tc>
          <w:p>
            <w:pPr>
              <w:pStyle w:val="Compact"/>
              <w:jc w:val="left"/>
            </w:pPr>
            <w:r>
              <w:t xml:space="preserve">메토프롤롤</w:t>
            </w:r>
          </w:p>
        </w:tc>
        <w:tc>
          <w:p>
            <w:pPr>
              <w:pStyle w:val="Compact"/>
              <w:jc w:val="left"/>
            </w:pPr>
            <w:r>
              <w:t xml:space="preserve">심한 천식, 당뇨, 말초혈관병, 심장전도장애, 울혈성심부전</w:t>
            </w:r>
          </w:p>
        </w:tc>
      </w:tr>
      <w:tr>
        <w:tc>
          <w:p>
            <w:pPr>
              <w:pStyle w:val="Compact"/>
              <w:jc w:val="left"/>
            </w:pPr>
            <w:r>
              <w:t xml:space="preserve">아테놀롤</w:t>
            </w:r>
          </w:p>
        </w:tc>
        <w:tc>
          <w:p>
            <w:pPr>
              <w:pStyle w:val="Compact"/>
              <w:jc w:val="left"/>
            </w:pPr>
            <w:r>
              <w:t xml:space="preserve">심한 천식, 당뇨, 말초혈관병, 심장전도장애, 울혈성심부전, 치료안된 크롬친화성세포종</w:t>
            </w:r>
          </w:p>
        </w:tc>
      </w:tr>
      <w:tr>
        <w:tc>
          <w:p>
            <w:pPr>
              <w:pStyle w:val="Compact"/>
              <w:jc w:val="left"/>
            </w:pPr>
            <w:r>
              <w:t xml:space="preserve">나돌롤</w:t>
            </w:r>
          </w:p>
        </w:tc>
        <w:tc>
          <w:p>
            <w:pPr>
              <w:pStyle w:val="Compact"/>
              <w:jc w:val="left"/>
            </w:pPr>
            <w:r>
              <w:t xml:space="preserve">심한 천식, 당뇨, 말초혈관병, 심장전도장애, 울혈성심부전, 모노아민산화효소억제제 사용(2주이내)</w:t>
            </w:r>
          </w:p>
        </w:tc>
      </w:tr>
      <w:tr>
        <w:tc>
          <w:p>
            <w:pPr>
              <w:pStyle w:val="Compact"/>
              <w:jc w:val="left"/>
            </w:pPr>
            <w:r>
              <w:t xml:space="preserve">네비볼롤</w:t>
            </w:r>
          </w:p>
        </w:tc>
        <w:tc>
          <w:p>
            <w:pPr>
              <w:pStyle w:val="Compact"/>
              <w:jc w:val="left"/>
            </w:pPr>
            <w:r>
              <w:t xml:space="preserve">심한 천식, 말초혈관병, 심장전도장애, 울혈성심부전</w:t>
            </w:r>
          </w:p>
        </w:tc>
      </w:tr>
      <w:tr>
        <w:tc>
          <w:p>
            <w:pPr>
              <w:pStyle w:val="Compact"/>
              <w:jc w:val="left"/>
            </w:pPr>
            <w:r>
              <w:t xml:space="preserve">비소프롤롤</w:t>
            </w:r>
          </w:p>
        </w:tc>
        <w:tc>
          <w:p>
            <w:pPr>
              <w:pStyle w:val="Compact"/>
              <w:jc w:val="left"/>
            </w:pPr>
            <w:r>
              <w:t xml:space="preserve">서맥, 당뇨성 케토산증, 급성 심부전, 치료안된 크롬친화성세포종, 중증 천식/만성 폐색성 폐질환</w:t>
            </w:r>
          </w:p>
        </w:tc>
      </w:tr>
      <w:tr>
        <w:tc>
          <w:p>
            <w:pPr>
              <w:pStyle w:val="Compact"/>
              <w:jc w:val="left"/>
            </w:pPr>
            <w:r>
              <w:t xml:space="preserve">핀돌롤</w:t>
            </w:r>
          </w:p>
        </w:tc>
        <w:tc>
          <w:p>
            <w:pPr>
              <w:pStyle w:val="Compact"/>
              <w:jc w:val="left"/>
            </w:pPr>
            <w:r>
              <w:t xml:space="preserve">천식, 중증 심부전, 서맥, 부정맥, 임신, 수유</w:t>
            </w:r>
          </w:p>
        </w:tc>
      </w:tr>
      <w:tr>
        <w:tc>
          <w:p>
            <w:pPr>
              <w:pStyle w:val="Compact"/>
              <w:jc w:val="left"/>
            </w:pPr>
            <w:r>
              <w:t xml:space="preserve">칼슘통로차단제</w:t>
            </w:r>
          </w:p>
        </w:tc>
        <w:tc>
          <w:p/>
        </w:tc>
      </w:tr>
      <w:tr>
        <w:tc>
          <w:p>
            <w:pPr>
              <w:pStyle w:val="Compact"/>
              <w:jc w:val="left"/>
            </w:pPr>
            <w:r>
              <w:t xml:space="preserve">플루나리진</w:t>
            </w:r>
          </w:p>
        </w:tc>
        <w:tc>
          <w:p>
            <w:pPr>
              <w:pStyle w:val="Compact"/>
              <w:jc w:val="left"/>
            </w:pPr>
            <w:r>
              <w:t xml:space="preserve">심한 우울, 파킨슨병 기타 피라미드외로 증상</w:t>
            </w:r>
          </w:p>
        </w:tc>
      </w:tr>
      <w:tr>
        <w:tc>
          <w:p>
            <w:pPr>
              <w:pStyle w:val="Compact"/>
              <w:jc w:val="left"/>
            </w:pPr>
            <w:r>
              <w:t xml:space="preserve">신나리진</w:t>
            </w:r>
          </w:p>
        </w:tc>
        <w:tc>
          <w:p>
            <w:pPr>
              <w:pStyle w:val="Compact"/>
              <w:jc w:val="left"/>
            </w:pPr>
            <w:r>
              <w:t xml:space="preserve">심한 우울, 파킨슨병 기타 피라미드외로 증상</w:t>
            </w:r>
          </w:p>
        </w:tc>
      </w:tr>
      <w:tr>
        <w:tc>
          <w:p>
            <w:pPr>
              <w:pStyle w:val="Compact"/>
              <w:jc w:val="left"/>
            </w:pPr>
            <w:r>
              <w:t xml:space="preserve">베라파밀</w:t>
            </w:r>
          </w:p>
        </w:tc>
        <w:tc>
          <w:p>
            <w:pPr>
              <w:pStyle w:val="Compact"/>
              <w:jc w:val="left"/>
            </w:pPr>
            <w:r>
              <w:t xml:space="preserve">서맥, 심장전도장애, 동결절기능부전 증후군, 중증근무력증, 급성심근경색</w:t>
            </w:r>
          </w:p>
        </w:tc>
      </w:tr>
      <w:tr>
        <w:tc>
          <w:p>
            <w:pPr>
              <w:pStyle w:val="Compact"/>
              <w:jc w:val="left"/>
            </w:pPr>
            <w:r>
              <w:t xml:space="preserve">니카르디핀</w:t>
            </w:r>
          </w:p>
        </w:tc>
        <w:tc>
          <w:p>
            <w:pPr>
              <w:pStyle w:val="Compact"/>
              <w:jc w:val="left"/>
            </w:pPr>
            <w:r>
              <w:t xml:space="preserve">뇌출혈후 지혈 안된 상태, 급성뇌졸중 두개내압상승, 심근경색, 중증신질환, 대동맥판막협착증</w:t>
            </w:r>
          </w:p>
        </w:tc>
      </w:tr>
      <w:tr>
        <w:tc>
          <w:p>
            <w:pPr>
              <w:pStyle w:val="Compact"/>
              <w:jc w:val="left"/>
            </w:pPr>
            <w:r>
              <w:t xml:space="preserve">니페디핀</w:t>
            </w:r>
          </w:p>
        </w:tc>
        <w:tc>
          <w:p>
            <w:pPr>
              <w:pStyle w:val="Compact"/>
              <w:jc w:val="left"/>
            </w:pPr>
            <w:r>
              <w:t xml:space="preserve">대동맥판막협착증, 급성심근경색, 불안정형 협심증, 임신, 리팜피신 복용중</w:t>
            </w:r>
          </w:p>
        </w:tc>
      </w:tr>
      <w:tr>
        <w:tc>
          <w:p>
            <w:pPr>
              <w:pStyle w:val="Compact"/>
              <w:jc w:val="left"/>
            </w:pPr>
            <w:r>
              <w:t xml:space="preserve">니모디핀</w:t>
            </w:r>
          </w:p>
        </w:tc>
        <w:tc>
          <w:p>
            <w:pPr>
              <w:pStyle w:val="Compact"/>
              <w:jc w:val="left"/>
            </w:pPr>
            <w:r>
              <w:t xml:space="preserve">과민증, 임신, 수유부, 중증간질환, 항경련제, 리팜피신복용 중</w:t>
            </w:r>
          </w:p>
        </w:tc>
      </w:tr>
      <w:tr>
        <w:tc>
          <w:p>
            <w:pPr>
              <w:pStyle w:val="Compact"/>
              <w:jc w:val="left"/>
            </w:pPr>
            <w:r>
              <w:t xml:space="preserve">ACEI or ARB</w:t>
            </w:r>
          </w:p>
        </w:tc>
        <w:tc>
          <w:p/>
        </w:tc>
      </w:tr>
      <w:tr>
        <w:tc>
          <w:p>
            <w:pPr>
              <w:pStyle w:val="Compact"/>
              <w:jc w:val="left"/>
            </w:pPr>
            <w:r>
              <w:t xml:space="preserve">칸데사르탄</w:t>
            </w:r>
          </w:p>
        </w:tc>
        <w:tc>
          <w:p>
            <w:pPr>
              <w:pStyle w:val="Compact"/>
              <w:jc w:val="left"/>
            </w:pPr>
            <w:r>
              <w:t xml:space="preserve">혈관부종병력, 임신, 수유</w:t>
            </w:r>
          </w:p>
        </w:tc>
      </w:tr>
      <w:tr>
        <w:tc>
          <w:p>
            <w:pPr>
              <w:pStyle w:val="Compact"/>
              <w:jc w:val="left"/>
            </w:pPr>
            <w:r>
              <w:t xml:space="preserve">리시노프릴</w:t>
            </w:r>
          </w:p>
        </w:tc>
        <w:tc>
          <w:p>
            <w:pPr>
              <w:pStyle w:val="Compact"/>
              <w:jc w:val="left"/>
            </w:pPr>
            <w:r>
              <w:t xml:space="preserve">선천성 또는 특발성혈관부종, 다른 sulfonamide유도약물에 대한 과민</w:t>
            </w:r>
          </w:p>
        </w:tc>
      </w:tr>
      <w:tr>
        <w:tc>
          <w:p>
            <w:pPr>
              <w:pStyle w:val="Compact"/>
              <w:jc w:val="left"/>
            </w:pPr>
            <w:r>
              <w:t xml:space="preserve">텔미사르탄</w:t>
            </w:r>
          </w:p>
        </w:tc>
        <w:tc>
          <w:p>
            <w:pPr>
              <w:pStyle w:val="Compact"/>
              <w:jc w:val="left"/>
            </w:pPr>
            <w:r>
              <w:t xml:space="preserve">혈관부종병력, 중증간질환, 임신, 수유</w:t>
            </w:r>
          </w:p>
        </w:tc>
      </w:tr>
      <w:tr>
        <w:tc>
          <w:p>
            <w:pPr>
              <w:pStyle w:val="Compact"/>
              <w:jc w:val="left"/>
            </w:pPr>
            <w:r>
              <w:t xml:space="preserve">항우울제</w:t>
            </w:r>
          </w:p>
        </w:tc>
        <w:tc>
          <w:p/>
        </w:tc>
      </w:tr>
      <w:tr>
        <w:tc>
          <w:p>
            <w:pPr>
              <w:pStyle w:val="Compact"/>
              <w:jc w:val="left"/>
            </w:pPr>
            <w:r>
              <w:t xml:space="preserve">아미트리프틸린</w:t>
            </w:r>
          </w:p>
        </w:tc>
        <w:tc>
          <w:p>
            <w:pPr>
              <w:pStyle w:val="Compact"/>
              <w:jc w:val="left"/>
            </w:pPr>
            <w:r>
              <w:t xml:space="preserve">심근경색 급성기, cisapride나 모노아민산화효소억제제 사용</w:t>
            </w:r>
          </w:p>
        </w:tc>
      </w:tr>
      <w:tr>
        <w:tc>
          <w:p>
            <w:pPr>
              <w:pStyle w:val="Compact"/>
              <w:jc w:val="left"/>
            </w:pPr>
            <w:r>
              <w:t xml:space="preserve">벤라팍신</w:t>
            </w:r>
          </w:p>
        </w:tc>
        <w:tc>
          <w:p>
            <w:pPr>
              <w:pStyle w:val="Compact"/>
              <w:jc w:val="left"/>
            </w:pPr>
            <w:r>
              <w:t xml:space="preserve">모노아민산화효소억제제 병용, 수유중인 여성 주의</w:t>
            </w:r>
          </w:p>
        </w:tc>
      </w:tr>
      <w:tr>
        <w:tc>
          <w:p>
            <w:pPr>
              <w:pStyle w:val="Compact"/>
              <w:jc w:val="left"/>
            </w:pPr>
            <w:r>
              <w:t xml:space="preserve">플루옥세틴</w:t>
            </w:r>
          </w:p>
        </w:tc>
        <w:tc>
          <w:p>
            <w:pPr>
              <w:pStyle w:val="Compact"/>
              <w:jc w:val="left"/>
            </w:pPr>
            <w:r>
              <w:t xml:space="preserve">모노아민산화효소억제제, thioridazine, pimozied등 병용</w:t>
            </w:r>
          </w:p>
        </w:tc>
      </w:tr>
      <w:tr>
        <w:tc>
          <w:p>
            <w:pPr>
              <w:pStyle w:val="Compact"/>
              <w:jc w:val="left"/>
            </w:pPr>
            <w:r>
              <w:t xml:space="preserve">노르트리프틸린</w:t>
            </w:r>
          </w:p>
        </w:tc>
        <w:tc>
          <w:p>
            <w:pPr>
              <w:pStyle w:val="Compact"/>
              <w:jc w:val="left"/>
            </w:pPr>
            <w:r>
              <w:t xml:space="preserve">심근경색후 급성회복기, cisapride 사용, 모노아민산화효소억제제 사용</w:t>
            </w:r>
          </w:p>
        </w:tc>
      </w:tr>
      <w:tr>
        <w:tc>
          <w:p>
            <w:pPr>
              <w:pStyle w:val="Compact"/>
              <w:jc w:val="left"/>
            </w:pPr>
            <w:r>
              <w:t xml:space="preserve">뇌전증약</w:t>
            </w:r>
          </w:p>
        </w:tc>
        <w:tc>
          <w:p/>
        </w:tc>
      </w:tr>
      <w:tr>
        <w:tc>
          <w:p>
            <w:pPr>
              <w:pStyle w:val="Compact"/>
              <w:jc w:val="left"/>
            </w:pPr>
            <w:r>
              <w:t xml:space="preserve">토피라메이트</w:t>
            </w:r>
          </w:p>
        </w:tc>
        <w:tc>
          <w:p>
            <w:pPr>
              <w:pStyle w:val="Compact"/>
              <w:jc w:val="left"/>
            </w:pPr>
            <w:r>
              <w:t xml:space="preserve">약물과민, 신장질환, 요로계 결석</w:t>
            </w:r>
          </w:p>
        </w:tc>
      </w:tr>
      <w:tr>
        <w:tc>
          <w:p>
            <w:pPr>
              <w:pStyle w:val="Compact"/>
              <w:jc w:val="left"/>
            </w:pPr>
            <w:r>
              <w:t xml:space="preserve">디발프로엑스나트륨</w:t>
            </w:r>
          </w:p>
        </w:tc>
        <w:tc>
          <w:p>
            <w:pPr>
              <w:pStyle w:val="Compact"/>
              <w:jc w:val="left"/>
            </w:pPr>
            <w:r>
              <w:t xml:space="preserve">간질환, 췌장염, 임신, 요소순환질환, 저혈소판증</w:t>
            </w:r>
          </w:p>
        </w:tc>
      </w:tr>
      <w:tr>
        <w:tc>
          <w:p>
            <w:pPr>
              <w:pStyle w:val="Compact"/>
              <w:jc w:val="left"/>
            </w:pPr>
            <w:r>
              <w:t xml:space="preserve">발프로산</w:t>
            </w:r>
          </w:p>
        </w:tc>
        <w:tc>
          <w:p>
            <w:pPr>
              <w:pStyle w:val="Compact"/>
              <w:jc w:val="left"/>
            </w:pPr>
            <w:r>
              <w:t xml:space="preserve">간질환, 췌장염, 임신, 요소순환질환, 저혈소판증</w:t>
            </w:r>
          </w:p>
        </w:tc>
      </w:tr>
      <w:tr>
        <w:tc>
          <w:p>
            <w:pPr>
              <w:pStyle w:val="Compact"/>
              <w:jc w:val="left"/>
            </w:pPr>
            <w:r>
              <w:t xml:space="preserve">가바펜틴</w:t>
            </w:r>
          </w:p>
        </w:tc>
        <w:tc>
          <w:p>
            <w:pPr>
              <w:pStyle w:val="Compact"/>
              <w:jc w:val="left"/>
            </w:pPr>
            <w:r>
              <w:t xml:space="preserve">중증신질환</w:t>
            </w:r>
          </w:p>
        </w:tc>
      </w:tr>
      <w:tr>
        <w:tc>
          <w:p>
            <w:pPr>
              <w:pStyle w:val="Compact"/>
              <w:jc w:val="left"/>
            </w:pPr>
            <w:r>
              <w:t xml:space="preserve">레베티라세탐</w:t>
            </w:r>
          </w:p>
        </w:tc>
        <w:tc>
          <w:p>
            <w:pPr>
              <w:pStyle w:val="Compact"/>
              <w:jc w:val="left"/>
            </w:pPr>
            <w:r>
              <w:t xml:space="preserve">중증신질환, 이전 과민반응병력</w:t>
            </w:r>
          </w:p>
        </w:tc>
      </w:tr>
      <w:tr>
        <w:tc>
          <w:p>
            <w:pPr>
              <w:pStyle w:val="Compact"/>
              <w:jc w:val="left"/>
            </w:pPr>
            <w:r>
              <w:t xml:space="preserve">조니사미드</w:t>
            </w:r>
          </w:p>
        </w:tc>
        <w:tc>
          <w:p>
            <w:pPr>
              <w:pStyle w:val="Compact"/>
              <w:jc w:val="left"/>
            </w:pPr>
            <w:r>
              <w:t xml:space="preserve">약물과민, 신장질환, 요로계 결석</w:t>
            </w:r>
          </w:p>
        </w:tc>
      </w:tr>
    </w:tbl>
    <w:p>
      <w:pPr>
        <w:pStyle w:val="Heading1"/>
      </w:pPr>
      <w:bookmarkStart w:id="52" w:name="section-24"/>
      <w:r>
        <w:t xml:space="preserve">편두통 진단기준</w:t>
      </w:r>
      <w:bookmarkEnd w:id="52"/>
    </w:p>
    <w:p>
      <w:pPr>
        <w:pStyle w:val="Heading3"/>
      </w:pPr>
      <w:bookmarkStart w:id="53" w:name="X22066c0a6513f4fd9c3b568f459b4ee1cdbe122"/>
      <w:r>
        <w:t xml:space="preserve">Korean Version of The International Classification of Headache Disorders, 3rd Edition</w:t>
      </w:r>
      <w:bookmarkEnd w:id="53"/>
    </w:p>
    <w:p>
      <w:pPr>
        <w:pStyle w:val="Heading2"/>
      </w:pPr>
      <w:bookmarkStart w:id="54" w:name="section-25"/>
      <w:r>
        <w:t xml:space="preserve">무조짐 편두통</w:t>
      </w:r>
      <w:bookmarkEnd w:id="54"/>
    </w:p>
    <w:p>
      <w:pPr>
        <w:pStyle w:val="FirstParagraph"/>
      </w:pPr>
      <w:r>
        <w:t xml:space="preserve">A. 진단기준 B-D를 충족하는 발작이 최소한 5번</w:t>
      </w:r>
    </w:p>
    <w:p>
      <w:pPr>
        <w:pStyle w:val="BodyText"/>
      </w:pPr>
      <w:r>
        <w:t xml:space="preserve">B. 두통 발작이 4-72시간 지속(치료하지 않거나 치료가 제대로 되지 않았을 경우)</w:t>
      </w:r>
    </w:p>
    <w:p>
      <w:pPr>
        <w:pStyle w:val="BodyText"/>
      </w:pPr>
      <w:r>
        <w:t xml:space="preserve">C. 다음 네 가지 두통의 특성 중 최소한 두 가지:</w:t>
      </w:r>
    </w:p>
    <w:p>
      <w:pPr>
        <w:pStyle w:val="Compact"/>
        <w:numPr>
          <w:numId w:val="1025"/>
          <w:ilvl w:val="0"/>
        </w:numPr>
      </w:pPr>
      <w:r>
        <w:t xml:space="preserve">편측위치</w:t>
      </w:r>
    </w:p>
    <w:p>
      <w:pPr>
        <w:pStyle w:val="Compact"/>
        <w:numPr>
          <w:numId w:val="1025"/>
          <w:ilvl w:val="0"/>
        </w:numPr>
      </w:pPr>
      <w:r>
        <w:t xml:space="preserve">박동양상</w:t>
      </w:r>
    </w:p>
    <w:p>
      <w:pPr>
        <w:pStyle w:val="Compact"/>
        <w:numPr>
          <w:numId w:val="1025"/>
          <w:ilvl w:val="0"/>
        </w:numPr>
      </w:pPr>
      <w:r>
        <w:t xml:space="preserve">중등도 또는 심도의 통증 강도</w:t>
      </w:r>
    </w:p>
    <w:p>
      <w:pPr>
        <w:pStyle w:val="Compact"/>
        <w:numPr>
          <w:numId w:val="1025"/>
          <w:ilvl w:val="0"/>
        </w:numPr>
      </w:pPr>
      <w:r>
        <w:t xml:space="preserve">일상신체활동(걷거나 계단을 오르는 등)에 의해 악화 또는 이를 회피하게 됨</w:t>
      </w:r>
    </w:p>
    <w:p>
      <w:pPr>
        <w:pStyle w:val="FirstParagraph"/>
      </w:pPr>
      <w:r>
        <w:t xml:space="preserve">D. 두통이 있는 동안 다음 중 최소한 한 가지:</w:t>
      </w:r>
    </w:p>
    <w:p>
      <w:pPr>
        <w:pStyle w:val="Compact"/>
        <w:numPr>
          <w:numId w:val="1026"/>
          <w:ilvl w:val="0"/>
        </w:numPr>
      </w:pPr>
      <w:r>
        <w:t xml:space="preserve">구역 그리고/또는 구토</w:t>
      </w:r>
    </w:p>
    <w:p>
      <w:pPr>
        <w:pStyle w:val="Compact"/>
        <w:numPr>
          <w:numId w:val="1026"/>
          <w:ilvl w:val="0"/>
        </w:numPr>
      </w:pPr>
      <w:r>
        <w:t xml:space="preserve">빛공포증과 소리공포증</w:t>
      </w:r>
    </w:p>
    <w:p>
      <w:pPr>
        <w:pStyle w:val="FirstParagraph"/>
      </w:pPr>
      <w:r>
        <w:t xml:space="preserve">E. 다른 ICHD-3 진단으로 더 잘 설명되지 않음.</w:t>
      </w:r>
    </w:p>
    <w:p>
      <w:pPr>
        <w:pStyle w:val="Heading2"/>
      </w:pPr>
      <w:bookmarkStart w:id="55" w:name="section-26"/>
      <w:r>
        <w:t xml:space="preserve">조짐 편두통</w:t>
      </w:r>
      <w:bookmarkEnd w:id="55"/>
    </w:p>
    <w:p>
      <w:pPr>
        <w:pStyle w:val="FirstParagraph"/>
      </w:pPr>
      <w:r>
        <w:t xml:space="preserve">A. 진단기준 B와 C를 충족하며 최소한 2번 발생하는 발작</w:t>
      </w:r>
    </w:p>
    <w:p>
      <w:pPr>
        <w:pStyle w:val="BodyText"/>
      </w:pPr>
      <w:r>
        <w:t xml:space="preserve">B. 완전히 가역적인 다음의 조짐증상 중 한 가지 이상:</w:t>
      </w:r>
    </w:p>
    <w:p>
      <w:pPr>
        <w:pStyle w:val="Compact"/>
        <w:numPr>
          <w:numId w:val="1027"/>
          <w:ilvl w:val="0"/>
        </w:numPr>
      </w:pPr>
      <w:r>
        <w:t xml:space="preserve">시각</w:t>
      </w:r>
    </w:p>
    <w:p>
      <w:pPr>
        <w:pStyle w:val="Compact"/>
        <w:numPr>
          <w:numId w:val="1027"/>
          <w:ilvl w:val="0"/>
        </w:numPr>
      </w:pPr>
      <w:r>
        <w:t xml:space="preserve">감각</w:t>
      </w:r>
    </w:p>
    <w:p>
      <w:pPr>
        <w:pStyle w:val="Compact"/>
        <w:numPr>
          <w:numId w:val="1027"/>
          <w:ilvl w:val="0"/>
        </w:numPr>
      </w:pPr>
      <w:r>
        <w:t xml:space="preserve">말 그리고/또는 언어(speech and/or language)</w:t>
      </w:r>
    </w:p>
    <w:p>
      <w:pPr>
        <w:pStyle w:val="Compact"/>
        <w:numPr>
          <w:numId w:val="1027"/>
          <w:ilvl w:val="0"/>
        </w:numPr>
      </w:pPr>
      <w:r>
        <w:t xml:space="preserve">운동</w:t>
      </w:r>
    </w:p>
    <w:p>
      <w:pPr>
        <w:pStyle w:val="Compact"/>
        <w:numPr>
          <w:numId w:val="1027"/>
          <w:ilvl w:val="0"/>
        </w:numPr>
      </w:pPr>
      <w:r>
        <w:t xml:space="preserve">뇌간</w:t>
      </w:r>
    </w:p>
    <w:p>
      <w:pPr>
        <w:pStyle w:val="Compact"/>
        <w:numPr>
          <w:numId w:val="1027"/>
          <w:ilvl w:val="0"/>
        </w:numPr>
      </w:pPr>
      <w:r>
        <w:t xml:space="preserve">망막</w:t>
      </w:r>
    </w:p>
    <w:p>
      <w:pPr>
        <w:pStyle w:val="FirstParagraph"/>
      </w:pPr>
      <w:r>
        <w:t xml:space="preserve">C. 다음 여섯 가지 특성 중 최소한 세 가지:</w:t>
      </w:r>
    </w:p>
    <w:p>
      <w:pPr>
        <w:pStyle w:val="Compact"/>
        <w:numPr>
          <w:numId w:val="1028"/>
          <w:ilvl w:val="0"/>
        </w:numPr>
      </w:pPr>
      <w:r>
        <w:t xml:space="preserve">최소한 한 가지 조짐증상이 5분 이상에 걸쳐 서서히 발생</w:t>
      </w:r>
    </w:p>
    <w:p>
      <w:pPr>
        <w:pStyle w:val="Compact"/>
        <w:numPr>
          <w:numId w:val="1028"/>
          <w:ilvl w:val="0"/>
        </w:numPr>
      </w:pPr>
      <w:r>
        <w:t xml:space="preserve">두 가지 이상의 증상이 연속해서 발생함</w:t>
      </w:r>
    </w:p>
    <w:p>
      <w:pPr>
        <w:pStyle w:val="Compact"/>
        <w:numPr>
          <w:numId w:val="1028"/>
          <w:ilvl w:val="0"/>
        </w:numPr>
      </w:pPr>
      <w:r>
        <w:t xml:space="preserve">각 조짐증상은 5-60분 동안 지속</w:t>
      </w:r>
    </w:p>
    <w:p>
      <w:pPr>
        <w:pStyle w:val="Compact"/>
        <w:numPr>
          <w:numId w:val="1028"/>
          <w:ilvl w:val="0"/>
        </w:numPr>
      </w:pPr>
      <w:r>
        <w:t xml:space="preserve">최소한 한 가지 조짐증상은 편측</w:t>
      </w:r>
    </w:p>
    <w:p>
      <w:pPr>
        <w:pStyle w:val="Compact"/>
        <w:numPr>
          <w:numId w:val="1028"/>
          <w:ilvl w:val="0"/>
        </w:numPr>
      </w:pPr>
      <w:r>
        <w:t xml:space="preserve">최소한 한 가지 조짐증상은 양성 증상</w:t>
      </w:r>
    </w:p>
    <w:p>
      <w:pPr>
        <w:pStyle w:val="Compact"/>
        <w:numPr>
          <w:numId w:val="1028"/>
          <w:ilvl w:val="0"/>
        </w:numPr>
      </w:pPr>
      <w:r>
        <w:t xml:space="preserve">조짐이 두통과 동반되거나, 또는 조짐 60분 이내에 두통이 따라 나타남</w:t>
      </w:r>
    </w:p>
    <w:p>
      <w:pPr>
        <w:pStyle w:val="FirstParagraph"/>
      </w:pPr>
      <w:r>
        <w:t xml:space="preserve">D. 다른 ICHD-3 진단으로 더 잘 설명되지 않음.</w:t>
      </w:r>
    </w:p>
    <w:p>
      <w:pPr>
        <w:pStyle w:val="Heading1"/>
      </w:pPr>
      <w:bookmarkStart w:id="56" w:name="section-27"/>
      <w:r>
        <w:t xml:space="preserve">지침 개발 과정</w:t>
      </w:r>
      <w:bookmarkEnd w:id="56"/>
    </w:p>
    <w:p>
      <w:pPr>
        <w:pStyle w:val="Heading2"/>
      </w:pPr>
      <w:bookmarkStart w:id="57" w:name="section-28"/>
      <w:r>
        <w:t xml:space="preserve">이해당사자의 참여</w:t>
      </w:r>
      <w:bookmarkEnd w:id="57"/>
    </w:p>
    <w:p>
      <w:pPr>
        <w:pStyle w:val="Heading3"/>
      </w:pPr>
      <w:bookmarkStart w:id="58" w:name="section-29"/>
      <w:r>
        <w:t xml:space="preserve">지침 제정 참여자 및 역할</w:t>
      </w:r>
      <w:bookmarkEnd w:id="58"/>
    </w:p>
    <w:p>
      <w:pPr>
        <w:pStyle w:val="Heading4"/>
      </w:pPr>
      <w:bookmarkStart w:id="59" w:name="section-30"/>
      <w:r>
        <w:t xml:space="preserve">운영위원회</w:t>
      </w:r>
      <w:bookmarkEnd w:id="59"/>
    </w:p>
    <w:p>
      <w:pPr>
        <w:numPr>
          <w:numId w:val="1029"/>
          <w:ilvl w:val="0"/>
        </w:numPr>
      </w:pPr>
      <w:r>
        <w:t xml:space="preserve">위원장: 인제대학교 정재면</w:t>
      </w:r>
    </w:p>
    <w:p>
      <w:pPr>
        <w:numPr>
          <w:numId w:val="1029"/>
          <w:ilvl w:val="0"/>
        </w:numPr>
      </w:pPr>
      <w:r>
        <w:t xml:space="preserve">간사: 중앙대학교 박광열</w:t>
      </w:r>
    </w:p>
    <w:p>
      <w:pPr>
        <w:numPr>
          <w:numId w:val="1029"/>
          <w:ilvl w:val="0"/>
        </w:numPr>
      </w:pPr>
      <w:r>
        <w:t xml:space="preserve">역할</w:t>
      </w:r>
    </w:p>
    <w:p>
      <w:pPr>
        <w:pStyle w:val="Compact"/>
        <w:numPr>
          <w:numId w:val="1030"/>
          <w:ilvl w:val="1"/>
        </w:numPr>
      </w:pPr>
      <w:r>
        <w:t xml:space="preserve">진료지침 개발 기획 및 개발 방법 결정</w:t>
      </w:r>
    </w:p>
    <w:p>
      <w:pPr>
        <w:pStyle w:val="Compact"/>
        <w:numPr>
          <w:numId w:val="1030"/>
          <w:ilvl w:val="1"/>
        </w:numPr>
      </w:pPr>
      <w:r>
        <w:t xml:space="preserve">진료지침 검색과 선별, 평가 등 상세 수용개작 과정에 대한 전체 방법론 마련</w:t>
      </w:r>
    </w:p>
    <w:p>
      <w:pPr>
        <w:pStyle w:val="Compact"/>
        <w:numPr>
          <w:numId w:val="1030"/>
          <w:ilvl w:val="1"/>
        </w:numPr>
      </w:pPr>
      <w:r>
        <w:t xml:space="preserve">실무위원회 자문 및 개발 과정 검토</w:t>
      </w:r>
    </w:p>
    <w:p>
      <w:pPr>
        <w:pStyle w:val="Compact"/>
        <w:numPr>
          <w:numId w:val="1030"/>
          <w:ilvl w:val="1"/>
        </w:numPr>
      </w:pPr>
      <w:r>
        <w:t xml:space="preserve">진료지침의 보급 및 실행 전략 마련</w:t>
      </w:r>
    </w:p>
    <w:p>
      <w:pPr>
        <w:pStyle w:val="Heading4"/>
      </w:pPr>
      <w:bookmarkStart w:id="60" w:name="section-31"/>
      <w:r>
        <w:t xml:space="preserve">자문위원회</w:t>
      </w:r>
      <w:bookmarkEnd w:id="60"/>
    </w:p>
    <w:p>
      <w:pPr>
        <w:numPr>
          <w:numId w:val="1031"/>
          <w:ilvl w:val="0"/>
        </w:numPr>
      </w:pPr>
      <w:r>
        <w:t xml:space="preserve">을지대학교 김병건</w:t>
      </w:r>
    </w:p>
    <w:p>
      <w:pPr>
        <w:numPr>
          <w:numId w:val="1031"/>
          <w:ilvl w:val="0"/>
        </w:numPr>
      </w:pPr>
      <w:r>
        <w:t xml:space="preserve">연세대학교 김원주</w:t>
      </w:r>
    </w:p>
    <w:p>
      <w:pPr>
        <w:numPr>
          <w:numId w:val="1031"/>
          <w:ilvl w:val="0"/>
        </w:numPr>
      </w:pPr>
      <w:r>
        <w:t xml:space="preserve">역할</w:t>
      </w:r>
    </w:p>
    <w:p>
      <w:pPr>
        <w:pStyle w:val="Compact"/>
        <w:numPr>
          <w:numId w:val="1032"/>
          <w:ilvl w:val="1"/>
        </w:numPr>
      </w:pPr>
      <w:r>
        <w:t xml:space="preserve">실무위원회 자문 및 개발 과정 검토</w:t>
      </w:r>
    </w:p>
    <w:p>
      <w:pPr>
        <w:pStyle w:val="Heading4"/>
      </w:pPr>
      <w:bookmarkStart w:id="61" w:name="section-32"/>
      <w:r>
        <w:t xml:space="preserve">외부자문그룹</w:t>
      </w:r>
      <w:bookmarkEnd w:id="61"/>
    </w:p>
    <w:p>
      <w:pPr>
        <w:numPr>
          <w:numId w:val="1033"/>
          <w:ilvl w:val="0"/>
        </w:numPr>
      </w:pPr>
      <w:r>
        <w:t xml:space="preserve">순천향대학교 이유경</w:t>
      </w:r>
    </w:p>
    <w:p>
      <w:pPr>
        <w:numPr>
          <w:numId w:val="1033"/>
          <w:ilvl w:val="0"/>
        </w:numPr>
      </w:pPr>
      <w:r>
        <w:t xml:space="preserve">한국보건의료연구원 박동아</w:t>
      </w:r>
    </w:p>
    <w:p>
      <w:pPr>
        <w:numPr>
          <w:numId w:val="1033"/>
          <w:ilvl w:val="0"/>
        </w:numPr>
      </w:pPr>
      <w:r>
        <w:t xml:space="preserve">역할</w:t>
      </w:r>
    </w:p>
    <w:p>
      <w:pPr>
        <w:pStyle w:val="Compact"/>
        <w:numPr>
          <w:numId w:val="1034"/>
          <w:ilvl w:val="1"/>
        </w:numPr>
      </w:pPr>
      <w:r>
        <w:t xml:space="preserve">실무위원회 자문 및 개발 과정 검토</w:t>
      </w:r>
    </w:p>
    <w:p>
      <w:pPr>
        <w:pStyle w:val="Heading4"/>
      </w:pPr>
      <w:bookmarkStart w:id="62" w:name="section-33"/>
      <w:r>
        <w:t xml:space="preserve">실무위원회및 근거평가그룹</w:t>
      </w:r>
      <w:bookmarkEnd w:id="62"/>
    </w:p>
    <w:p>
      <w:pPr>
        <w:pStyle w:val="Compact"/>
        <w:numPr>
          <w:numId w:val="1035"/>
          <w:ilvl w:val="0"/>
        </w:numPr>
      </w:pPr>
      <w:r>
        <w:t xml:space="preserve">분당제생병원 김병수</w:t>
      </w:r>
    </w:p>
    <w:p>
      <w:pPr>
        <w:pStyle w:val="Compact"/>
        <w:numPr>
          <w:numId w:val="1035"/>
          <w:ilvl w:val="0"/>
        </w:numPr>
      </w:pPr>
      <w:r>
        <w:t xml:space="preserve">경북대학교 서종근</w:t>
      </w:r>
    </w:p>
    <w:p>
      <w:pPr>
        <w:pStyle w:val="Compact"/>
        <w:numPr>
          <w:numId w:val="1035"/>
          <w:ilvl w:val="0"/>
        </w:numPr>
      </w:pPr>
      <w:r>
        <w:t xml:space="preserve">한림대학교 손종희</w:t>
      </w:r>
    </w:p>
    <w:p>
      <w:pPr>
        <w:pStyle w:val="Compact"/>
        <w:numPr>
          <w:numId w:val="1035"/>
          <w:ilvl w:val="0"/>
        </w:numPr>
      </w:pPr>
      <w:r>
        <w:t xml:space="preserve">이화여자대학교 송태진</w:t>
      </w:r>
    </w:p>
    <w:p>
      <w:pPr>
        <w:pStyle w:val="Compact"/>
        <w:numPr>
          <w:numId w:val="1035"/>
          <w:ilvl w:val="0"/>
        </w:numPr>
      </w:pPr>
      <w:r>
        <w:t xml:space="preserve">성균관대학교 이미지</w:t>
      </w:r>
    </w:p>
    <w:p>
      <w:pPr>
        <w:pStyle w:val="Compact"/>
        <w:numPr>
          <w:numId w:val="1035"/>
          <w:ilvl w:val="0"/>
        </w:numPr>
      </w:pPr>
      <w:r>
        <w:t xml:space="preserve">성균관대학교 정필욱</w:t>
      </w:r>
    </w:p>
    <w:p>
      <w:pPr>
        <w:pStyle w:val="Compact"/>
        <w:numPr>
          <w:numId w:val="1035"/>
          <w:ilvl w:val="0"/>
        </w:numPr>
      </w:pPr>
      <w:r>
        <w:t xml:space="preserve">한국보건의료연구원 최미영</w:t>
      </w:r>
    </w:p>
    <w:p>
      <w:pPr>
        <w:pStyle w:val="Compact"/>
        <w:numPr>
          <w:numId w:val="1035"/>
          <w:ilvl w:val="0"/>
        </w:numPr>
      </w:pPr>
      <w:r>
        <w:t xml:space="preserve">전주예수병원 최윤주</w:t>
      </w:r>
    </w:p>
    <w:p>
      <w:pPr>
        <w:pStyle w:val="Heading3"/>
      </w:pPr>
      <w:bookmarkStart w:id="63" w:name="section-34"/>
      <w:r>
        <w:t xml:space="preserve">이해관계 선언</w:t>
      </w:r>
      <w:bookmarkEnd w:id="63"/>
    </w:p>
    <w:p>
      <w:pPr>
        <w:pStyle w:val="FirstParagraph"/>
      </w:pPr>
      <w:r>
        <w:t xml:space="preserve">운영위원회 및 실무위원회의 모든 위원은 자문료, 연구비, 지적재산권등의 재정적 이해상충, 지적이해상충, 그리고 개인적 이해상충을 문서로 공개하였다.</w:t>
      </w:r>
    </w:p>
    <w:p>
      <w:pPr>
        <w:pStyle w:val="Heading3"/>
      </w:pPr>
      <w:bookmarkStart w:id="64" w:name="section-35"/>
      <w:r>
        <w:t xml:space="preserve">운영</w:t>
      </w:r>
      <w:bookmarkEnd w:id="64"/>
    </w:p>
    <w:p>
      <w:pPr>
        <w:pStyle w:val="Heading4"/>
      </w:pPr>
      <w:bookmarkStart w:id="65" w:name="section-36"/>
      <w:r>
        <w:t xml:space="preserve">합의원칙의 결정</w:t>
      </w:r>
      <w:bookmarkEnd w:id="65"/>
    </w:p>
    <w:p>
      <w:pPr>
        <w:pStyle w:val="Compact"/>
        <w:numPr>
          <w:numId w:val="1036"/>
          <w:ilvl w:val="0"/>
        </w:numPr>
      </w:pPr>
      <w:r>
        <w:t xml:space="preserve">토론</w:t>
      </w:r>
    </w:p>
    <w:p>
      <w:pPr>
        <w:pStyle w:val="Compact"/>
        <w:numPr>
          <w:numId w:val="1036"/>
          <w:ilvl w:val="0"/>
        </w:numPr>
      </w:pPr>
      <w:r>
        <w:t xml:space="preserve">델파이 방식을 통한 합의</w:t>
      </w:r>
    </w:p>
    <w:p>
      <w:pPr>
        <w:pStyle w:val="Heading4"/>
      </w:pPr>
      <w:bookmarkStart w:id="66" w:name="section-37"/>
      <w:r>
        <w:t xml:space="preserve">저자원칙의 결정</w:t>
      </w:r>
      <w:bookmarkEnd w:id="66"/>
    </w:p>
    <w:p>
      <w:pPr>
        <w:pStyle w:val="Compact"/>
        <w:numPr>
          <w:numId w:val="1037"/>
          <w:ilvl w:val="0"/>
        </w:numPr>
      </w:pPr>
      <w:r>
        <w:t xml:space="preserve">최종보고서: 정재면</w:t>
      </w:r>
    </w:p>
    <w:p>
      <w:pPr>
        <w:pStyle w:val="Compact"/>
        <w:numPr>
          <w:numId w:val="1037"/>
          <w:ilvl w:val="0"/>
        </w:numPr>
      </w:pPr>
      <w:r>
        <w:t xml:space="preserve">저자포함: 개발그룹전체</w:t>
      </w:r>
    </w:p>
    <w:p>
      <w:pPr>
        <w:pStyle w:val="Heading2"/>
      </w:pPr>
      <w:bookmarkStart w:id="67" w:name="section-38"/>
      <w:r>
        <w:t xml:space="preserve">지침이 다루는 인구 집단</w:t>
      </w:r>
      <w:bookmarkEnd w:id="67"/>
    </w:p>
    <w:p>
      <w:pPr>
        <w:pStyle w:val="Compact"/>
        <w:numPr>
          <w:numId w:val="1038"/>
          <w:ilvl w:val="0"/>
        </w:numPr>
      </w:pPr>
      <w:r>
        <w:t xml:space="preserve">성인 삽화편두통 환자(남녀 모두, 동반질환 포함)</w:t>
      </w:r>
    </w:p>
    <w:p>
      <w:pPr>
        <w:pStyle w:val="Compact"/>
        <w:numPr>
          <w:numId w:val="1038"/>
          <w:ilvl w:val="0"/>
        </w:numPr>
      </w:pPr>
      <w:r>
        <w:t xml:space="preserve">소아는 제외</w:t>
      </w:r>
    </w:p>
    <w:p>
      <w:pPr>
        <w:pStyle w:val="Compact"/>
        <w:numPr>
          <w:numId w:val="1038"/>
          <w:ilvl w:val="0"/>
        </w:numPr>
      </w:pPr>
      <w:r>
        <w:t xml:space="preserve">만성편두통 환자 제외</w:t>
      </w:r>
    </w:p>
    <w:p>
      <w:pPr>
        <w:pStyle w:val="Heading2"/>
      </w:pPr>
      <w:bookmarkStart w:id="68" w:name="section-39"/>
      <w:r>
        <w:t xml:space="preserve">지침 사용 대상자</w:t>
      </w:r>
      <w:bookmarkEnd w:id="68"/>
    </w:p>
    <w:p>
      <w:pPr>
        <w:pStyle w:val="FirstParagraph"/>
      </w:pPr>
      <w:r>
        <w:t xml:space="preserve">국내에서 편두통 환자를 진료하는 모든 임상의사</w:t>
      </w:r>
    </w:p>
    <w:p>
      <w:pPr>
        <w:pStyle w:val="Heading2"/>
      </w:pPr>
      <w:bookmarkStart w:id="69" w:name="section-40"/>
      <w:r>
        <w:t xml:space="preserve">지침의 범위와 목적</w:t>
      </w:r>
      <w:bookmarkEnd w:id="69"/>
    </w:p>
    <w:p>
      <w:pPr>
        <w:pStyle w:val="FirstParagraph"/>
      </w:pPr>
      <w:r>
        <w:t xml:space="preserve">임상의사가 편두통 환자를 진료할 때 표준화된 삽화편두통 환자의 예방약물 사용을 제시한다.</w:t>
      </w:r>
    </w:p>
    <w:p>
      <w:pPr>
        <w:pStyle w:val="Heading2"/>
      </w:pPr>
      <w:bookmarkStart w:id="70" w:name="section-41"/>
      <w:r>
        <w:t xml:space="preserve">지침의 목적</w:t>
      </w:r>
      <w:bookmarkEnd w:id="70"/>
    </w:p>
    <w:p>
      <w:pPr>
        <w:pStyle w:val="FirstParagraph"/>
      </w:pPr>
      <w:r>
        <w:t xml:space="preserve">본 지침은 국내 임상 상황에서 성인 편두통 환자들을 진료하는 모든 임상의들에게 삽화편두통의 예방약물에 대한 표준화된 지침을 제시함으로써, 이에 대한 정확한 이해 및 효율적인 치료를 증진시킬 목적으로 개발되었다.</w:t>
      </w:r>
    </w:p>
    <w:p>
      <w:pPr>
        <w:pStyle w:val="Heading2"/>
      </w:pPr>
      <w:bookmarkStart w:id="71" w:name="section-42"/>
      <w:r>
        <w:t xml:space="preserve">외부 검토</w:t>
      </w:r>
      <w:bookmarkEnd w:id="71"/>
    </w:p>
    <w:p>
      <w:pPr>
        <w:pStyle w:val="Heading3"/>
      </w:pPr>
      <w:bookmarkStart w:id="72" w:name="section-43"/>
      <w:r>
        <w:t xml:space="preserve">잠재적 승인기구</w:t>
      </w:r>
      <w:bookmarkEnd w:id="72"/>
    </w:p>
    <w:p>
      <w:pPr>
        <w:pStyle w:val="Compact"/>
        <w:numPr>
          <w:numId w:val="1039"/>
          <w:ilvl w:val="0"/>
        </w:numPr>
      </w:pPr>
      <w:r>
        <w:t xml:space="preserve">대한두통학회</w:t>
      </w:r>
    </w:p>
    <w:p>
      <w:pPr>
        <w:pStyle w:val="Compact"/>
        <w:numPr>
          <w:numId w:val="1039"/>
          <w:ilvl w:val="0"/>
        </w:numPr>
      </w:pPr>
      <w:r>
        <w:t xml:space="preserve">대한신경과학회</w:t>
      </w:r>
    </w:p>
    <w:p>
      <w:pPr>
        <w:pStyle w:val="Heading2"/>
      </w:pPr>
      <w:bookmarkStart w:id="73" w:name="section-44"/>
      <w:r>
        <w:t xml:space="preserve">보급전략</w:t>
      </w:r>
      <w:bookmarkEnd w:id="73"/>
    </w:p>
    <w:p>
      <w:pPr>
        <w:pStyle w:val="Compact"/>
        <w:numPr>
          <w:numId w:val="1040"/>
          <w:ilvl w:val="0"/>
        </w:numPr>
      </w:pPr>
      <w:r>
        <w:t xml:space="preserve">Online</w:t>
      </w:r>
    </w:p>
    <w:p>
      <w:pPr>
        <w:pStyle w:val="Compact"/>
        <w:numPr>
          <w:numId w:val="1041"/>
          <w:ilvl w:val="1"/>
        </w:numPr>
      </w:pPr>
      <w:r>
        <w:t xml:space="preserve">대한두통학회와 대한신경과학회 홈페이지 게시</w:t>
      </w:r>
    </w:p>
    <w:p>
      <w:pPr>
        <w:pStyle w:val="Compact"/>
        <w:numPr>
          <w:numId w:val="1041"/>
          <w:ilvl w:val="1"/>
        </w:numPr>
      </w:pPr>
      <w:r>
        <w:t xml:space="preserve">Online book (gitbook) 게시</w:t>
      </w:r>
    </w:p>
    <w:p>
      <w:pPr>
        <w:pStyle w:val="Compact"/>
        <w:numPr>
          <w:numId w:val="1040"/>
          <w:ilvl w:val="0"/>
        </w:numPr>
      </w:pPr>
      <w:r>
        <w:t xml:space="preserve">인쇄물</w:t>
      </w:r>
    </w:p>
    <w:p>
      <w:pPr>
        <w:pStyle w:val="Compact"/>
        <w:numPr>
          <w:numId w:val="1042"/>
          <w:ilvl w:val="1"/>
        </w:numPr>
      </w:pPr>
      <w:r>
        <w:t xml:space="preserve">대한두통학회지와 대한신경과학회지에 게재</w:t>
      </w:r>
    </w:p>
    <w:p>
      <w:pPr>
        <w:pStyle w:val="Compact"/>
        <w:numPr>
          <w:numId w:val="1042"/>
          <w:ilvl w:val="1"/>
        </w:numPr>
      </w:pPr>
      <w:r>
        <w:t xml:space="preserve">별도의 책 출판: 학술대회, 집담회등에서 배포</w:t>
      </w:r>
    </w:p>
    <w:p>
      <w:pPr>
        <w:pStyle w:val="Heading2"/>
      </w:pPr>
      <w:bookmarkStart w:id="74" w:name="section-45"/>
      <w:r>
        <w:t xml:space="preserve">갱신절차</w:t>
      </w:r>
      <w:bookmarkEnd w:id="74"/>
    </w:p>
    <w:p>
      <w:pPr>
        <w:pStyle w:val="FirstParagraph"/>
      </w:pPr>
      <w:r>
        <w:t xml:space="preserve">매년 초 편두통 예방약물 진료지침 개정위원회를 개최하고, 새로운 근거를 검토하여 갱신의 필요성과 여부를 결정할 예정</w:t>
      </w:r>
    </w:p>
    <w:p>
      <w:pPr>
        <w:pStyle w:val="Heading2"/>
      </w:pPr>
      <w:bookmarkStart w:id="75" w:name="section-46"/>
      <w:r>
        <w:t xml:space="preserve">편집의 독립성과 재정</w:t>
      </w:r>
      <w:bookmarkEnd w:id="75"/>
    </w:p>
    <w:p>
      <w:pPr>
        <w:pStyle w:val="FirstParagraph"/>
      </w:pPr>
      <w:r>
        <w:t xml:space="preserve">대한두통학회 편두통진료지침위원 구성원들간에 이해상충이나 잠재적인 이해관계는 없었다. 또한, 대한신경과학회와 대한두통학회외의 기관이나 단체로부터 재정 지원을 받지 않았다.</w:t>
      </w:r>
    </w:p>
    <w:p>
      <w:pPr>
        <w:pStyle w:val="Heading1"/>
      </w:pPr>
      <w:bookmarkStart w:id="76" w:name="section-47"/>
      <w:r>
        <w:t xml:space="preserve">범위결정과 핵심질문</w:t>
      </w:r>
      <w:bookmarkEnd w:id="76"/>
    </w:p>
    <w:p>
      <w:pPr>
        <w:pStyle w:val="Heading2"/>
      </w:pPr>
      <w:bookmarkStart w:id="77" w:name="section-48"/>
      <w:r>
        <w:t xml:space="preserve">범위결정</w:t>
      </w:r>
      <w:bookmarkEnd w:id="77"/>
    </w:p>
    <w:p>
      <w:pPr>
        <w:numPr>
          <w:numId w:val="1043"/>
          <w:ilvl w:val="0"/>
        </w:numPr>
      </w:pPr>
      <w:r>
        <w:t xml:space="preserve">Population: Adult with frequent and/or moderate-to-severe episodic migraine</w:t>
      </w:r>
    </w:p>
    <w:p>
      <w:pPr>
        <w:numPr>
          <w:numId w:val="1043"/>
          <w:ilvl w:val="0"/>
        </w:numPr>
      </w:pPr>
      <w:r>
        <w:t xml:space="preserve">Intervention: Drug</w:t>
      </w:r>
    </w:p>
    <w:p>
      <w:pPr>
        <w:pStyle w:val="Compact"/>
        <w:numPr>
          <w:numId w:val="1044"/>
          <w:ilvl w:val="1"/>
        </w:numPr>
      </w:pPr>
      <w:r>
        <w:t xml:space="preserve">Anti-epileptic drug</w:t>
      </w:r>
    </w:p>
    <w:p>
      <w:pPr>
        <w:pStyle w:val="Compact"/>
        <w:numPr>
          <w:numId w:val="1044"/>
          <w:ilvl w:val="1"/>
        </w:numPr>
      </w:pPr>
      <w:r>
        <w:t xml:space="preserve">Beta blocker/CCB/ARB/ACE</w:t>
      </w:r>
    </w:p>
    <w:p>
      <w:pPr>
        <w:pStyle w:val="Compact"/>
        <w:numPr>
          <w:numId w:val="1044"/>
          <w:ilvl w:val="1"/>
        </w:numPr>
      </w:pPr>
      <w:r>
        <w:t xml:space="preserve">Anti-Depressant</w:t>
      </w:r>
    </w:p>
    <w:p>
      <w:pPr>
        <w:numPr>
          <w:numId w:val="1043"/>
          <w:ilvl w:val="0"/>
        </w:numPr>
      </w:pPr>
      <w:r>
        <w:t xml:space="preserve">Professional:</w:t>
      </w:r>
    </w:p>
    <w:p>
      <w:pPr>
        <w:pStyle w:val="Compact"/>
        <w:numPr>
          <w:numId w:val="1045"/>
          <w:ilvl w:val="1"/>
        </w:numPr>
      </w:pPr>
      <w:r>
        <w:t xml:space="preserve">Primary care physician, Nurse, and healthcare professionals</w:t>
      </w:r>
    </w:p>
    <w:p>
      <w:pPr>
        <w:numPr>
          <w:numId w:val="1043"/>
          <w:ilvl w:val="0"/>
        </w:numPr>
      </w:pPr>
      <w:r>
        <w:t xml:space="preserve">Outcome: The frequency of migraine prevention drug prescription as suggested</w:t>
      </w:r>
    </w:p>
    <w:p>
      <w:pPr>
        <w:numPr>
          <w:numId w:val="1043"/>
          <w:ilvl w:val="0"/>
        </w:numPr>
      </w:pPr>
      <w:r>
        <w:t xml:space="preserve">Healthcare setting: Primary care setting in Korea</w:t>
      </w:r>
    </w:p>
    <w:p>
      <w:pPr>
        <w:pStyle w:val="Heading2"/>
      </w:pPr>
      <w:bookmarkStart w:id="78" w:name="section-49"/>
      <w:r>
        <w:t xml:space="preserve">핵심질문</w:t>
      </w:r>
      <w:bookmarkEnd w:id="78"/>
    </w:p>
    <w:p>
      <w:pPr>
        <w:pStyle w:val="Heading3"/>
      </w:pPr>
      <w:bookmarkStart w:id="79" w:name="section-50"/>
      <w:r>
        <w:t xml:space="preserve">선정과정</w:t>
      </w:r>
      <w:bookmarkEnd w:id="79"/>
    </w:p>
    <w:p>
      <w:pPr>
        <w:numPr>
          <w:numId w:val="1046"/>
          <w:ilvl w:val="0"/>
        </w:numPr>
      </w:pPr>
      <w:r>
        <w:t xml:space="preserve">핵심질문 및 관련 검색어를 실무위원회에서 일차적으로 작성후 개발위원회에서 취합하여 검토 후 최종 선정하였다.</w:t>
      </w:r>
    </w:p>
    <w:p>
      <w:pPr>
        <w:numPr>
          <w:numId w:val="1046"/>
          <w:ilvl w:val="0"/>
        </w:numPr>
      </w:pPr>
      <w:r>
        <w:t xml:space="preserve">진료지침의 최종 권고안은 핵심질문을 기반으로 도출하였다.</w:t>
      </w:r>
    </w:p>
    <w:p>
      <w:pPr>
        <w:numPr>
          <w:numId w:val="1046"/>
          <w:ilvl w:val="0"/>
        </w:numPr>
      </w:pPr>
      <w:r>
        <w:t xml:space="preserve">핵심질문은 대상 환자·인구집단(P, patient population), 중재법(I, intervention), 비교 중재법(C, comparator), 중재결과(O, outcome) 내용을 구체적으로 포함하였다.</w:t>
      </w:r>
    </w:p>
    <w:p>
      <w:pPr>
        <w:pStyle w:val="Compact"/>
        <w:numPr>
          <w:numId w:val="1047"/>
          <w:ilvl w:val="1"/>
        </w:numPr>
      </w:pPr>
      <w:r>
        <w:t xml:space="preserve">대상 환자·인구집단: 대상 환자·인구집단의 연령, 성별, 임상적 특성 및 증상, 특정 질환에 대한 이력, 이전 치료 등의 구체적 특성을 하위집단 개념으로 최대한 구분하여 기술하였다.</w:t>
      </w:r>
      <w:r>
        <w:br/>
      </w:r>
    </w:p>
    <w:p>
      <w:pPr>
        <w:pStyle w:val="Compact"/>
        <w:numPr>
          <w:numId w:val="1047"/>
          <w:ilvl w:val="1"/>
        </w:numPr>
      </w:pPr>
      <w:r>
        <w:t xml:space="preserve">중재법: 대상 중재법을 편두통 예방약물의 기전에 따라 5개의 군으로 정의하였다.</w:t>
      </w:r>
    </w:p>
    <w:p>
      <w:pPr>
        <w:pStyle w:val="Compact"/>
        <w:numPr>
          <w:numId w:val="1047"/>
          <w:ilvl w:val="1"/>
        </w:numPr>
      </w:pPr>
      <w:r>
        <w:t xml:space="preserve">비교 중재법: 편두통 예방약물의 효과를 판정하기 위해 위약의 효과와 비교하였다. 핵심질문에 따라 포함되지 않는 경우도 있었다.</w:t>
      </w:r>
    </w:p>
    <w:p>
      <w:pPr>
        <w:pStyle w:val="Compact"/>
        <w:numPr>
          <w:numId w:val="1047"/>
          <w:ilvl w:val="1"/>
        </w:numPr>
      </w:pPr>
      <w:r>
        <w:t xml:space="preserve">중재결과: 예방 치료의 목적 대상이 되는 해당 중재법의 임상적 주요 결과(두통 발작 일수의 감소, 강도의 감소) 등을 기술하였다.</w:t>
      </w:r>
    </w:p>
    <w:p>
      <w:pPr>
        <w:numPr>
          <w:numId w:val="1046"/>
          <w:ilvl w:val="0"/>
        </w:numPr>
      </w:pPr>
      <w:r>
        <w:t xml:space="preserve">검색어</w:t>
      </w:r>
    </w:p>
    <w:p>
      <w:pPr>
        <w:pStyle w:val="Compact"/>
        <w:numPr>
          <w:numId w:val="1048"/>
          <w:ilvl w:val="1"/>
        </w:numPr>
      </w:pPr>
      <w:r>
        <w:t xml:space="preserve">핵심질문의 PICO에 해당하는 영문 검색어를 정리하였다.</w:t>
      </w:r>
    </w:p>
    <w:p>
      <w:pPr>
        <w:pStyle w:val="Compact"/>
        <w:numPr>
          <w:numId w:val="1048"/>
          <w:ilvl w:val="1"/>
        </w:numPr>
      </w:pPr>
      <w:r>
        <w:t xml:space="preserve">실무위원회에서 선정된 핵심질문 및 검색어는 아래와 같은 서식을 활용하여 정리하였으며, 관련 진료지침을 검색하기 위하여 정리된 결과물을 개발위원회에 제공하였다.</w:t>
      </w:r>
    </w:p>
    <w:p>
      <w:pPr>
        <w:pStyle w:val="Heading3"/>
      </w:pPr>
      <w:bookmarkStart w:id="80" w:name="section-51"/>
      <w:r>
        <w:t xml:space="preserve">최종 선정된 핵심질문</w:t>
      </w:r>
      <w:bookmarkEnd w:id="80"/>
    </w:p>
    <w:p>
      <w:pPr>
        <w:numPr>
          <w:numId w:val="1049"/>
          <w:ilvl w:val="0"/>
        </w:numPr>
      </w:pPr>
      <w:r>
        <w:t xml:space="preserve">Episodic migraine환자에서 예방치료를 고려해야 하는 요인들(두통빈도, 두 통강도, 환자의 선호도, ADL에 대한 영향 등)은 무엇인가?</w:t>
      </w:r>
    </w:p>
    <w:p>
      <w:pPr>
        <w:numPr>
          <w:numId w:val="1049"/>
          <w:ilvl w:val="0"/>
        </w:numPr>
      </w:pPr>
      <w:r>
        <w:t xml:space="preserve">예방치료를 진행중인 episodic migraine환자에서 치료의 중단은 어떻게 결 정해야 하는가?</w:t>
      </w:r>
    </w:p>
    <w:p>
      <w:pPr>
        <w:numPr>
          <w:numId w:val="1049"/>
          <w:ilvl w:val="0"/>
        </w:numPr>
      </w:pPr>
      <w:r>
        <w:t xml:space="preserve">Episodic migraine환자에서 예방치료로 베타차단제(beta blocker: propranolol 등)를 사용하는 것이 타약제, 위약 또는 치료하지 않는 것에 비해 두통의 완화에 효과적인가?</w:t>
      </w:r>
    </w:p>
    <w:p>
      <w:pPr>
        <w:numPr>
          <w:numId w:val="1049"/>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numPr>
          <w:numId w:val="1049"/>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numPr>
          <w:numId w:val="1049"/>
          <w:ilvl w:val="0"/>
        </w:numPr>
      </w:pPr>
      <w:r>
        <w:t xml:space="preserve">Episodic migraine환자에서 예방치료로 항우울제(anti-depressant: amitryptiline 등)를 사용하는 것이 타약제, 위약 또는 치료하지 않는 것에 비해 두통의 완화에 효과적인가?</w:t>
      </w:r>
    </w:p>
    <w:p>
      <w:pPr>
        <w:numPr>
          <w:numId w:val="1049"/>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p>
      <w:pPr>
        <w:pStyle w:val="Heading1"/>
      </w:pPr>
      <w:bookmarkStart w:id="81" w:name="section-52"/>
      <w:r>
        <w:t xml:space="preserve">개발의 엄격성</w:t>
      </w:r>
      <w:bookmarkEnd w:id="81"/>
    </w:p>
    <w:p>
      <w:pPr>
        <w:pStyle w:val="Heading2"/>
      </w:pPr>
      <w:bookmarkStart w:id="82" w:name="section-53"/>
      <w:r>
        <w:t xml:space="preserve">개발방법</w:t>
      </w:r>
      <w:bookmarkEnd w:id="82"/>
    </w:p>
    <w:p>
      <w:pPr>
        <w:pStyle w:val="Compact"/>
        <w:numPr>
          <w:numId w:val="1050"/>
          <w:ilvl w:val="0"/>
        </w:numPr>
      </w:pPr>
      <w:r>
        <w:rPr>
          <w:b/>
        </w:rPr>
        <w:t xml:space="preserve">Adaptation</w:t>
      </w:r>
    </w:p>
    <w:p>
      <w:pPr>
        <w:pStyle w:val="Compact"/>
        <w:numPr>
          <w:numId w:val="1051"/>
          <w:ilvl w:val="1"/>
        </w:numPr>
      </w:pPr>
      <w:r>
        <w:t xml:space="preserve">2012 - 2017년까지의 진료지침 + 2012-2017년 사이 연구를 핵심질문별로 다시 검색</w:t>
      </w:r>
    </w:p>
    <w:p>
      <w:pPr>
        <w:pStyle w:val="Compact"/>
        <w:numPr>
          <w:numId w:val="1051"/>
          <w:ilvl w:val="1"/>
        </w:numPr>
      </w:pPr>
      <w:r>
        <w:t xml:space="preserve">그외 수기로 논문 추가 조사 (논문의 참고문헌등)</w:t>
      </w:r>
    </w:p>
    <w:p>
      <w:pPr>
        <w:pStyle w:val="Heading2"/>
      </w:pPr>
      <w:bookmarkStart w:id="83" w:name="section-54"/>
      <w:r>
        <w:t xml:space="preserve">지침및 근거검색</w:t>
      </w:r>
      <w:bookmarkEnd w:id="83"/>
    </w:p>
    <w:p>
      <w:pPr>
        <w:pStyle w:val="FirstParagraph"/>
      </w:pPr>
      <w:r>
        <w:drawing>
          <wp:inline>
            <wp:extent cx="5334000" cy="4178133"/>
            <wp:effectExtent b="0" l="0" r="0" t="0"/>
            <wp:docPr descr="" title="" id="1" name="Picture"/>
            <a:graphic>
              <a:graphicData uri="http://schemas.openxmlformats.org/drawingml/2006/picture">
                <pic:pic>
                  <pic:nvPicPr>
                    <pic:cNvPr descr="static/SearchProcess.png" id="0" name="Picture"/>
                    <pic:cNvPicPr>
                      <a:picLocks noChangeArrowheads="1" noChangeAspect="1"/>
                    </pic:cNvPicPr>
                  </pic:nvPicPr>
                  <pic:blipFill>
                    <a:blip r:embed="rId84"/>
                    <a:stretch>
                      <a:fillRect/>
                    </a:stretch>
                  </pic:blipFill>
                  <pic:spPr bwMode="auto">
                    <a:xfrm>
                      <a:off x="0" y="0"/>
                      <a:ext cx="5334000" cy="4178133"/>
                    </a:xfrm>
                    <a:prstGeom prst="rect">
                      <a:avLst/>
                    </a:prstGeom>
                    <a:noFill/>
                    <a:ln w="9525">
                      <a:noFill/>
                      <a:headEnd/>
                      <a:tailEnd/>
                    </a:ln>
                  </pic:spPr>
                </pic:pic>
              </a:graphicData>
            </a:graphic>
          </wp:inline>
        </w:drawing>
      </w:r>
    </w:p>
    <w:p>
      <w:pPr>
        <w:pStyle w:val="Compact"/>
        <w:numPr>
          <w:numId w:val="1052"/>
          <w:ilvl w:val="0"/>
        </w:numPr>
      </w:pPr>
      <w:r>
        <w:t xml:space="preserve">진료지침검색</w:t>
      </w:r>
    </w:p>
    <w:p>
      <w:pPr>
        <w:pStyle w:val="Compact"/>
        <w:numPr>
          <w:numId w:val="1053"/>
          <w:ilvl w:val="1"/>
        </w:numPr>
      </w:pPr>
      <w:r>
        <w:t xml:space="preserve">정보원</w:t>
      </w:r>
    </w:p>
    <w:p>
      <w:pPr>
        <w:pStyle w:val="Compact"/>
        <w:numPr>
          <w:numId w:val="1054"/>
          <w:ilvl w:val="2"/>
        </w:numPr>
      </w:pPr>
      <w:r>
        <w:t xml:space="preserve">National guideline clearinghouse</w:t>
      </w:r>
    </w:p>
    <w:p>
      <w:pPr>
        <w:pStyle w:val="Compact"/>
        <w:numPr>
          <w:numId w:val="1054"/>
          <w:ilvl w:val="2"/>
        </w:numPr>
      </w:pPr>
      <w:r>
        <w:t xml:space="preserve">Guideline international network</w:t>
      </w:r>
    </w:p>
    <w:p>
      <w:pPr>
        <w:pStyle w:val="Compact"/>
        <w:numPr>
          <w:numId w:val="1054"/>
          <w:ilvl w:val="2"/>
        </w:numPr>
      </w:pPr>
      <w:r>
        <w:t xml:space="preserve">Pubmed</w:t>
      </w:r>
    </w:p>
    <w:p>
      <w:pPr>
        <w:pStyle w:val="Compact"/>
        <w:numPr>
          <w:numId w:val="1054"/>
          <w:ilvl w:val="2"/>
        </w:numPr>
      </w:pPr>
      <w:r>
        <w:t xml:space="preserve">Google search</w:t>
      </w:r>
    </w:p>
    <w:p>
      <w:pPr>
        <w:pStyle w:val="Compact"/>
        <w:numPr>
          <w:numId w:val="1054"/>
          <w:ilvl w:val="2"/>
        </w:numPr>
      </w:pPr>
      <w:r>
        <w:t xml:space="preserve">KoMGI</w:t>
      </w:r>
    </w:p>
    <w:p>
      <w:pPr>
        <w:pStyle w:val="Compact"/>
        <w:numPr>
          <w:numId w:val="1054"/>
          <w:ilvl w:val="2"/>
        </w:numPr>
      </w:pPr>
      <w:r>
        <w:t xml:space="preserve">KoreaMed - KMBASE</w:t>
      </w:r>
    </w:p>
    <w:p>
      <w:pPr>
        <w:pStyle w:val="Compact"/>
        <w:numPr>
          <w:numId w:val="1052"/>
          <w:ilvl w:val="0"/>
        </w:numPr>
      </w:pPr>
      <w:r>
        <w:t xml:space="preserve">근거검색</w:t>
      </w:r>
    </w:p>
    <w:p>
      <w:pPr>
        <w:pStyle w:val="Compact"/>
        <w:numPr>
          <w:numId w:val="1055"/>
          <w:ilvl w:val="1"/>
        </w:numPr>
      </w:pPr>
      <w:r>
        <w:t xml:space="preserve">검색원</w:t>
      </w:r>
    </w:p>
    <w:p>
      <w:pPr>
        <w:pStyle w:val="Compact"/>
        <w:numPr>
          <w:numId w:val="1056"/>
          <w:ilvl w:val="2"/>
        </w:numPr>
      </w:pPr>
      <w:r>
        <w:t xml:space="preserve">전자문헌검색: 상기 + Ovid DB(MEDLINE/EMBASE) Cochrane library</w:t>
      </w:r>
    </w:p>
    <w:p>
      <w:pPr>
        <w:pStyle w:val="Compact"/>
        <w:numPr>
          <w:numId w:val="1056"/>
          <w:ilvl w:val="2"/>
        </w:numPr>
      </w:pPr>
      <w:r>
        <w:t xml:space="preserve">수기검색 (gray literature)</w:t>
      </w:r>
    </w:p>
    <w:p>
      <w:pPr>
        <w:pStyle w:val="Compact"/>
        <w:numPr>
          <w:numId w:val="1052"/>
          <w:ilvl w:val="0"/>
        </w:numPr>
      </w:pPr>
      <w:r>
        <w:t xml:space="preserve">검색 결과</w:t>
      </w:r>
    </w:p>
    <w:p>
      <w:pPr>
        <w:pStyle w:val="Compact"/>
        <w:numPr>
          <w:numId w:val="1057"/>
          <w:ilvl w:val="1"/>
        </w:numPr>
      </w:pPr>
      <w:hyperlink r:id="rId85">
        <w:r>
          <w:rPr>
            <w:rStyle w:val="Hyperlink"/>
          </w:rPr>
          <w:t xml:space="preserve">최신성 검색</w:t>
        </w:r>
      </w:hyperlink>
      <w:r>
        <w:t xml:space="preserve">: online only material</w:t>
      </w:r>
    </w:p>
    <w:p>
      <w:pPr>
        <w:pStyle w:val="Compact"/>
        <w:numPr>
          <w:numId w:val="1058"/>
          <w:ilvl w:val="2"/>
        </w:numPr>
      </w:pPr>
      <w:r>
        <w:t xml:space="preserve">2012-2017년 10월까지 검색어, 검색결과</w:t>
      </w:r>
    </w:p>
    <w:p>
      <w:pPr>
        <w:pStyle w:val="Heading2"/>
      </w:pPr>
      <w:bookmarkStart w:id="86" w:name="section-55"/>
      <w:r>
        <w:t xml:space="preserve">검색된 진료지침및 연구결과 선별</w:t>
      </w:r>
      <w:bookmarkEnd w:id="86"/>
    </w:p>
    <w:p>
      <w:pPr>
        <w:pStyle w:val="Compact"/>
        <w:numPr>
          <w:numId w:val="1059"/>
          <w:ilvl w:val="0"/>
        </w:numPr>
      </w:pPr>
      <w:r>
        <w:t xml:space="preserve">선정 기준</w:t>
      </w:r>
    </w:p>
    <w:p>
      <w:pPr>
        <w:pStyle w:val="Compact"/>
        <w:numPr>
          <w:numId w:val="1060"/>
          <w:ilvl w:val="1"/>
        </w:numPr>
      </w:pPr>
      <w:r>
        <w:t xml:space="preserve">핵실질문과 일치하는 PICO를 포함</w:t>
      </w:r>
    </w:p>
    <w:p>
      <w:pPr>
        <w:pStyle w:val="Compact"/>
        <w:numPr>
          <w:numId w:val="1060"/>
          <w:ilvl w:val="1"/>
        </w:numPr>
      </w:pPr>
      <w:r>
        <w:t xml:space="preserve">동료검토가 이루어 진것</w:t>
      </w:r>
    </w:p>
    <w:p>
      <w:pPr>
        <w:pStyle w:val="Compact"/>
        <w:numPr>
          <w:numId w:val="1060"/>
          <w:ilvl w:val="1"/>
        </w:numPr>
      </w:pPr>
      <w:r>
        <w:t xml:space="preserve">한국어 또는 영어로 출판된 것</w:t>
      </w:r>
    </w:p>
    <w:p>
      <w:pPr>
        <w:pStyle w:val="Compact"/>
        <w:numPr>
          <w:numId w:val="1060"/>
          <w:ilvl w:val="1"/>
        </w:numPr>
      </w:pPr>
      <w:r>
        <w:t xml:space="preserve">근거기반 방법론을 사용한 것</w:t>
      </w:r>
    </w:p>
    <w:p>
      <w:pPr>
        <w:pStyle w:val="Compact"/>
        <w:numPr>
          <w:numId w:val="1060"/>
          <w:ilvl w:val="1"/>
        </w:numPr>
      </w:pPr>
      <w:r>
        <w:t xml:space="preserve">2012년 이후 출판</w:t>
      </w:r>
    </w:p>
    <w:p>
      <w:pPr>
        <w:pStyle w:val="Heading2"/>
      </w:pPr>
      <w:bookmarkStart w:id="87" w:name="section-56"/>
      <w:r>
        <w:t xml:space="preserve">검색된 진료지침및 연구결과 평가</w:t>
      </w:r>
      <w:bookmarkEnd w:id="87"/>
    </w:p>
    <w:p>
      <w:pPr>
        <w:pStyle w:val="Compact"/>
        <w:numPr>
          <w:numId w:val="1061"/>
          <w:ilvl w:val="0"/>
        </w:numPr>
      </w:pPr>
      <w:r>
        <w:t xml:space="preserve">진료지침은 AGREE-II를 이용하여 평가.</w:t>
      </w:r>
    </w:p>
    <w:p>
      <w:pPr>
        <w:pStyle w:val="Compact"/>
        <w:numPr>
          <w:numId w:val="1061"/>
          <w:ilvl w:val="0"/>
        </w:numPr>
      </w:pPr>
      <w:r>
        <w:t xml:space="preserve">진료지침만으로 핵심질문을 답하는데 충분하지 않으면 체계적 문헌고찰, 무작위비교임상시험, 관찰연구등 순으로 추가 자료에 대해 질평가를 시행하고 근거표를 작성하였음.</w:t>
      </w:r>
    </w:p>
    <w:p>
      <w:pPr>
        <w:pStyle w:val="Heading2"/>
      </w:pPr>
      <w:bookmarkStart w:id="88" w:name="section-57"/>
      <w:r>
        <w:t xml:space="preserve">권고문 합의및 권고등급 결정</w:t>
      </w:r>
      <w:bookmarkEnd w:id="88"/>
    </w:p>
    <w:p>
      <w:pPr>
        <w:pStyle w:val="Heading3"/>
      </w:pPr>
      <w:bookmarkStart w:id="89" w:name="grade--"/>
      <w:r>
        <w:t xml:space="preserve">근거수준과 권고등급의 평가: GRADE 방식 사용</w:t>
      </w:r>
      <w:bookmarkEnd w:id="89"/>
    </w:p>
    <w:p>
      <w:pPr>
        <w:pStyle w:val="Heading4"/>
      </w:pPr>
      <w:bookmarkStart w:id="90" w:name="section-58"/>
      <w:r>
        <w:t xml:space="preserve">근거수준</w:t>
      </w:r>
      <w:bookmarkEnd w:id="90"/>
    </w:p>
    <w:p>
      <w:pPr>
        <w:pStyle w:val="FirstParagraph"/>
      </w:pPr>
      <w:r>
        <w:t xml:space="preserve">근거수준(level of evidence)는 현재까지의 근거를 바탕으로 특정 중재의 효과에 대해 확신하는 정도를 말한다.</w:t>
      </w:r>
    </w:p>
    <w:p>
      <w:pPr>
        <w:pStyle w:val="BodyText"/>
      </w:pPr>
      <w:r>
        <w:t xml:space="preserve">본 지침에서는 GRADE방식을 수정차용하여 아래와 같이 평가하였다.</w:t>
      </w:r>
    </w:p>
    <w:p>
      <w:pPr>
        <w:pStyle w:val="Compact"/>
        <w:numPr>
          <w:numId w:val="1062"/>
          <w:ilvl w:val="0"/>
        </w:numPr>
      </w:pPr>
      <w:r>
        <w:rPr>
          <w:b/>
        </w:rPr>
        <w:t xml:space="preserve">높음</w:t>
      </w:r>
      <w:r>
        <w:t xml:space="preserve">: 추정된 효과가 실제효과와 비슷할 것이라고 매우 확신한다.</w:t>
      </w:r>
    </w:p>
    <w:p>
      <w:pPr>
        <w:pStyle w:val="Compact"/>
        <w:numPr>
          <w:numId w:val="1062"/>
          <w:ilvl w:val="0"/>
        </w:numPr>
      </w:pPr>
      <w:r>
        <w:rPr>
          <w:b/>
        </w:rPr>
        <w:t xml:space="preserve">보통</w:t>
      </w:r>
      <w:r>
        <w:t xml:space="preserve">: 추정된 효과가 실제 효과와 근접할 것이라고 확인한다. 하지만 상당히 다를 수 있는 가능성도 있다.</w:t>
      </w:r>
    </w:p>
    <w:p>
      <w:pPr>
        <w:pStyle w:val="Compact"/>
        <w:numPr>
          <w:numId w:val="1062"/>
          <w:ilvl w:val="0"/>
        </w:numPr>
      </w:pPr>
      <w:r>
        <w:rPr>
          <w:b/>
        </w:rPr>
        <w:t xml:space="preserve">낮음</w:t>
      </w:r>
      <w:r>
        <w:t xml:space="preserve">: 추정된 효과는 실제효과와 아마도 상당히 다를지 모른다.</w:t>
      </w:r>
    </w:p>
    <w:p>
      <w:pPr>
        <w:pStyle w:val="Compact"/>
        <w:numPr>
          <w:numId w:val="1062"/>
          <w:ilvl w:val="0"/>
        </w:numPr>
      </w:pPr>
      <w:r>
        <w:rPr>
          <w:b/>
        </w:rPr>
        <w:t xml:space="preserve">매우 낮음</w:t>
      </w:r>
      <w:r>
        <w:t xml:space="preserve">: 추정된 효과는 실제효과에 상당히 다를 가능성이 있다.</w:t>
      </w:r>
    </w:p>
    <w:p>
      <w:pPr>
        <w:pStyle w:val="Compact"/>
        <w:numPr>
          <w:numId w:val="1062"/>
          <w:ilvl w:val="0"/>
        </w:numPr>
      </w:pPr>
      <w:r>
        <w:rPr>
          <w:b/>
        </w:rPr>
        <w:t xml:space="preserve">전문가 의견</w:t>
      </w:r>
      <w:r>
        <w:t xml:space="preserve">: 기존 근거가 별로 없으나 본 위원회 전문가의 공식적 합의 절차를 거쳐 현재 수준에서 임상적 적용을 하기에 적절함.</w:t>
      </w:r>
    </w:p>
    <w:p>
      <w:pPr>
        <w:pStyle w:val="Heading4"/>
      </w:pPr>
      <w:bookmarkStart w:id="91" w:name="section-59"/>
      <w:r>
        <w:t xml:space="preserve">권고등급</w:t>
      </w:r>
      <w:bookmarkEnd w:id="91"/>
    </w:p>
    <w:p>
      <w:pPr>
        <w:pStyle w:val="FirstParagraph"/>
      </w:pPr>
      <w:r>
        <w:t xml:space="preserve">권고등급(strength of recommendation)ʼ이란</w:t>
      </w:r>
      <w:r>
        <w:t xml:space="preserve"> </w:t>
      </w:r>
      <w:r>
        <w:t xml:space="preserve">권고 대상 환자에게 해당 중재를 시행하였을 때 위해(harm)보다 이득 (benefit)이 더 클 것으로 혹은 작을 것으로 확신하는 정도를 말한다.</w:t>
      </w:r>
      <w:r>
        <w:t xml:space="preserve"> </w:t>
      </w:r>
      <w:r>
        <w:t xml:space="preserve">권고등급은 일반적으로</w:t>
      </w:r>
    </w:p>
    <w:p>
      <w:pPr>
        <w:pStyle w:val="Compact"/>
        <w:numPr>
          <w:numId w:val="1063"/>
          <w:ilvl w:val="0"/>
        </w:numPr>
      </w:pPr>
      <w:r>
        <w:t xml:space="preserve">근거수준,</w:t>
      </w:r>
    </w:p>
    <w:p>
      <w:pPr>
        <w:pStyle w:val="Compact"/>
        <w:numPr>
          <w:numId w:val="1063"/>
          <w:ilvl w:val="0"/>
        </w:numPr>
      </w:pPr>
      <w:r>
        <w:t xml:space="preserve">효과 크기(이득과 위해의 저울질)</w:t>
      </w:r>
    </w:p>
    <w:p>
      <w:pPr>
        <w:pStyle w:val="Compact"/>
        <w:numPr>
          <w:numId w:val="1063"/>
          <w:ilvl w:val="0"/>
        </w:numPr>
      </w:pPr>
      <w:r>
        <w:t xml:space="preserve">가치와 선호도,</w:t>
      </w:r>
    </w:p>
    <w:p>
      <w:pPr>
        <w:pStyle w:val="Compact"/>
        <w:numPr>
          <w:numId w:val="1063"/>
          <w:ilvl w:val="0"/>
        </w:numPr>
      </w:pPr>
      <w:r>
        <w:t xml:space="preserve">자원이용(비용)</w:t>
      </w:r>
    </w:p>
    <w:p>
      <w:pPr>
        <w:pStyle w:val="FirstParagraph"/>
      </w:pPr>
      <w:r>
        <w:t xml:space="preserve">의 네 가지를 고려하여 결정한다.</w:t>
      </w:r>
    </w:p>
    <w:p>
      <w:pPr>
        <w:pStyle w:val="BodyText"/>
      </w:pPr>
      <w:r>
        <w:t xml:space="preserve">본 지침에서는 Tools for GRADE를 사용하여 아래와 같이 평가하였다.</w:t>
      </w:r>
    </w:p>
    <w:p>
      <w:pPr>
        <w:pStyle w:val="Compact"/>
        <w:numPr>
          <w:numId w:val="1064"/>
          <w:ilvl w:val="0"/>
        </w:numPr>
      </w:pPr>
      <w:r>
        <w:rPr>
          <w:b/>
        </w:rPr>
        <w:t xml:space="preserve">Strong for</w:t>
      </w:r>
      <w:r>
        <w:t xml:space="preserve">: 강하게 권고,</w:t>
      </w:r>
      <w:r>
        <w:t xml:space="preserve"> </w:t>
      </w:r>
      <w:r>
        <w:t xml:space="preserve">“</w:t>
      </w:r>
      <w:r>
        <w:t xml:space="preserve">사용하는 것을 권고한다.</w:t>
      </w:r>
      <w:r>
        <w:t xml:space="preserve">”</w:t>
      </w:r>
    </w:p>
    <w:p>
      <w:pPr>
        <w:pStyle w:val="Compact"/>
        <w:numPr>
          <w:numId w:val="1064"/>
          <w:ilvl w:val="0"/>
        </w:numPr>
      </w:pPr>
      <w:r>
        <w:rPr>
          <w:b/>
        </w:rPr>
        <w:t xml:space="preserve">Weak for</w:t>
      </w:r>
      <w:r>
        <w:t xml:space="preserve">: 약하게 권고,</w:t>
      </w:r>
      <w:r>
        <w:t xml:space="preserve"> </w:t>
      </w:r>
      <w:r>
        <w:t xml:space="preserve">“</w:t>
      </w:r>
      <w:r>
        <w:t xml:space="preserve">사용하는 것을 고려할 수 있다.</w:t>
      </w:r>
      <w:r>
        <w:t xml:space="preserve">”</w:t>
      </w:r>
    </w:p>
    <w:p>
      <w:pPr>
        <w:pStyle w:val="Compact"/>
        <w:numPr>
          <w:numId w:val="1064"/>
          <w:ilvl w:val="0"/>
        </w:numPr>
      </w:pPr>
      <w:r>
        <w:rPr>
          <w:b/>
        </w:rPr>
        <w:t xml:space="preserve">Weak against</w:t>
      </w:r>
      <w:r>
        <w:t xml:space="preserve">: 약하게 권고하지 않음,</w:t>
      </w:r>
      <w:r>
        <w:t xml:space="preserve"> </w:t>
      </w:r>
      <w:r>
        <w:t xml:space="preserve">“</w:t>
      </w:r>
      <w:r>
        <w:t xml:space="preserve">사용하지 않을 것을 제안한다.</w:t>
      </w:r>
      <w:r>
        <w:t xml:space="preserve">”</w:t>
      </w:r>
    </w:p>
    <w:p>
      <w:pPr>
        <w:pStyle w:val="Compact"/>
        <w:numPr>
          <w:numId w:val="1064"/>
          <w:ilvl w:val="0"/>
        </w:numPr>
      </w:pPr>
      <w:r>
        <w:rPr>
          <w:b/>
        </w:rPr>
        <w:t xml:space="preserve">Strong against</w:t>
      </w:r>
      <w:r>
        <w:t xml:space="preserve">: 강하게 권고하지 않음,</w:t>
      </w:r>
      <w:r>
        <w:t xml:space="preserve"> </w:t>
      </w:r>
      <w:r>
        <w:t xml:space="preserve">“</w:t>
      </w:r>
      <w:r>
        <w:t xml:space="preserve">사용하지 않을 것을 권고한다.</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02"/>
          <w:ilvl w:val="0"/>
        </w:numPr>
      </w:pPr>
      <w:r>
        <w:t xml:space="preserve">두통 때문에 학교나 직장을 결석 또는 결근(조퇴 또는 양호실에서 휴식)한 적이 있다.</w:t>
      </w:r>
    </w:p>
    <w:p>
      <w:pPr>
        <w:pStyle w:val="Compact"/>
        <w:pStyle w:val="FootnoteText"/>
        <w:numPr>
          <w:numId w:val="1002"/>
          <w:ilvl w:val="0"/>
        </w:numPr>
      </w:pPr>
      <w:r>
        <w:t xml:space="preserve">두통 때문에 학교나 직장에서 학습능률 또는 업무능력이 절반 이하로 감소한 적이 있다.</w:t>
      </w:r>
    </w:p>
    <w:p>
      <w:pPr>
        <w:pStyle w:val="Compact"/>
        <w:pStyle w:val="FootnoteText"/>
        <w:numPr>
          <w:numId w:val="1002"/>
          <w:ilvl w:val="0"/>
        </w:numPr>
      </w:pPr>
      <w:r>
        <w:t xml:space="preserve">학교나 직장을 다니지 않는 경우(예: 가정주부, 휴직 또는 퇴직), 두통 때문에 가사를 할 수 없었던 적이 있다.</w:t>
      </w:r>
    </w:p>
    <w:p>
      <w:pPr>
        <w:pStyle w:val="Compact"/>
        <w:pStyle w:val="FootnoteText"/>
        <w:numPr>
          <w:numId w:val="1002"/>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02"/>
          <w:ilvl w:val="0"/>
        </w:numPr>
      </w:pPr>
      <w:r>
        <w:t xml:space="preserve">두통 때문에 공휴일이나 근무시간 외에 가족활동, 사회활동, 또는 여가활동을 참여하지 못했거나 하였더라도 절반 이상의 불편함을 느낀 적이 있다.</w:t>
      </w:r>
    </w:p>
  </w:footnote>
  <w:footnote w:id="25">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 w:id="31">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10"/>
          <w:ilvl w:val="0"/>
        </w:numPr>
      </w:pPr>
      <w:r>
        <w:t xml:space="preserve">두통 때문에 학교나 직장을 결석 또는 결근(조퇴 또는 양호실에서 휴식)한 적이 있다.</w:t>
      </w:r>
    </w:p>
    <w:p>
      <w:pPr>
        <w:pStyle w:val="Compact"/>
        <w:pStyle w:val="FootnoteText"/>
        <w:numPr>
          <w:numId w:val="1010"/>
          <w:ilvl w:val="0"/>
        </w:numPr>
      </w:pPr>
      <w:r>
        <w:t xml:space="preserve">두통 때문에 학교나 직장에서 학습능률 또는 업무능력이 절반 이하로 감소한 적이 있다.</w:t>
      </w:r>
    </w:p>
    <w:p>
      <w:pPr>
        <w:pStyle w:val="Compact"/>
        <w:pStyle w:val="FootnoteText"/>
        <w:numPr>
          <w:numId w:val="1010"/>
          <w:ilvl w:val="0"/>
        </w:numPr>
      </w:pPr>
      <w:r>
        <w:t xml:space="preserve">학교나 직장을 다니지 않는 경우(예: 가정주부, 휴직 또는 퇴직), 두통 때문에 가사를 할 수 없었던 적이 있다.</w:t>
      </w:r>
    </w:p>
    <w:p>
      <w:pPr>
        <w:pStyle w:val="Compact"/>
        <w:pStyle w:val="FootnoteText"/>
        <w:numPr>
          <w:numId w:val="1010"/>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10"/>
          <w:ilvl w:val="0"/>
        </w:numPr>
      </w:pPr>
      <w:r>
        <w:t xml:space="preserve">두통 때문에 공휴일이나 근무시간 외에 가족활동, 사회활동, 또는 여가활동을 참여하지 못했거나 하였더라도 절반 이상의 불편함을 느낀 적이 있다.</w:t>
      </w:r>
    </w:p>
  </w:footnote>
  <w:footnote w:id="32">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4" Target="media/rId84.png" /><Relationship Type="http://schemas.openxmlformats.org/officeDocument/2006/relationships/hyperlink" Id="rId43" Target="doi:10.1136/bmj.c5222" TargetMode="External" /><Relationship Type="http://schemas.openxmlformats.org/officeDocument/2006/relationships/hyperlink" Id="rId85" Target="static/SearchingResult_%20201710.pdf" TargetMode="External" /></Relationships>
</file>

<file path=word/_rels/footnotes.xml.rels><?xml version="1.0" encoding="UTF-8"?>
<Relationships xmlns="http://schemas.openxmlformats.org/package/2006/relationships"><Relationship Type="http://schemas.openxmlformats.org/officeDocument/2006/relationships/hyperlink" Id="rId43" Target="doi:10.1136/bmj.c5222" TargetMode="External" /><Relationship Type="http://schemas.openxmlformats.org/officeDocument/2006/relationships/hyperlink" Id="rId85" Target="static/SearchingResult_%2020171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2019-07-15T16:06:01Z</dcterms:created>
  <dcterms:modified xsi:type="dcterms:W3CDTF">2019-07-15T16:06:01Z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ver-image">
    <vt:lpwstr>static/KHS_guideline_cover.pdf</vt:lpwstr>
  </property>
  <property fmtid="{D5CDD505-2E9C-101B-9397-08002B2CF9AE}" pid="5" name="date">
    <vt:lpwstr>2019-07-16</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mainfont">
    <vt:lpwstr>NanumGothic</vt:lpwstr>
  </property>
  <property fmtid="{D5CDD505-2E9C-101B-9397-08002B2CF9AE}" pid="10" name="output">
    <vt:lpwstr>bookdown::word_document2</vt:lpwstr>
  </property>
  <property fmtid="{D5CDD505-2E9C-101B-9397-08002B2CF9AE}" pid="11" name="site">
    <vt:lpwstr>bookdown::bookdown_site</vt:lpwstr>
  </property>
</Properties>
</file>