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2019-06-25</w:t>
      </w:r>
    </w:p>
    <w:p>
      <w:pPr>
        <w:pStyle w:val="Heading1"/>
      </w:pPr>
      <w:bookmarkStart w:id="20" w:name="section"/>
      <w:r>
        <w:t xml:space="preserve">머리말</w:t>
      </w:r>
      <w:bookmarkEnd w:id="20"/>
    </w:p>
    <w:p>
      <w:pPr>
        <w:pStyle w:val="Heading1"/>
      </w:pPr>
      <w:bookmarkStart w:id="21" w:name="section-1"/>
      <w:r>
        <w:t xml:space="preserve">발간사</w:t>
      </w:r>
      <w:bookmarkEnd w:id="21"/>
    </w:p>
    <w:p>
      <w:pPr>
        <w:pStyle w:val="Heading3"/>
      </w:pPr>
      <w:bookmarkStart w:id="22" w:name="section-2"/>
      <w:r>
        <w:t xml:space="preserve">“</w:t>
      </w:r>
      <w:r>
        <w:t xml:space="preserve">삽화편두통 예방치료약물</w:t>
      </w:r>
      <w:r>
        <w:t xml:space="preserve">”</w:t>
      </w:r>
      <w:r>
        <w:t xml:space="preserve">에 대한 임상진료지침 발간을 축하하며</w:t>
      </w:r>
      <w:bookmarkEnd w:id="22"/>
    </w:p>
    <w:p>
      <w:pPr>
        <w:pStyle w:val="FirstParagraph"/>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t xml:space="preserve">대한두통학회 회장 김병건</w:t>
      </w:r>
    </w:p>
    <w:p>
      <w:pPr>
        <w:pStyle w:val="Heading1"/>
      </w:pPr>
      <w:bookmarkStart w:id="23" w:name="section-3"/>
      <w:r>
        <w:t xml:space="preserve">간행사</w:t>
      </w:r>
      <w:bookmarkEnd w:id="23"/>
    </w:p>
    <w:p>
      <w:pPr>
        <w:pStyle w:val="FirstParagraph"/>
      </w:pPr>
      <w:r>
        <w:t xml:space="preserve">정재면 위원장님</w:t>
      </w:r>
    </w:p>
    <w:p>
      <w:pPr>
        <w:pStyle w:val="Heading1"/>
      </w:pPr>
      <w:bookmarkStart w:id="24" w:name="section-4"/>
      <w:r>
        <w:t xml:space="preserve">요약</w:t>
      </w:r>
      <w:bookmarkEnd w:id="24"/>
    </w:p>
    <w:p>
      <w:pPr>
        <w:pStyle w:val="Heading2"/>
      </w:pPr>
      <w:bookmarkStart w:id="25" w:name="section-5"/>
      <w:r>
        <w:t xml:space="preserve">핵심질문과 권고사항</w:t>
      </w:r>
      <w:bookmarkEnd w:id="25"/>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6"/>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7"/>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Heading2"/>
      </w:pPr>
      <w:bookmarkStart w:id="28" w:name="section-6"/>
      <w:r>
        <w:t xml:space="preserve">약물별 권고수준</w:t>
      </w:r>
      <w:bookmarkEnd w:id="28"/>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9" w:name="section-7"/>
      <w:r>
        <w:t xml:space="preserve">개요</w:t>
      </w:r>
      <w:bookmarkEnd w:id="29"/>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30" w:name="section-8"/>
      <w:r>
        <w:t xml:space="preserve">각론</w:t>
      </w:r>
      <w:bookmarkEnd w:id="30"/>
    </w:p>
    <w:p>
      <w:pPr>
        <w:pStyle w:val="Heading2"/>
      </w:pPr>
      <w:bookmarkStart w:id="31" w:name="section-9"/>
      <w:r>
        <w:t xml:space="preserve">핵심질문 1.</w:t>
      </w:r>
      <w:bookmarkEnd w:id="31"/>
    </w:p>
    <w:p>
      <w:pPr>
        <w:pStyle w:val="Heading4"/>
      </w:pPr>
      <w:bookmarkStart w:id="32" w:name="section-10"/>
      <w:r>
        <w:t xml:space="preserve">성인 삽화편두통 환자에서 예방치료를 고려해야 하는 요인들(두통빈도, 두통강도, 환자의 선호도, 일상생활에 대한 영향 등)은 무엇인가?</w:t>
      </w:r>
      <w:bookmarkEnd w:id="32"/>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3"/>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4"/>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5" w:name="section-11"/>
      <w:r>
        <w:t xml:space="preserve">핵심질문 2.</w:t>
      </w:r>
      <w:bookmarkEnd w:id="35"/>
    </w:p>
    <w:p>
      <w:pPr>
        <w:pStyle w:val="Heading4"/>
      </w:pPr>
      <w:bookmarkStart w:id="36" w:name="section-12"/>
      <w:r>
        <w:t xml:space="preserve">성인 삽화편두통 환자에서 예방치료의 중단은 어떻게 결정해야 하는가?</w:t>
      </w:r>
      <w:bookmarkEnd w:id="36"/>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7" w:name="section-13"/>
      <w:r>
        <w:t xml:space="preserve">핵심질문 3.</w:t>
      </w:r>
      <w:bookmarkEnd w:id="37"/>
    </w:p>
    <w:p>
      <w:pPr>
        <w:pStyle w:val="Heading4"/>
      </w:pPr>
      <w:bookmarkStart w:id="38" w:name="section-14"/>
      <w:r>
        <w:t xml:space="preserve">성인 삽화편두통 환자에서 예방치료로 베타차단제를 사용하는 것이 타약제, 위약 또는 치료하지 않는 것에 비해 두통의 완화에 효과적인가?</w:t>
      </w:r>
      <w:bookmarkEnd w:id="38"/>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나돌롤을 제외한 베타차단제는 현재 보험급여 인정기준에 편두통이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9" w:name="section-15"/>
      <w:r>
        <w:t xml:space="preserve">핵심질문 4.</w:t>
      </w:r>
      <w:bookmarkEnd w:id="39"/>
    </w:p>
    <w:p>
      <w:pPr>
        <w:pStyle w:val="Heading4"/>
      </w:pPr>
      <w:bookmarkStart w:id="40" w:name="section-16"/>
      <w:r>
        <w:t xml:space="preserve">성인 삽화편두통 환자에서 예방치료로 칼슘통로차단제를 사용하는 것이 타약제, 위약 또는 치료하지 않는 것에 비해 두통의 완화에 효과적인가?</w:t>
      </w:r>
      <w:bookmarkEnd w:id="40"/>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1" w:name="section-17"/>
      <w:r>
        <w:t xml:space="preserve">핵심질문 5.</w:t>
      </w:r>
      <w:bookmarkEnd w:id="41"/>
    </w:p>
    <w:p>
      <w:pPr>
        <w:pStyle w:val="Heading4"/>
      </w:pPr>
      <w:bookmarkStart w:id="42"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2"/>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3" w:name="section-18"/>
      <w:r>
        <w:t xml:space="preserve">핵심질문 6.</w:t>
      </w:r>
      <w:bookmarkEnd w:id="43"/>
    </w:p>
    <w:p>
      <w:pPr>
        <w:pStyle w:val="Heading4"/>
      </w:pPr>
      <w:bookmarkStart w:id="44" w:name="section-19"/>
      <w:r>
        <w:t xml:space="preserve">성인 삽화편두통 환자에서 예방치료로 항우울제를 사용하는 것이 타약제, 위약 또는 치료하지 않는 것에 비해 두통의 완화에 효과적인가?</w:t>
      </w:r>
      <w:bookmarkEnd w:id="44"/>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5">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6" w:name="section-20"/>
      <w:r>
        <w:t xml:space="preserve">핵심질문 7.</w:t>
      </w:r>
      <w:bookmarkEnd w:id="46"/>
    </w:p>
    <w:p>
      <w:pPr>
        <w:pStyle w:val="Heading4"/>
      </w:pPr>
      <w:bookmarkStart w:id="47" w:name="section-21"/>
      <w:r>
        <w:t xml:space="preserve">성인 삽화편두통 환자에서 예방치료로 뇌전증약을 사용하는 것이 타약제, 위약 또는 치료하지 않는 것에 비해 두통의 완화에 효과적인가?</w:t>
      </w:r>
      <w:bookmarkEnd w:id="47"/>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디발프로엑스나트륨을 제외한 발프로산, 가바펜틴, 레베티라세탐, 조니사미드는 현재 보험급여 인정기준에 편두통이 포함되지 않고 있다.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8" w:name="appendix"/>
      <w:r>
        <w:t xml:space="preserve">Appendix</w:t>
      </w:r>
      <w:bookmarkEnd w:id="48"/>
    </w:p>
    <w:p>
      <w:pPr>
        <w:pStyle w:val="Heading1"/>
      </w:pPr>
      <w:bookmarkStart w:id="49" w:name="section-22"/>
      <w:r>
        <w:t xml:space="preserve">두통 일기</w:t>
      </w:r>
      <w:bookmarkEnd w:id="49"/>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50"/>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1" w:name="section-23"/>
      <w:r>
        <w:t xml:space="preserve">삽화편두통 예방약물의 용량, 부작용및 금기사항</w:t>
      </w:r>
      <w:bookmarkEnd w:id="51"/>
    </w:p>
    <w:p>
      <w:pPr>
        <w:pStyle w:val="Heading2"/>
      </w:pPr>
      <w:bookmarkStart w:id="52" w:name="section-24"/>
      <w:r>
        <w:t xml:space="preserve">일반적인 용량및 흔한 부작용</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구통,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구통,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초초</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어지증,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20-50mg b.i.d.</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3" w:name="section-25"/>
      <w:r>
        <w:t xml:space="preserve">금기사항</w:t>
      </w:r>
      <w:bookmarkEnd w:id="53"/>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4" w:name="section-26"/>
      <w:r>
        <w:t xml:space="preserve">편두통 진단기준</w:t>
      </w:r>
      <w:bookmarkEnd w:id="54"/>
    </w:p>
    <w:p>
      <w:pPr>
        <w:pStyle w:val="Heading3"/>
      </w:pPr>
      <w:bookmarkStart w:id="55" w:name="X22066c0a6513f4fd9c3b568f459b4ee1cdbe122"/>
      <w:r>
        <w:t xml:space="preserve">Korean Version of The International Classification of Headache Disorders, 3rd Edition</w:t>
      </w:r>
      <w:bookmarkEnd w:id="55"/>
    </w:p>
    <w:p>
      <w:pPr>
        <w:pStyle w:val="Heading2"/>
      </w:pPr>
      <w:bookmarkStart w:id="56" w:name="section-27"/>
      <w:r>
        <w:t xml:space="preserve">무조짐 편두통</w:t>
      </w:r>
      <w:bookmarkEnd w:id="56"/>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7" w:name="section-28"/>
      <w:r>
        <w:t xml:space="preserve">조짐 편두통</w:t>
      </w:r>
      <w:bookmarkEnd w:id="57"/>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8" w:name="section-29"/>
      <w:r>
        <w:t xml:space="preserve">지침 개발 과정</w:t>
      </w:r>
      <w:bookmarkEnd w:id="58"/>
    </w:p>
    <w:p>
      <w:pPr>
        <w:pStyle w:val="Heading2"/>
      </w:pPr>
      <w:bookmarkStart w:id="59" w:name="section-30"/>
      <w:r>
        <w:t xml:space="preserve">이해당사자의 참여</w:t>
      </w:r>
      <w:bookmarkEnd w:id="59"/>
    </w:p>
    <w:p>
      <w:pPr>
        <w:pStyle w:val="Heading3"/>
      </w:pPr>
      <w:bookmarkStart w:id="60" w:name="section-31"/>
      <w:r>
        <w:t xml:space="preserve">지침 제정 참여자및 역할</w:t>
      </w:r>
      <w:bookmarkEnd w:id="60"/>
    </w:p>
    <w:p>
      <w:pPr>
        <w:pStyle w:val="Heading4"/>
      </w:pPr>
      <w:bookmarkStart w:id="61" w:name="section-32"/>
      <w:r>
        <w:t xml:space="preserve">운영위원회</w:t>
      </w:r>
      <w:bookmarkEnd w:id="61"/>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2" w:name="section-33"/>
      <w:r>
        <w:t xml:space="preserve">자문위원회</w:t>
      </w:r>
      <w:bookmarkEnd w:id="62"/>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3" w:name="section-34"/>
      <w:r>
        <w:t xml:space="preserve">외부자문그룹</w:t>
      </w:r>
      <w:bookmarkEnd w:id="63"/>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4" w:name="section-35"/>
      <w:r>
        <w:t xml:space="preserve">실무위원회및 근거평가그룹</w:t>
      </w:r>
      <w:bookmarkEnd w:id="64"/>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5" w:name="section-36"/>
      <w:r>
        <w:t xml:space="preserve">이해관계 선언</w:t>
      </w:r>
      <w:bookmarkEnd w:id="65"/>
    </w:p>
    <w:p>
      <w:pPr>
        <w:pStyle w:val="FirstParagraph"/>
      </w:pPr>
      <w:r>
        <w:t xml:space="preserve">운영위원회및 실무위원회의 모든 위원은 자문료, 연구비, 지적재산권드의 재정적 이해상충, 지적이해상충, 그리고 개인적 이해상충을 문서로 공개하였다.</w:t>
      </w:r>
    </w:p>
    <w:p>
      <w:pPr>
        <w:pStyle w:val="Heading3"/>
      </w:pPr>
      <w:bookmarkStart w:id="66" w:name="section-37"/>
      <w:r>
        <w:t xml:space="preserve">운영</w:t>
      </w:r>
      <w:bookmarkEnd w:id="66"/>
    </w:p>
    <w:p>
      <w:pPr>
        <w:pStyle w:val="Heading4"/>
      </w:pPr>
      <w:bookmarkStart w:id="67" w:name="section-38"/>
      <w:r>
        <w:t xml:space="preserve">합의원칙의 결정</w:t>
      </w:r>
      <w:bookmarkEnd w:id="67"/>
    </w:p>
    <w:p>
      <w:pPr>
        <w:pStyle w:val="Compact"/>
        <w:numPr>
          <w:numId w:val="1036"/>
          <w:ilvl w:val="0"/>
        </w:numPr>
      </w:pPr>
      <w:r>
        <w:t xml:space="preserve">토론</w:t>
      </w:r>
    </w:p>
    <w:p>
      <w:pPr>
        <w:pStyle w:val="Heading4"/>
      </w:pPr>
      <w:bookmarkStart w:id="68" w:name="section-39"/>
      <w:r>
        <w:t xml:space="preserve">저자원칙의 결정</w:t>
      </w:r>
      <w:bookmarkEnd w:id="68"/>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9" w:name="section-40"/>
      <w:r>
        <w:t xml:space="preserve">지침이 다루는 인구 집단</w:t>
      </w:r>
      <w:bookmarkEnd w:id="69"/>
    </w:p>
    <w:p>
      <w:pPr>
        <w:pStyle w:val="FirstParagraph"/>
      </w:pPr>
      <w:r>
        <w:t xml:space="preserve">성인 삽화편두통 환자(남녀 모두, 동반질환 포함)</w:t>
      </w:r>
      <w:r>
        <w:t xml:space="preserve"> </w:t>
      </w:r>
      <w:r>
        <w:t xml:space="preserve">소아는 제외</w:t>
      </w:r>
      <w:r>
        <w:t xml:space="preserve"> </w:t>
      </w:r>
      <w:r>
        <w:t xml:space="preserve">만성편두통 환자 제외</w:t>
      </w:r>
    </w:p>
    <w:p>
      <w:pPr>
        <w:pStyle w:val="Heading2"/>
      </w:pPr>
      <w:bookmarkStart w:id="70" w:name="section-41"/>
      <w:r>
        <w:t xml:space="preserve">지침 사용 대상자</w:t>
      </w:r>
      <w:bookmarkEnd w:id="70"/>
    </w:p>
    <w:p>
      <w:pPr>
        <w:pStyle w:val="FirstParagraph"/>
      </w:pPr>
      <w:r>
        <w:t xml:space="preserve">국내에서 편두통 환자를 진료하는 모든 임상의사</w:t>
      </w:r>
    </w:p>
    <w:p>
      <w:pPr>
        <w:pStyle w:val="Heading2"/>
      </w:pPr>
      <w:bookmarkStart w:id="71" w:name="section-42"/>
      <w:r>
        <w:t xml:space="preserve">지침의 범위와 목적</w:t>
      </w:r>
      <w:bookmarkEnd w:id="71"/>
    </w:p>
    <w:p>
      <w:pPr>
        <w:pStyle w:val="FirstParagraph"/>
      </w:pPr>
      <w:r>
        <w:t xml:space="preserve">임상의사가 편두통 환자를 진료할 때 표준화된 삽화편두통 환자의 예방약물 사용을 제시한다.</w:t>
      </w:r>
    </w:p>
    <w:p>
      <w:pPr>
        <w:pStyle w:val="Heading2"/>
      </w:pPr>
      <w:bookmarkStart w:id="72" w:name="section-43"/>
      <w:r>
        <w:t xml:space="preserve">지침의 목적</w:t>
      </w:r>
      <w:bookmarkEnd w:id="72"/>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3" w:name="section-44"/>
      <w:r>
        <w:t xml:space="preserve">외부 검토</w:t>
      </w:r>
      <w:bookmarkEnd w:id="73"/>
    </w:p>
    <w:p>
      <w:pPr>
        <w:pStyle w:val="Heading3"/>
      </w:pPr>
      <w:bookmarkStart w:id="74" w:name="section-45"/>
      <w:r>
        <w:t xml:space="preserve">잠재적 승인기구</w:t>
      </w:r>
      <w:bookmarkEnd w:id="74"/>
    </w:p>
    <w:p>
      <w:pPr>
        <w:pStyle w:val="Compact"/>
        <w:numPr>
          <w:numId w:val="1038"/>
          <w:ilvl w:val="0"/>
        </w:numPr>
      </w:pPr>
      <w:r>
        <w:t xml:space="preserve">대한두통학회</w:t>
      </w:r>
    </w:p>
    <w:p>
      <w:pPr>
        <w:pStyle w:val="Compact"/>
        <w:numPr>
          <w:numId w:val="1038"/>
          <w:ilvl w:val="0"/>
        </w:numPr>
      </w:pPr>
      <w:r>
        <w:t xml:space="preserve">대한신경과학회</w:t>
      </w:r>
    </w:p>
    <w:p>
      <w:pPr>
        <w:pStyle w:val="Heading2"/>
      </w:pPr>
      <w:bookmarkStart w:id="75" w:name="section-46"/>
      <w:r>
        <w:t xml:space="preserve">보급전략</w:t>
      </w:r>
      <w:bookmarkEnd w:id="75"/>
    </w:p>
    <w:p>
      <w:pPr>
        <w:numPr>
          <w:numId w:val="1039"/>
          <w:ilvl w:val="0"/>
        </w:numPr>
      </w:pPr>
      <w:r>
        <w:t xml:space="preserve">대한두통학회와 대한신경과학회 홈페이지 게시</w:t>
      </w:r>
    </w:p>
    <w:p>
      <w:pPr>
        <w:numPr>
          <w:numId w:val="1039"/>
          <w:ilvl w:val="0"/>
        </w:numPr>
      </w:pPr>
      <w:r>
        <w:t xml:space="preserve">대한두통학회지와 대한신경과학회지에 게재</w:t>
      </w:r>
    </w:p>
    <w:p>
      <w:pPr>
        <w:numPr>
          <w:numId w:val="1039"/>
          <w:ilvl w:val="0"/>
        </w:numPr>
      </w:pPr>
      <w:r>
        <w:t xml:space="preserve">책으로 출판하여 학술대회에서 배포</w:t>
      </w:r>
    </w:p>
    <w:p>
      <w:pPr>
        <w:numPr>
          <w:numId w:val="1039"/>
          <w:ilvl w:val="0"/>
        </w:numPr>
      </w:pPr>
      <w:r>
        <w:t xml:space="preserve">Online book (gitbook)형태로도 게시</w:t>
      </w:r>
    </w:p>
    <w:p>
      <w:pPr>
        <w:pStyle w:val="Heading2"/>
      </w:pPr>
      <w:bookmarkStart w:id="76" w:name="section-47"/>
      <w:r>
        <w:t xml:space="preserve">갱신절차</w:t>
      </w:r>
      <w:bookmarkEnd w:id="76"/>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7" w:name="section-48"/>
      <w:r>
        <w:t xml:space="preserve">편집의 독립성과 재정</w:t>
      </w:r>
      <w:bookmarkEnd w:id="77"/>
    </w:p>
    <w:p>
      <w:pPr>
        <w:pStyle w:val="FirstParagraph"/>
      </w:pPr>
      <w:r>
        <w:t xml:space="preserve">대한두통학회 편두통질료지침위원 구성원들간에 이해상충이나 잠재적인 이해관계는 없었다. 또한, 대한신경과학회와 대한두통학회외의 기관이나 단체로부터 재정 지원을 받지 않았다.</w:t>
      </w:r>
    </w:p>
    <w:p>
      <w:pPr>
        <w:pStyle w:val="Heading1"/>
      </w:pPr>
      <w:bookmarkStart w:id="78" w:name="section-49"/>
      <w:r>
        <w:t xml:space="preserve">범위결정과 핵심질문</w:t>
      </w:r>
      <w:bookmarkEnd w:id="78"/>
    </w:p>
    <w:p>
      <w:pPr>
        <w:pStyle w:val="Heading2"/>
      </w:pPr>
      <w:bookmarkStart w:id="79" w:name="section-50"/>
      <w:r>
        <w:t xml:space="preserve">범위결정</w:t>
      </w:r>
      <w:bookmarkEnd w:id="79"/>
    </w:p>
    <w:p>
      <w:pPr>
        <w:numPr>
          <w:numId w:val="1040"/>
          <w:ilvl w:val="0"/>
        </w:numPr>
      </w:pPr>
      <w:r>
        <w:t xml:space="preserve">Population: Adult with frequent and/or moderate-to-severe episodic migraine</w:t>
      </w:r>
    </w:p>
    <w:p>
      <w:pPr>
        <w:numPr>
          <w:numId w:val="1040"/>
          <w:ilvl w:val="0"/>
        </w:numPr>
      </w:pPr>
      <w:r>
        <w:t xml:space="preserve">Intervention: Drug</w:t>
      </w:r>
    </w:p>
    <w:p>
      <w:pPr>
        <w:pStyle w:val="Compact"/>
        <w:numPr>
          <w:numId w:val="1041"/>
          <w:ilvl w:val="1"/>
        </w:numPr>
      </w:pPr>
      <w:r>
        <w:t xml:space="preserve">Anti-epileptic drug</w:t>
      </w:r>
    </w:p>
    <w:p>
      <w:pPr>
        <w:pStyle w:val="Compact"/>
        <w:numPr>
          <w:numId w:val="1041"/>
          <w:ilvl w:val="1"/>
        </w:numPr>
      </w:pPr>
      <w:r>
        <w:t xml:space="preserve">Beta blocker/CCB/ARB/ACE</w:t>
      </w:r>
    </w:p>
    <w:p>
      <w:pPr>
        <w:pStyle w:val="Compact"/>
        <w:numPr>
          <w:numId w:val="1041"/>
          <w:ilvl w:val="1"/>
        </w:numPr>
      </w:pPr>
      <w:r>
        <w:t xml:space="preserve">Anti-Depressant</w:t>
      </w:r>
    </w:p>
    <w:p>
      <w:pPr>
        <w:numPr>
          <w:numId w:val="1040"/>
          <w:ilvl w:val="0"/>
        </w:numPr>
      </w:pPr>
      <w:r>
        <w:t xml:space="preserve">Professional:</w:t>
      </w:r>
    </w:p>
    <w:p>
      <w:pPr>
        <w:pStyle w:val="Compact"/>
        <w:numPr>
          <w:numId w:val="1042"/>
          <w:ilvl w:val="1"/>
        </w:numPr>
      </w:pPr>
      <w:r>
        <w:t xml:space="preserve">Primary care physician, Nurse, and healthcare professionals</w:t>
      </w:r>
    </w:p>
    <w:p>
      <w:pPr>
        <w:numPr>
          <w:numId w:val="1040"/>
          <w:ilvl w:val="0"/>
        </w:numPr>
      </w:pPr>
      <w:r>
        <w:t xml:space="preserve">Outcome: The frequency of migraine prevention drug prescription as suggested</w:t>
      </w:r>
    </w:p>
    <w:p>
      <w:pPr>
        <w:numPr>
          <w:numId w:val="1040"/>
          <w:ilvl w:val="0"/>
        </w:numPr>
      </w:pPr>
      <w:r>
        <w:t xml:space="preserve">Healthcare setting: Primary care setting in Korea</w:t>
      </w:r>
    </w:p>
    <w:p>
      <w:pPr>
        <w:pStyle w:val="Heading2"/>
      </w:pPr>
      <w:bookmarkStart w:id="80" w:name="section-51"/>
      <w:r>
        <w:t xml:space="preserve">핵심질문</w:t>
      </w:r>
      <w:bookmarkEnd w:id="80"/>
    </w:p>
    <w:p>
      <w:pPr>
        <w:pStyle w:val="Heading3"/>
      </w:pPr>
      <w:bookmarkStart w:id="81" w:name="section-52"/>
      <w:r>
        <w:t xml:space="preserve">선정과정</w:t>
      </w:r>
      <w:bookmarkEnd w:id="81"/>
    </w:p>
    <w:p>
      <w:pPr>
        <w:numPr>
          <w:numId w:val="1043"/>
          <w:ilvl w:val="0"/>
        </w:numPr>
      </w:pPr>
      <w:r>
        <w:t xml:space="preserve">핵심질문 및 관련 검색어를 실무위원회에서 일차적으로 작성후 개발위원회에서 취합하여 검토 후 최종 선정하였다.</w:t>
      </w:r>
    </w:p>
    <w:p>
      <w:pPr>
        <w:numPr>
          <w:numId w:val="1043"/>
          <w:ilvl w:val="0"/>
        </w:numPr>
      </w:pPr>
      <w:r>
        <w:t xml:space="preserve">진료지침의 최종 권고안은 핵심질문을 기반으로 도출하였다.</w:t>
      </w:r>
    </w:p>
    <w:p>
      <w:pPr>
        <w:numPr>
          <w:numId w:val="1043"/>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4"/>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4"/>
          <w:ilvl w:val="1"/>
        </w:numPr>
      </w:pPr>
      <w:r>
        <w:t xml:space="preserve">중재법: 대상 중재법을 편두통 예방약물의 기전에 따라 5개의 군으로 정의하였다.</w:t>
      </w:r>
    </w:p>
    <w:p>
      <w:pPr>
        <w:pStyle w:val="Compact"/>
        <w:numPr>
          <w:numId w:val="1044"/>
          <w:ilvl w:val="1"/>
        </w:numPr>
      </w:pPr>
      <w:r>
        <w:t xml:space="preserve">비교 중재법: 편두통 예방약물의 효과를 판정하기 위해 위약의 효과와 비교하였다. 핵심질문에 따라 포함되지 않는 경우도 있었다.</w:t>
      </w:r>
    </w:p>
    <w:p>
      <w:pPr>
        <w:pStyle w:val="Compact"/>
        <w:numPr>
          <w:numId w:val="1044"/>
          <w:ilvl w:val="1"/>
        </w:numPr>
      </w:pPr>
      <w:r>
        <w:t xml:space="preserve">중재결과: 예방 치료의 목적 대상이 되는 해당 중재법의 임상적 주요 결과(두통 발작 일수의 감소, 강도의 감소) 등을 기술하였다.</w:t>
      </w:r>
    </w:p>
    <w:p>
      <w:pPr>
        <w:numPr>
          <w:numId w:val="1043"/>
          <w:ilvl w:val="0"/>
        </w:numPr>
      </w:pPr>
      <w:r>
        <w:t xml:space="preserve">검색어</w:t>
      </w:r>
    </w:p>
    <w:p>
      <w:pPr>
        <w:pStyle w:val="Compact"/>
        <w:numPr>
          <w:numId w:val="1045"/>
          <w:ilvl w:val="1"/>
        </w:numPr>
      </w:pPr>
      <w:r>
        <w:t xml:space="preserve">핵심질문의 PICO에 해당하는 영문 검색어를 정리하였다.</w:t>
      </w:r>
    </w:p>
    <w:p>
      <w:pPr>
        <w:pStyle w:val="Compact"/>
        <w:numPr>
          <w:numId w:val="1045"/>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2" w:name="section-53"/>
      <w:r>
        <w:t xml:space="preserve">최종 선정된 핵심질문</w:t>
      </w:r>
      <w:bookmarkEnd w:id="82"/>
    </w:p>
    <w:p>
      <w:pPr>
        <w:numPr>
          <w:numId w:val="1046"/>
          <w:ilvl w:val="0"/>
        </w:numPr>
      </w:pPr>
      <w:r>
        <w:t xml:space="preserve">Episodic migraine환자에서 예방치료를 고려해야 하는 요인들(두통빈도, 두 통강도, 환자의 선호도, ADL에 대한 영향 등)은 무엇인가?</w:t>
      </w:r>
    </w:p>
    <w:p>
      <w:pPr>
        <w:numPr>
          <w:numId w:val="1046"/>
          <w:ilvl w:val="0"/>
        </w:numPr>
      </w:pPr>
      <w:r>
        <w:t xml:space="preserve">예방치료를 진행중인 episodic migraine환자에서 치료의 중단은 어떻게 결 정해야 하는가?</w:t>
      </w:r>
    </w:p>
    <w:p>
      <w:pPr>
        <w:numPr>
          <w:numId w:val="1046"/>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6"/>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6"/>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6"/>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6"/>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3" w:name="section-54"/>
      <w:r>
        <w:t xml:space="preserve">개발의 엄격성</w:t>
      </w:r>
      <w:bookmarkEnd w:id="83"/>
    </w:p>
    <w:p>
      <w:pPr>
        <w:pStyle w:val="Heading2"/>
      </w:pPr>
      <w:bookmarkStart w:id="84" w:name="section-55"/>
      <w:r>
        <w:t xml:space="preserve">개발방법</w:t>
      </w:r>
      <w:bookmarkEnd w:id="84"/>
    </w:p>
    <w:p>
      <w:pPr>
        <w:pStyle w:val="Compact"/>
        <w:numPr>
          <w:numId w:val="1047"/>
          <w:ilvl w:val="0"/>
        </w:numPr>
      </w:pPr>
      <w:r>
        <w:rPr>
          <w:b/>
        </w:rPr>
        <w:t xml:space="preserve">Adaptation</w:t>
      </w:r>
    </w:p>
    <w:p>
      <w:pPr>
        <w:pStyle w:val="Compact"/>
        <w:numPr>
          <w:numId w:val="1048"/>
          <w:ilvl w:val="1"/>
        </w:numPr>
      </w:pPr>
      <w:r>
        <w:t xml:space="preserve">2012 - 2017년까지의 진료지침 + 2012-2017년 사이 연구를 핵심질문별로 다시 검색</w:t>
      </w:r>
    </w:p>
    <w:p>
      <w:pPr>
        <w:pStyle w:val="Compact"/>
        <w:numPr>
          <w:numId w:val="1048"/>
          <w:ilvl w:val="1"/>
        </w:numPr>
      </w:pPr>
      <w:r>
        <w:t xml:space="preserve">그외 수기로 논문 추가 조사 (논문의 참고문헌등)</w:t>
      </w:r>
    </w:p>
    <w:p>
      <w:pPr>
        <w:pStyle w:val="Heading2"/>
      </w:pPr>
      <w:bookmarkStart w:id="85" w:name="section-56"/>
      <w:r>
        <w:t xml:space="preserve">지침및 근거검색</w:t>
      </w:r>
      <w:bookmarkEnd w:id="85"/>
    </w:p>
    <w:p>
      <w:pPr>
        <w:pStyle w:val="FirstParagraph"/>
      </w:pPr>
    </w:p>
    <w:p>
      <w:pPr>
        <w:pStyle w:val="Compact"/>
        <w:numPr>
          <w:numId w:val="1049"/>
          <w:ilvl w:val="0"/>
        </w:numPr>
      </w:pPr>
      <w:r>
        <w:t xml:space="preserve">진료지침검색</w:t>
      </w:r>
    </w:p>
    <w:p>
      <w:pPr>
        <w:pStyle w:val="Compact"/>
        <w:numPr>
          <w:numId w:val="1050"/>
          <w:ilvl w:val="1"/>
        </w:numPr>
      </w:pPr>
      <w:r>
        <w:t xml:space="preserve">정보원</w:t>
      </w:r>
    </w:p>
    <w:p>
      <w:pPr>
        <w:pStyle w:val="Compact"/>
        <w:numPr>
          <w:numId w:val="1051"/>
          <w:ilvl w:val="2"/>
        </w:numPr>
      </w:pPr>
      <w:r>
        <w:t xml:space="preserve">National guideline clearinghouse</w:t>
      </w:r>
    </w:p>
    <w:p>
      <w:pPr>
        <w:pStyle w:val="Compact"/>
        <w:numPr>
          <w:numId w:val="1051"/>
          <w:ilvl w:val="2"/>
        </w:numPr>
      </w:pPr>
      <w:r>
        <w:t xml:space="preserve">Guideline international network</w:t>
      </w:r>
    </w:p>
    <w:p>
      <w:pPr>
        <w:pStyle w:val="Compact"/>
        <w:numPr>
          <w:numId w:val="1051"/>
          <w:ilvl w:val="2"/>
        </w:numPr>
      </w:pPr>
      <w:r>
        <w:t xml:space="preserve">Pubmed</w:t>
      </w:r>
    </w:p>
    <w:p>
      <w:pPr>
        <w:pStyle w:val="Compact"/>
        <w:numPr>
          <w:numId w:val="1051"/>
          <w:ilvl w:val="2"/>
        </w:numPr>
      </w:pPr>
      <w:r>
        <w:t xml:space="preserve">Google search</w:t>
      </w:r>
    </w:p>
    <w:p>
      <w:pPr>
        <w:pStyle w:val="Compact"/>
        <w:numPr>
          <w:numId w:val="1051"/>
          <w:ilvl w:val="2"/>
        </w:numPr>
      </w:pPr>
      <w:r>
        <w:t xml:space="preserve">KoMGI</w:t>
      </w:r>
    </w:p>
    <w:p>
      <w:pPr>
        <w:pStyle w:val="Compact"/>
        <w:numPr>
          <w:numId w:val="1051"/>
          <w:ilvl w:val="2"/>
        </w:numPr>
      </w:pPr>
      <w:r>
        <w:t xml:space="preserve">KoreaMed - KMBASE</w:t>
      </w:r>
    </w:p>
    <w:p>
      <w:pPr>
        <w:pStyle w:val="Compact"/>
        <w:numPr>
          <w:numId w:val="1049"/>
          <w:ilvl w:val="0"/>
        </w:numPr>
      </w:pPr>
      <w:r>
        <w:t xml:space="preserve">근거검색</w:t>
      </w:r>
    </w:p>
    <w:p>
      <w:pPr>
        <w:pStyle w:val="Compact"/>
        <w:numPr>
          <w:numId w:val="1052"/>
          <w:ilvl w:val="1"/>
        </w:numPr>
      </w:pPr>
      <w:r>
        <w:t xml:space="preserve">검색원</w:t>
      </w:r>
    </w:p>
    <w:p>
      <w:pPr>
        <w:pStyle w:val="Compact"/>
        <w:numPr>
          <w:numId w:val="1053"/>
          <w:ilvl w:val="2"/>
        </w:numPr>
      </w:pPr>
      <w:r>
        <w:t xml:space="preserve">전자문헌검색: 상기 + Ovid DB(MEDLINE/EMBASE) Cochrane library</w:t>
      </w:r>
    </w:p>
    <w:p>
      <w:pPr>
        <w:pStyle w:val="Compact"/>
        <w:numPr>
          <w:numId w:val="1053"/>
          <w:ilvl w:val="2"/>
        </w:numPr>
      </w:pPr>
      <w:r>
        <w:t xml:space="preserve">수기검색 (gray literature)</w:t>
      </w:r>
    </w:p>
    <w:p>
      <w:pPr>
        <w:pStyle w:val="Compact"/>
        <w:numPr>
          <w:numId w:val="1049"/>
          <w:ilvl w:val="0"/>
        </w:numPr>
      </w:pPr>
      <w:r>
        <w:t xml:space="preserve">검색 결과</w:t>
      </w:r>
    </w:p>
    <w:p>
      <w:pPr>
        <w:pStyle w:val="Compact"/>
        <w:numPr>
          <w:numId w:val="1054"/>
          <w:ilvl w:val="1"/>
        </w:numPr>
      </w:pPr>
      <w:hyperlink r:id="rId86">
        <w:r>
          <w:rPr>
            <w:rStyle w:val="Hyperlink"/>
          </w:rPr>
          <w:t xml:space="preserve">최신성 검색</w:t>
        </w:r>
      </w:hyperlink>
      <w:r>
        <w:t xml:space="preserve">: online only material</w:t>
      </w:r>
    </w:p>
    <w:p>
      <w:pPr>
        <w:pStyle w:val="Compact"/>
        <w:numPr>
          <w:numId w:val="1055"/>
          <w:ilvl w:val="2"/>
        </w:numPr>
      </w:pPr>
      <w:r>
        <w:t xml:space="preserve">2012-2017년 10월까지 검색어, 검색결과</w:t>
      </w:r>
    </w:p>
    <w:p>
      <w:pPr>
        <w:pStyle w:val="Heading2"/>
      </w:pPr>
      <w:bookmarkStart w:id="87" w:name="section-57"/>
      <w:r>
        <w:t xml:space="preserve">검색된 진료지침및 연구결과 선별</w:t>
      </w:r>
      <w:bookmarkEnd w:id="87"/>
    </w:p>
    <w:p>
      <w:pPr>
        <w:pStyle w:val="Compact"/>
        <w:numPr>
          <w:numId w:val="1056"/>
          <w:ilvl w:val="0"/>
        </w:numPr>
      </w:pPr>
      <w:r>
        <w:t xml:space="preserve">선정 기준</w:t>
      </w:r>
    </w:p>
    <w:p>
      <w:pPr>
        <w:pStyle w:val="Compact"/>
        <w:numPr>
          <w:numId w:val="1057"/>
          <w:ilvl w:val="1"/>
        </w:numPr>
      </w:pPr>
      <w:r>
        <w:t xml:space="preserve">핵실질문과 일치하는 PICO를 포함</w:t>
      </w:r>
    </w:p>
    <w:p>
      <w:pPr>
        <w:pStyle w:val="Compact"/>
        <w:numPr>
          <w:numId w:val="1057"/>
          <w:ilvl w:val="1"/>
        </w:numPr>
      </w:pPr>
      <w:r>
        <w:t xml:space="preserve">동료검토가 이루어 진것</w:t>
      </w:r>
    </w:p>
    <w:p>
      <w:pPr>
        <w:pStyle w:val="Compact"/>
        <w:numPr>
          <w:numId w:val="1057"/>
          <w:ilvl w:val="1"/>
        </w:numPr>
      </w:pPr>
      <w:r>
        <w:t xml:space="preserve">한국어 또는 영어로 출판된 것</w:t>
      </w:r>
    </w:p>
    <w:p>
      <w:pPr>
        <w:pStyle w:val="Compact"/>
        <w:numPr>
          <w:numId w:val="1057"/>
          <w:ilvl w:val="1"/>
        </w:numPr>
      </w:pPr>
      <w:r>
        <w:t xml:space="preserve">근거기반 방법론을 사용한 것</w:t>
      </w:r>
    </w:p>
    <w:p>
      <w:pPr>
        <w:pStyle w:val="Compact"/>
        <w:numPr>
          <w:numId w:val="1057"/>
          <w:ilvl w:val="1"/>
        </w:numPr>
      </w:pPr>
      <w:r>
        <w:t xml:space="preserve">2012년 이후 출판</w:t>
      </w:r>
    </w:p>
    <w:p>
      <w:pPr>
        <w:pStyle w:val="Heading2"/>
      </w:pPr>
      <w:bookmarkStart w:id="88" w:name="section-58"/>
      <w:r>
        <w:t xml:space="preserve">검색된 진료지침및 연구결과 평가</w:t>
      </w:r>
      <w:bookmarkEnd w:id="88"/>
    </w:p>
    <w:p>
      <w:pPr>
        <w:pStyle w:val="Compact"/>
        <w:numPr>
          <w:numId w:val="1058"/>
          <w:ilvl w:val="0"/>
        </w:numPr>
      </w:pPr>
      <w:r>
        <w:t xml:space="preserve">진료지침은 AGREE-II를 이용하여 평가.</w:t>
      </w:r>
    </w:p>
    <w:p>
      <w:pPr>
        <w:pStyle w:val="Compact"/>
        <w:numPr>
          <w:numId w:val="1058"/>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9" w:name="section-59"/>
      <w:r>
        <w:t xml:space="preserve">권고문 합의및 권고등급 결정</w:t>
      </w:r>
      <w:bookmarkEnd w:id="89"/>
    </w:p>
    <w:p>
      <w:pPr>
        <w:pStyle w:val="Heading3"/>
      </w:pPr>
      <w:bookmarkStart w:id="90" w:name="grade--"/>
      <w:r>
        <w:t xml:space="preserve">근거수준과 권고등급의 평가: GRADE 방식 사용</w:t>
      </w:r>
      <w:bookmarkEnd w:id="90"/>
    </w:p>
    <w:p>
      <w:pPr>
        <w:pStyle w:val="Heading4"/>
      </w:pPr>
      <w:bookmarkStart w:id="91" w:name="section-60"/>
      <w:r>
        <w:t xml:space="preserve">근거수준</w:t>
      </w:r>
      <w:bookmarkEnd w:id="91"/>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59"/>
          <w:ilvl w:val="0"/>
        </w:numPr>
      </w:pPr>
      <w:r>
        <w:rPr>
          <w:b/>
        </w:rPr>
        <w:t xml:space="preserve">높음</w:t>
      </w:r>
      <w:r>
        <w:t xml:space="preserve">: 추정된 효과가 실제효과와 비슷할 것이라고 매우 확신한다.</w:t>
      </w:r>
    </w:p>
    <w:p>
      <w:pPr>
        <w:pStyle w:val="Compact"/>
        <w:numPr>
          <w:numId w:val="1059"/>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59"/>
          <w:ilvl w:val="0"/>
        </w:numPr>
      </w:pPr>
      <w:r>
        <w:rPr>
          <w:b/>
        </w:rPr>
        <w:t xml:space="preserve">낮음</w:t>
      </w:r>
      <w:r>
        <w:t xml:space="preserve">: 추정된 효과는 실제효과와 아마도 상당히 다를지 모른다.</w:t>
      </w:r>
    </w:p>
    <w:p>
      <w:pPr>
        <w:pStyle w:val="Compact"/>
        <w:numPr>
          <w:numId w:val="1059"/>
          <w:ilvl w:val="0"/>
        </w:numPr>
      </w:pPr>
      <w:r>
        <w:rPr>
          <w:b/>
        </w:rPr>
        <w:t xml:space="preserve">매우 낮음</w:t>
      </w:r>
      <w:r>
        <w:t xml:space="preserve">: 추정된 효과는 실제효과에 상당히 다를 가능성이 있다.</w:t>
      </w:r>
    </w:p>
    <w:p>
      <w:pPr>
        <w:pStyle w:val="Compact"/>
        <w:numPr>
          <w:numId w:val="1059"/>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2" w:name="section-61"/>
      <w:r>
        <w:t xml:space="preserve">권고등급</w:t>
      </w:r>
      <w:bookmarkEnd w:id="92"/>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0"/>
          <w:ilvl w:val="0"/>
        </w:numPr>
      </w:pPr>
      <w:r>
        <w:t xml:space="preserve">근거수준,</w:t>
      </w:r>
    </w:p>
    <w:p>
      <w:pPr>
        <w:pStyle w:val="Compact"/>
        <w:numPr>
          <w:numId w:val="1060"/>
          <w:ilvl w:val="0"/>
        </w:numPr>
      </w:pPr>
      <w:r>
        <w:t xml:space="preserve">효과 크기(이득과 위해의 저울질)</w:t>
      </w:r>
    </w:p>
    <w:p>
      <w:pPr>
        <w:pStyle w:val="Compact"/>
        <w:numPr>
          <w:numId w:val="1060"/>
          <w:ilvl w:val="0"/>
        </w:numPr>
      </w:pPr>
      <w:r>
        <w:t xml:space="preserve">가치와 선호도,</w:t>
      </w:r>
    </w:p>
    <w:p>
      <w:pPr>
        <w:pStyle w:val="Compact"/>
        <w:numPr>
          <w:numId w:val="1060"/>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1"/>
          <w:ilvl w:val="0"/>
        </w:numPr>
      </w:pPr>
      <w:r>
        <w:rPr>
          <w:b/>
        </w:rPr>
        <w:t xml:space="preserve">Strong for</w:t>
      </w:r>
      <w:r>
        <w:t xml:space="preserve">: 강하게 권고</w:t>
      </w:r>
    </w:p>
    <w:p>
      <w:pPr>
        <w:pStyle w:val="Compact"/>
        <w:numPr>
          <w:numId w:val="1061"/>
          <w:ilvl w:val="0"/>
        </w:numPr>
      </w:pPr>
      <w:r>
        <w:rPr>
          <w:b/>
        </w:rPr>
        <w:t xml:space="preserve">Weak for</w:t>
      </w:r>
      <w:r>
        <w:t xml:space="preserve">: 약하게 권고</w:t>
      </w:r>
    </w:p>
    <w:p>
      <w:pPr>
        <w:pStyle w:val="Compact"/>
        <w:numPr>
          <w:numId w:val="1061"/>
          <w:ilvl w:val="0"/>
        </w:numPr>
      </w:pPr>
      <w:r>
        <w:rPr>
          <w:b/>
        </w:rPr>
        <w:t xml:space="preserve">Weak against</w:t>
      </w:r>
      <w:r>
        <w:t xml:space="preserve">: 약하게 권고하지 않음</w:t>
      </w:r>
    </w:p>
    <w:p>
      <w:pPr>
        <w:pStyle w:val="Compact"/>
        <w:numPr>
          <w:numId w:val="1061"/>
          <w:ilvl w:val="0"/>
        </w:numPr>
      </w:pPr>
      <w:r>
        <w:rPr>
          <w:b/>
        </w:rPr>
        <w:t xml:space="preserve">Strong aginst</w:t>
      </w:r>
      <w:r>
        <w:t xml:space="preserve">: 강하게 권고하지 않음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7">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3">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4">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hyperlink" Id="rId45" Target="doi:10.1136/bmj.c5222" TargetMode="External" /><Relationship Type="http://schemas.openxmlformats.org/officeDocument/2006/relationships/hyperlink" Id="rId86"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5" Target="doi:10.1136/bmj.c5222" TargetMode="External" /><Relationship Type="http://schemas.openxmlformats.org/officeDocument/2006/relationships/hyperlink" Id="rId86"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2019-06-25T14:11:23Z</dcterms:created>
  <dcterms:modified xsi:type="dcterms:W3CDTF">2019-06-25T14:11:23Z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2019-06-25</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