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2019-06-26</w:t>
      </w:r>
    </w:p>
    <w:p>
      <w:pPr>
        <w:pStyle w:val="Heading1"/>
      </w:pPr>
      <w:bookmarkStart w:id="20" w:name="section"/>
      <w:r>
        <w:t xml:space="preserve">머리말</w:t>
      </w:r>
      <w:bookmarkEnd w:id="20"/>
    </w:p>
    <w:p>
      <w:pPr>
        <w:pStyle w:val="FirstParagraph"/>
      </w:pPr>
      <w:r>
        <w:t xml:space="preserve">This is preface.</w:t>
      </w:r>
    </w:p>
    <w:p>
      <w:pPr>
        <w:pStyle w:val="Heading1"/>
      </w:pPr>
      <w:bookmarkStart w:id="21" w:name="section-1"/>
      <w:r>
        <w:t xml:space="preserve">발간사</w:t>
      </w:r>
      <w:bookmarkEnd w:id="21"/>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2" w:name="section-2"/>
      <w:r>
        <w:t xml:space="preserve">간행사</w:t>
      </w:r>
      <w:bookmarkEnd w:id="22"/>
    </w:p>
    <w:p>
      <w:pPr>
        <w:pStyle w:val="FirstParagraph"/>
      </w:pPr>
      <w:r>
        <w:t xml:space="preserve">대한두통학회 창립 20주년을 맞이하여 삽화편두통 예방치료약물 진료지침이 발간됩니다. 삽화편두통의 예방치료약물에 관한 표준진료지침 개발의 개시모임이 2016년 11월 21일 이었으므로 벌써 2년 반의 시간이 흘렀습니다. 외국에서 발간된 진료지침에 의존하여 두통 환자를 치료해 오던 것을 탈피하여 우리 두통학회의 힘으로 온전히 우리나라 임상현실에 근거한 두통 관련 진료지침을 개발하기로 마음을 모은 날입니다.</w:t>
      </w:r>
      <w:r>
        <w:t xml:space="preserve"> </w:t>
      </w:r>
      <w:r>
        <w:t xml:space="preserve">이미 2002년 우리 두통학회에서는 편두통진료지침이 발간된 바 있습니다. 하지만 내용적으로는 두통학회 이사진이 당시 미국 신경과학회에서 발간된</w:t>
      </w:r>
      <w:r>
        <w:t xml:space="preserve"> </w:t>
      </w:r>
      <w:r>
        <w:t xml:space="preserve">“</w:t>
      </w:r>
      <w:r>
        <w:t xml:space="preserve">Practice guideline for migraine headache</w:t>
      </w:r>
      <w:r>
        <w:t xml:space="preserve">”</w:t>
      </w:r>
      <w:r>
        <w:t xml:space="preserve">를 발췌 번역하고, 수록된 편두통 치료약물 중에서 우리나라에서 사용되고 있는 약물을 정리하여 발간한 것이었습니다. 우리의 임상 상황과는 상이한 부분이 있었고, 건강보험 체계 등의 현실이 반영되지 않았다는 점에서 진정한 우리나라의 진료지침으로 받아들여지기에는 부족한 점이 많았습니다. 2000년대에 들어서 국내의 여러 임상학회에서 근거중심의학에 기반한 다양한 표준진료지침 개발의 움직임이 일어나 많은 임상의학 영역에서 표준진료지침이 속속 발표되었습니다. 우리 두통학회에서도 2009년 제1판 편두통 진료지침이 개발된 이후 새롭게 발표된 근거를 추가 보완하여 편두통 진료지침 제2판(이광수 회장, 정성우 위원장)을 발간하였습니다. 제2판에는 소아 편두통의 약물치료에 대한 새로운 지침을 추가하였다는 의미가 크다고 할 수 있겠습니다. 하지만 내용적으로는 우리나라의 임상현실을 충분히 반영하지 못한 아쉬움이 있었습니다. 이후 진료지침 개발에 대한 방법론적인 발전을 토대로 한 진료지침이 다양한 임상영역에서 개발되기 시작하였습니다. 여기에는 대한의학회의 지원, 2009년 NECA(한국보건의료연구원)의 개원으로 이루어진 체계적인 기술지원이라는 배경이 있습니다. 이에 대한신경과학회에서도 표준진료지침위원회(위원장 김원주교수, 연세대)를 신설하고 신경과 영역에서 진료지침 개발을 서두르게 되었습니다. 마침 비슷한 뜻을 가지고 진료지침 개발의 필요성을 절감하고 정도관리위원회(위원장 정재면교수, 인제대)를 신설하여 준비 중이던 대한두통학회가 동참하기로 결정하였습니다. 대한신경과학회의 김원주 이사, 대한두통학회 김병건 회장, 정재면 이사 외에 간사로 박광열 교수(중앙대), 위원으로 김병수 선생(분당재생병원), 서종근 교수(경북대), 손종희 교수(한림대), 송태진 교수(이화여대), 이미지 교수(성균관대), 정필욱 교수(성균관대), 최윤주 선생(전주예수병원) 등이 참여하게 되었습니다. 진료지침의 기술적인 자문을 위해 NECA의 박동아 선생이 참여하게 되었습니다.</w:t>
      </w:r>
    </w:p>
    <w:p>
      <w:pPr>
        <w:pStyle w:val="BodyText"/>
      </w:pPr>
      <w:r>
        <w:t xml:space="preserve">2016년 11월 21일 개시모임에서 경험이 일천한 우리 학회의 입장을 고려하여 가능한 한 진료지침의 범위를 좁게 하고 문헌고찰의 부담을 작게 하기 위해 편두통의 치료 가운데 삽화편두통의 예방치료약물로 범위를 한정하였고, 개발방식에 있어서도 2012년 이후 발표된 해외 진료지침 중 영어로 기술되어 있고 다학제 참여가 이루어지고 근거에 기반한 진료지침을 선정하여 Hybrid 방식으로 개발하기로 하였습니다. 표준진료지침의 가장 중요한 핵심질문은 실무위원들의 논의를 거쳐 7가지로 정하게 되었습니다. 이후 수 차례의 회의와 작업을 거쳐 핵심질문에 관한 내용을 담고 있는 외국 진료지침을 AGREE II 도구를 이용하여 평가한 후 총 9개의 진료지침이 선정되었습니다. 9개의 진료지침을 토대로 최신성 검색을 통해 새로운 근거에 대한 검토가 이루어지게 되었습니다. 이러한 과정에서 겪게되는 기술적인 어려움을 극복하기 위해 대한의학회에서 개최하는 진료지침 개발 워크샵에 위원장과 간사를 포함해 위원들이 적극적으로 참여하여 지식과 경험을 넓혀 갔습니다. 우리학회 나름대로도 진료지침 전문가인 순천향대학교 이유경 교수를 초청하여 강의와 토의를 통해 임상의사의 입장에서 진료지침의 전문성을 높이기 위한 노력이 있었습니다. 최신성 검토를 위해 문헌을 검색하여 자료를 추출하는 어려운 작업은 NECA의 최미영 연구위원이 맡아주는 등 많은 분들의 도움이 있었습니다. 이번 기회를 빌어 외부인사들께 감사의 마음을 전합니다.</w:t>
      </w:r>
    </w:p>
    <w:p>
      <w:pPr>
        <w:pStyle w:val="BodyText"/>
      </w:pPr>
      <w:r>
        <w:t xml:space="preserve">이런 일련의 작업들을 통해 진료지침의 근거가 마련이 되었습니다. 어떤 예방약물을 어떤 권고의 수준으로 결정하느냐 하는 문제는 단순히 근거가 되는 임상시험 결과만을 가지고 결정할 수 없는 문제입니다. 이러한 결정은 우리나라 편두통 환자의 진료형태를 결정할 수도 있는 중요한 문제이기 때문에 실무위원들과 이사진들이 다양한 의견을 나누고 수렴하는 과정을 거쳐 매우 신중하게 진행되었습니다.</w:t>
      </w:r>
    </w:p>
    <w:p>
      <w:pPr>
        <w:pStyle w:val="BodyText"/>
      </w:pPr>
      <w:r>
        <w:t xml:space="preserve">우리 대한두통학회 창립 20주년을 맞이하여 이제 근거중심의학에 기반한 제대로 된 두통 표준진료지침의 첫걸음을 내딛게 되었습니다. 완성도에서는 아직도 미흡한 점이 많습니다. 하지만 앞으로 개발될 일련의 두통 관련 표준진료지침들과 후속 개정작업을 통해 우리나라 임상의사들의 두통질환의 진료와 연구 수준을 높이는 계기가 된다는 점에서 그 의미가 크다고 할 수 있겠습니다.</w:t>
      </w:r>
    </w:p>
    <w:p>
      <w:pPr>
        <w:pStyle w:val="BodyText"/>
      </w:pPr>
      <w:r>
        <w:t xml:space="preserve">그동안 열정을 잃지 않고 꼼꼼하게 작업을 챙기고 격려해 주신 대한신경과학회 정진상 이사장님과 대한두통학회 김병건 회장님께 감사 드립니다. 고독하고 어려운 일들을 묵묵히 맡아주신 박광열 교수님과 여러 위원들께 다시 한 번 심심한 감사를 드립니다.</w:t>
      </w:r>
    </w:p>
    <w:p>
      <w:pPr>
        <w:pStyle w:val="Compact"/>
      </w:pPr>
      <w:r>
        <w:rPr>
          <w:b/>
        </w:rPr>
        <w:t xml:space="preserve">대한두통학회 편두통진료지침위원장 정재면</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부작용및 금기사항</w:t>
      </w:r>
      <w:bookmarkEnd w:id="50"/>
    </w:p>
    <w:p>
      <w:pPr>
        <w:pStyle w:val="Heading2"/>
      </w:pPr>
      <w:bookmarkStart w:id="51" w:name="section-23"/>
      <w:r>
        <w:t xml:space="preserve">일반적인 용량및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 per day</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 per day</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구통,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구통,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초초</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어지증,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20-50mg b.i.d.</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지침 개발 과정</w:t>
      </w:r>
      <w:bookmarkEnd w:id="57"/>
    </w:p>
    <w:p>
      <w:pPr>
        <w:pStyle w:val="Heading2"/>
      </w:pPr>
      <w:bookmarkStart w:id="58" w:name="section-29"/>
      <w:r>
        <w:t xml:space="preserve">이해당사자의 참여</w:t>
      </w:r>
      <w:bookmarkEnd w:id="58"/>
    </w:p>
    <w:p>
      <w:pPr>
        <w:pStyle w:val="Heading3"/>
      </w:pPr>
      <w:bookmarkStart w:id="59" w:name="section-30"/>
      <w:r>
        <w:t xml:space="preserve">지침 제정 참여자및 역할</w:t>
      </w:r>
      <w:bookmarkEnd w:id="59"/>
    </w:p>
    <w:p>
      <w:pPr>
        <w:pStyle w:val="Heading4"/>
      </w:pPr>
      <w:bookmarkStart w:id="60" w:name="section-31"/>
      <w:r>
        <w:t xml:space="preserve">운영위원회</w:t>
      </w:r>
      <w:bookmarkEnd w:id="60"/>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1" w:name="section-32"/>
      <w:r>
        <w:t xml:space="preserve">자문위원회</w:t>
      </w:r>
      <w:bookmarkEnd w:id="61"/>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2" w:name="section-33"/>
      <w:r>
        <w:t xml:space="preserve">외부자문그룹</w:t>
      </w:r>
      <w:bookmarkEnd w:id="62"/>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3" w:name="section-34"/>
      <w:r>
        <w:t xml:space="preserve">실무위원회및 근거평가그룹</w:t>
      </w:r>
      <w:bookmarkEnd w:id="63"/>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4" w:name="section-35"/>
      <w:r>
        <w:t xml:space="preserve">이해관계 선언</w:t>
      </w:r>
      <w:bookmarkEnd w:id="64"/>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3"/>
      </w:pPr>
      <w:bookmarkStart w:id="65" w:name="section-36"/>
      <w:r>
        <w:t xml:space="preserve">운영</w:t>
      </w:r>
      <w:bookmarkEnd w:id="65"/>
    </w:p>
    <w:p>
      <w:pPr>
        <w:pStyle w:val="Heading4"/>
      </w:pPr>
      <w:bookmarkStart w:id="66" w:name="section-37"/>
      <w:r>
        <w:t xml:space="preserve">합의원칙의 결정</w:t>
      </w:r>
      <w:bookmarkEnd w:id="66"/>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7" w:name="section-38"/>
      <w:r>
        <w:t xml:space="preserve">저자원칙의 결정</w:t>
      </w:r>
      <w:bookmarkEnd w:id="67"/>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8" w:name="section-39"/>
      <w:r>
        <w:t xml:space="preserve">지침이 다루는 인구 집단</w:t>
      </w:r>
      <w:bookmarkEnd w:id="68"/>
    </w:p>
    <w:p>
      <w:pPr>
        <w:pStyle w:val="FirstParagraph"/>
      </w:pPr>
      <w:r>
        <w:t xml:space="preserve">성인 삽화편두통 환자(남녀 모두, 동반질환 포함)</w:t>
      </w:r>
      <w:r>
        <w:t xml:space="preserve"> </w:t>
      </w:r>
      <w:r>
        <w:t xml:space="preserve">소아는 제외</w:t>
      </w:r>
      <w:r>
        <w:t xml:space="preserve"> </w:t>
      </w:r>
      <w:r>
        <w:t xml:space="preserve">만성편두통 환자 제외</w:t>
      </w:r>
    </w:p>
    <w:p>
      <w:pPr>
        <w:pStyle w:val="Heading2"/>
      </w:pPr>
      <w:bookmarkStart w:id="69" w:name="section-40"/>
      <w:r>
        <w:t xml:space="preserve">지침 사용 대상자</w:t>
      </w:r>
      <w:bookmarkEnd w:id="69"/>
    </w:p>
    <w:p>
      <w:pPr>
        <w:pStyle w:val="FirstParagraph"/>
      </w:pPr>
      <w:r>
        <w:t xml:space="preserve">국내에서 편두통 환자를 진료하는 모든 임상의사</w:t>
      </w:r>
    </w:p>
    <w:p>
      <w:pPr>
        <w:pStyle w:val="Heading2"/>
      </w:pPr>
      <w:bookmarkStart w:id="70" w:name="section-41"/>
      <w:r>
        <w:t xml:space="preserve">지침의 범위와 목적</w:t>
      </w:r>
      <w:bookmarkEnd w:id="70"/>
    </w:p>
    <w:p>
      <w:pPr>
        <w:pStyle w:val="FirstParagraph"/>
      </w:pPr>
      <w:r>
        <w:t xml:space="preserve">임상의사가 편두통 환자를 진료할 때 표준화된 삽화편두통 환자의 예방약물 사용을 제시한다.</w:t>
      </w:r>
    </w:p>
    <w:p>
      <w:pPr>
        <w:pStyle w:val="Heading2"/>
      </w:pPr>
      <w:bookmarkStart w:id="71" w:name="section-42"/>
      <w:r>
        <w:t xml:space="preserve">지침의 목적</w:t>
      </w:r>
      <w:bookmarkEnd w:id="71"/>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2" w:name="section-43"/>
      <w:r>
        <w:t xml:space="preserve">외부 검토</w:t>
      </w:r>
      <w:bookmarkEnd w:id="72"/>
    </w:p>
    <w:p>
      <w:pPr>
        <w:pStyle w:val="Heading3"/>
      </w:pPr>
      <w:bookmarkStart w:id="73" w:name="section-44"/>
      <w:r>
        <w:t xml:space="preserve">잠재적 승인기구</w:t>
      </w:r>
      <w:bookmarkEnd w:id="73"/>
    </w:p>
    <w:p>
      <w:pPr>
        <w:pStyle w:val="Compact"/>
        <w:numPr>
          <w:numId w:val="1038"/>
          <w:ilvl w:val="0"/>
        </w:numPr>
      </w:pPr>
      <w:r>
        <w:t xml:space="preserve">대한두통학회</w:t>
      </w:r>
    </w:p>
    <w:p>
      <w:pPr>
        <w:pStyle w:val="Compact"/>
        <w:numPr>
          <w:numId w:val="1038"/>
          <w:ilvl w:val="0"/>
        </w:numPr>
      </w:pPr>
      <w:r>
        <w:t xml:space="preserve">대한신경과학회</w:t>
      </w:r>
    </w:p>
    <w:p>
      <w:pPr>
        <w:pStyle w:val="Heading2"/>
      </w:pPr>
      <w:bookmarkStart w:id="74" w:name="section-45"/>
      <w:r>
        <w:t xml:space="preserve">보급전략</w:t>
      </w:r>
      <w:bookmarkEnd w:id="74"/>
    </w:p>
    <w:p>
      <w:pPr>
        <w:numPr>
          <w:numId w:val="1039"/>
          <w:ilvl w:val="0"/>
        </w:numPr>
      </w:pPr>
      <w:r>
        <w:t xml:space="preserve">대한두통학회와 대한신경과학회 홈페이지 게시</w:t>
      </w:r>
    </w:p>
    <w:p>
      <w:pPr>
        <w:numPr>
          <w:numId w:val="1039"/>
          <w:ilvl w:val="0"/>
        </w:numPr>
      </w:pPr>
      <w:r>
        <w:t xml:space="preserve">대한두통학회지와 대한신경과학회지에 게재</w:t>
      </w:r>
    </w:p>
    <w:p>
      <w:pPr>
        <w:numPr>
          <w:numId w:val="1039"/>
          <w:ilvl w:val="0"/>
        </w:numPr>
      </w:pPr>
      <w:r>
        <w:t xml:space="preserve">책으로 출판하여 학술대회에서 배포</w:t>
      </w:r>
    </w:p>
    <w:p>
      <w:pPr>
        <w:numPr>
          <w:numId w:val="1039"/>
          <w:ilvl w:val="0"/>
        </w:numPr>
      </w:pPr>
      <w:r>
        <w:t xml:space="preserve">Online book (gitbook)형태로도 게시</w:t>
      </w:r>
    </w:p>
    <w:p>
      <w:pPr>
        <w:pStyle w:val="Heading2"/>
      </w:pPr>
      <w:bookmarkStart w:id="75" w:name="section-46"/>
      <w:r>
        <w:t xml:space="preserve">갱신절차</w:t>
      </w:r>
      <w:bookmarkEnd w:id="75"/>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6" w:name="section-47"/>
      <w:r>
        <w:t xml:space="preserve">편집의 독립성과 재정</w:t>
      </w:r>
      <w:bookmarkEnd w:id="76"/>
    </w:p>
    <w:p>
      <w:pPr>
        <w:pStyle w:val="FirstParagraph"/>
      </w:pPr>
      <w:r>
        <w:t xml:space="preserve">대한두통학회 편두통질료지침위원 구성원들간에 이해상충이나 잠재적인 이해관계는 없었다. 또한, 대한신경과학회와 대한두통학회외의 기관이나 단체로부터 재정 지원을 받지 않았다.</w:t>
      </w:r>
    </w:p>
    <w:p>
      <w:pPr>
        <w:pStyle w:val="Heading1"/>
      </w:pPr>
      <w:bookmarkStart w:id="77" w:name="section-48"/>
      <w:r>
        <w:t xml:space="preserve">범위결정과 핵심질문</w:t>
      </w:r>
      <w:bookmarkEnd w:id="77"/>
    </w:p>
    <w:p>
      <w:pPr>
        <w:pStyle w:val="Heading2"/>
      </w:pPr>
      <w:bookmarkStart w:id="78" w:name="section-49"/>
      <w:r>
        <w:t xml:space="preserve">범위결정</w:t>
      </w:r>
      <w:bookmarkEnd w:id="78"/>
    </w:p>
    <w:p>
      <w:pPr>
        <w:numPr>
          <w:numId w:val="1040"/>
          <w:ilvl w:val="0"/>
        </w:numPr>
      </w:pPr>
      <w:r>
        <w:t xml:space="preserve">Population: Adult with frequent and/or moderate-to-severe episodic migraine</w:t>
      </w:r>
    </w:p>
    <w:p>
      <w:pPr>
        <w:numPr>
          <w:numId w:val="1040"/>
          <w:ilvl w:val="0"/>
        </w:numPr>
      </w:pPr>
      <w:r>
        <w:t xml:space="preserve">Intervention: Drug</w:t>
      </w:r>
    </w:p>
    <w:p>
      <w:pPr>
        <w:pStyle w:val="Compact"/>
        <w:numPr>
          <w:numId w:val="1041"/>
          <w:ilvl w:val="1"/>
        </w:numPr>
      </w:pPr>
      <w:r>
        <w:t xml:space="preserve">Anti-epileptic drug</w:t>
      </w:r>
    </w:p>
    <w:p>
      <w:pPr>
        <w:pStyle w:val="Compact"/>
        <w:numPr>
          <w:numId w:val="1041"/>
          <w:ilvl w:val="1"/>
        </w:numPr>
      </w:pPr>
      <w:r>
        <w:t xml:space="preserve">Beta blocker/CCB/ARB/ACE</w:t>
      </w:r>
    </w:p>
    <w:p>
      <w:pPr>
        <w:pStyle w:val="Compact"/>
        <w:numPr>
          <w:numId w:val="1041"/>
          <w:ilvl w:val="1"/>
        </w:numPr>
      </w:pPr>
      <w:r>
        <w:t xml:space="preserve">Anti-Depressant</w:t>
      </w:r>
    </w:p>
    <w:p>
      <w:pPr>
        <w:numPr>
          <w:numId w:val="1040"/>
          <w:ilvl w:val="0"/>
        </w:numPr>
      </w:pPr>
      <w:r>
        <w:t xml:space="preserve">Professional:</w:t>
      </w:r>
    </w:p>
    <w:p>
      <w:pPr>
        <w:pStyle w:val="Compact"/>
        <w:numPr>
          <w:numId w:val="1042"/>
          <w:ilvl w:val="1"/>
        </w:numPr>
      </w:pPr>
      <w:r>
        <w:t xml:space="preserve">Primary care physician, Nurse, and healthcare professionals</w:t>
      </w:r>
    </w:p>
    <w:p>
      <w:pPr>
        <w:numPr>
          <w:numId w:val="1040"/>
          <w:ilvl w:val="0"/>
        </w:numPr>
      </w:pPr>
      <w:r>
        <w:t xml:space="preserve">Outcome: The frequency of migraine prevention drug prescription as suggested</w:t>
      </w:r>
    </w:p>
    <w:p>
      <w:pPr>
        <w:numPr>
          <w:numId w:val="1040"/>
          <w:ilvl w:val="0"/>
        </w:numPr>
      </w:pPr>
      <w:r>
        <w:t xml:space="preserve">Healthcare setting: Primary care setting in Korea</w:t>
      </w:r>
    </w:p>
    <w:p>
      <w:pPr>
        <w:pStyle w:val="Heading2"/>
      </w:pPr>
      <w:bookmarkStart w:id="79" w:name="section-50"/>
      <w:r>
        <w:t xml:space="preserve">핵심질문</w:t>
      </w:r>
      <w:bookmarkEnd w:id="79"/>
    </w:p>
    <w:p>
      <w:pPr>
        <w:pStyle w:val="Heading3"/>
      </w:pPr>
      <w:bookmarkStart w:id="80" w:name="section-51"/>
      <w:r>
        <w:t xml:space="preserve">선정과정</w:t>
      </w:r>
      <w:bookmarkEnd w:id="80"/>
    </w:p>
    <w:p>
      <w:pPr>
        <w:numPr>
          <w:numId w:val="1043"/>
          <w:ilvl w:val="0"/>
        </w:numPr>
      </w:pPr>
      <w:r>
        <w:t xml:space="preserve">핵심질문 및 관련 검색어를 실무위원회에서 일차적으로 작성후 개발위원회에서 취합하여 검토 후 최종 선정하였다.</w:t>
      </w:r>
    </w:p>
    <w:p>
      <w:pPr>
        <w:numPr>
          <w:numId w:val="1043"/>
          <w:ilvl w:val="0"/>
        </w:numPr>
      </w:pPr>
      <w:r>
        <w:t xml:space="preserve">진료지침의 최종 권고안은 핵심질문을 기반으로 도출하였다.</w:t>
      </w:r>
    </w:p>
    <w:p>
      <w:pPr>
        <w:numPr>
          <w:numId w:val="1043"/>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4"/>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4"/>
          <w:ilvl w:val="1"/>
        </w:numPr>
      </w:pPr>
      <w:r>
        <w:t xml:space="preserve">중재법: 대상 중재법을 편두통 예방약물의 기전에 따라 5개의 군으로 정의하였다.</w:t>
      </w:r>
    </w:p>
    <w:p>
      <w:pPr>
        <w:pStyle w:val="Compact"/>
        <w:numPr>
          <w:numId w:val="1044"/>
          <w:ilvl w:val="1"/>
        </w:numPr>
      </w:pPr>
      <w:r>
        <w:t xml:space="preserve">비교 중재법: 편두통 예방약물의 효과를 판정하기 위해 위약의 효과와 비교하였다. 핵심질문에 따라 포함되지 않는 경우도 있었다.</w:t>
      </w:r>
    </w:p>
    <w:p>
      <w:pPr>
        <w:pStyle w:val="Compact"/>
        <w:numPr>
          <w:numId w:val="1044"/>
          <w:ilvl w:val="1"/>
        </w:numPr>
      </w:pPr>
      <w:r>
        <w:t xml:space="preserve">중재결과: 예방 치료의 목적 대상이 되는 해당 중재법의 임상적 주요 결과(두통 발작 일수의 감소, 강도의 감소) 등을 기술하였다.</w:t>
      </w:r>
    </w:p>
    <w:p>
      <w:pPr>
        <w:numPr>
          <w:numId w:val="1043"/>
          <w:ilvl w:val="0"/>
        </w:numPr>
      </w:pPr>
      <w:r>
        <w:t xml:space="preserve">검색어</w:t>
      </w:r>
    </w:p>
    <w:p>
      <w:pPr>
        <w:pStyle w:val="Compact"/>
        <w:numPr>
          <w:numId w:val="1045"/>
          <w:ilvl w:val="1"/>
        </w:numPr>
      </w:pPr>
      <w:r>
        <w:t xml:space="preserve">핵심질문의 PICO에 해당하는 영문 검색어를 정리하였다.</w:t>
      </w:r>
    </w:p>
    <w:p>
      <w:pPr>
        <w:pStyle w:val="Compact"/>
        <w:numPr>
          <w:numId w:val="1045"/>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1" w:name="section-52"/>
      <w:r>
        <w:t xml:space="preserve">최종 선정된 핵심질문</w:t>
      </w:r>
      <w:bookmarkEnd w:id="81"/>
    </w:p>
    <w:p>
      <w:pPr>
        <w:numPr>
          <w:numId w:val="1046"/>
          <w:ilvl w:val="0"/>
        </w:numPr>
      </w:pPr>
      <w:r>
        <w:t xml:space="preserve">Episodic migraine환자에서 예방치료를 고려해야 하는 요인들(두통빈도, 두 통강도, 환자의 선호도, ADL에 대한 영향 등)은 무엇인가?</w:t>
      </w:r>
    </w:p>
    <w:p>
      <w:pPr>
        <w:numPr>
          <w:numId w:val="1046"/>
          <w:ilvl w:val="0"/>
        </w:numPr>
      </w:pPr>
      <w:r>
        <w:t xml:space="preserve">예방치료를 진행중인 episodic migraine환자에서 치료의 중단은 어떻게 결 정해야 하는가?</w:t>
      </w:r>
    </w:p>
    <w:p>
      <w:pPr>
        <w:numPr>
          <w:numId w:val="1046"/>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6"/>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6"/>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6"/>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6"/>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2" w:name="section-53"/>
      <w:r>
        <w:t xml:space="preserve">개발의 엄격성</w:t>
      </w:r>
      <w:bookmarkEnd w:id="82"/>
    </w:p>
    <w:p>
      <w:pPr>
        <w:pStyle w:val="Heading2"/>
      </w:pPr>
      <w:bookmarkStart w:id="83" w:name="section-54"/>
      <w:r>
        <w:t xml:space="preserve">개발방법</w:t>
      </w:r>
      <w:bookmarkEnd w:id="83"/>
    </w:p>
    <w:p>
      <w:pPr>
        <w:pStyle w:val="Compact"/>
        <w:numPr>
          <w:numId w:val="1047"/>
          <w:ilvl w:val="0"/>
        </w:numPr>
      </w:pPr>
      <w:r>
        <w:rPr>
          <w:b/>
        </w:rPr>
        <w:t xml:space="preserve">Adaptation</w:t>
      </w:r>
    </w:p>
    <w:p>
      <w:pPr>
        <w:pStyle w:val="Compact"/>
        <w:numPr>
          <w:numId w:val="1048"/>
          <w:ilvl w:val="1"/>
        </w:numPr>
      </w:pPr>
      <w:r>
        <w:t xml:space="preserve">2012 - 2017년까지의 진료지침 + 2012-2017년 사이 연구를 핵심질문별로 다시 검색</w:t>
      </w:r>
    </w:p>
    <w:p>
      <w:pPr>
        <w:pStyle w:val="Compact"/>
        <w:numPr>
          <w:numId w:val="1048"/>
          <w:ilvl w:val="1"/>
        </w:numPr>
      </w:pPr>
      <w:r>
        <w:t xml:space="preserve">그외 수기로 논문 추가 조사 (논문의 참고문헌등)</w:t>
      </w:r>
    </w:p>
    <w:p>
      <w:pPr>
        <w:pStyle w:val="Heading2"/>
      </w:pPr>
      <w:bookmarkStart w:id="84" w:name="section-55"/>
      <w:r>
        <w:t xml:space="preserve">지침및 근거검색</w:t>
      </w:r>
      <w:bookmarkEnd w:id="84"/>
    </w:p>
    <w:p>
      <w:pPr>
        <w:pStyle w:val="FirstParagraph"/>
      </w:pPr>
    </w:p>
    <w:p>
      <w:pPr>
        <w:pStyle w:val="Compact"/>
        <w:numPr>
          <w:numId w:val="1049"/>
          <w:ilvl w:val="0"/>
        </w:numPr>
      </w:pPr>
      <w:r>
        <w:t xml:space="preserve">진료지침검색</w:t>
      </w:r>
    </w:p>
    <w:p>
      <w:pPr>
        <w:pStyle w:val="Compact"/>
        <w:numPr>
          <w:numId w:val="1050"/>
          <w:ilvl w:val="1"/>
        </w:numPr>
      </w:pPr>
      <w:r>
        <w:t xml:space="preserve">정보원</w:t>
      </w:r>
    </w:p>
    <w:p>
      <w:pPr>
        <w:pStyle w:val="Compact"/>
        <w:numPr>
          <w:numId w:val="1051"/>
          <w:ilvl w:val="2"/>
        </w:numPr>
      </w:pPr>
      <w:r>
        <w:t xml:space="preserve">National guideline clearinghouse</w:t>
      </w:r>
    </w:p>
    <w:p>
      <w:pPr>
        <w:pStyle w:val="Compact"/>
        <w:numPr>
          <w:numId w:val="1051"/>
          <w:ilvl w:val="2"/>
        </w:numPr>
      </w:pPr>
      <w:r>
        <w:t xml:space="preserve">Guideline international network</w:t>
      </w:r>
    </w:p>
    <w:p>
      <w:pPr>
        <w:pStyle w:val="Compact"/>
        <w:numPr>
          <w:numId w:val="1051"/>
          <w:ilvl w:val="2"/>
        </w:numPr>
      </w:pPr>
      <w:r>
        <w:t xml:space="preserve">Pubmed</w:t>
      </w:r>
    </w:p>
    <w:p>
      <w:pPr>
        <w:pStyle w:val="Compact"/>
        <w:numPr>
          <w:numId w:val="1051"/>
          <w:ilvl w:val="2"/>
        </w:numPr>
      </w:pPr>
      <w:r>
        <w:t xml:space="preserve">Google search</w:t>
      </w:r>
    </w:p>
    <w:p>
      <w:pPr>
        <w:pStyle w:val="Compact"/>
        <w:numPr>
          <w:numId w:val="1051"/>
          <w:ilvl w:val="2"/>
        </w:numPr>
      </w:pPr>
      <w:r>
        <w:t xml:space="preserve">KoMGI</w:t>
      </w:r>
    </w:p>
    <w:p>
      <w:pPr>
        <w:pStyle w:val="Compact"/>
        <w:numPr>
          <w:numId w:val="1051"/>
          <w:ilvl w:val="2"/>
        </w:numPr>
      </w:pPr>
      <w:r>
        <w:t xml:space="preserve">KoreaMed - KMBASE</w:t>
      </w:r>
    </w:p>
    <w:p>
      <w:pPr>
        <w:pStyle w:val="Compact"/>
        <w:numPr>
          <w:numId w:val="1049"/>
          <w:ilvl w:val="0"/>
        </w:numPr>
      </w:pPr>
      <w:r>
        <w:t xml:space="preserve">근거검색</w:t>
      </w:r>
    </w:p>
    <w:p>
      <w:pPr>
        <w:pStyle w:val="Compact"/>
        <w:numPr>
          <w:numId w:val="1052"/>
          <w:ilvl w:val="1"/>
        </w:numPr>
      </w:pPr>
      <w:r>
        <w:t xml:space="preserve">검색원</w:t>
      </w:r>
    </w:p>
    <w:p>
      <w:pPr>
        <w:pStyle w:val="Compact"/>
        <w:numPr>
          <w:numId w:val="1053"/>
          <w:ilvl w:val="2"/>
        </w:numPr>
      </w:pPr>
      <w:r>
        <w:t xml:space="preserve">전자문헌검색: 상기 + Ovid DB(MEDLINE/EMBASE) Cochrane library</w:t>
      </w:r>
    </w:p>
    <w:p>
      <w:pPr>
        <w:pStyle w:val="Compact"/>
        <w:numPr>
          <w:numId w:val="1053"/>
          <w:ilvl w:val="2"/>
        </w:numPr>
      </w:pPr>
      <w:r>
        <w:t xml:space="preserve">수기검색 (gray literature)</w:t>
      </w:r>
    </w:p>
    <w:p>
      <w:pPr>
        <w:pStyle w:val="Compact"/>
        <w:numPr>
          <w:numId w:val="1049"/>
          <w:ilvl w:val="0"/>
        </w:numPr>
      </w:pPr>
      <w:r>
        <w:t xml:space="preserve">검색 결과</w:t>
      </w:r>
    </w:p>
    <w:p>
      <w:pPr>
        <w:pStyle w:val="Compact"/>
        <w:numPr>
          <w:numId w:val="1054"/>
          <w:ilvl w:val="1"/>
        </w:numPr>
      </w:pPr>
      <w:hyperlink r:id="rId85">
        <w:r>
          <w:rPr>
            <w:rStyle w:val="Hyperlink"/>
          </w:rPr>
          <w:t xml:space="preserve">최신성 검색</w:t>
        </w:r>
      </w:hyperlink>
      <w:r>
        <w:t xml:space="preserve">: online only material</w:t>
      </w:r>
    </w:p>
    <w:p>
      <w:pPr>
        <w:pStyle w:val="Compact"/>
        <w:numPr>
          <w:numId w:val="1055"/>
          <w:ilvl w:val="2"/>
        </w:numPr>
      </w:pPr>
      <w:r>
        <w:t xml:space="preserve">2012-2017년 10월까지 검색어, 검색결과</w:t>
      </w:r>
    </w:p>
    <w:p>
      <w:pPr>
        <w:pStyle w:val="Heading2"/>
      </w:pPr>
      <w:bookmarkStart w:id="86" w:name="section-56"/>
      <w:r>
        <w:t xml:space="preserve">검색된 진료지침및 연구결과 선별</w:t>
      </w:r>
      <w:bookmarkEnd w:id="86"/>
    </w:p>
    <w:p>
      <w:pPr>
        <w:pStyle w:val="Compact"/>
        <w:numPr>
          <w:numId w:val="1056"/>
          <w:ilvl w:val="0"/>
        </w:numPr>
      </w:pPr>
      <w:r>
        <w:t xml:space="preserve">선정 기준</w:t>
      </w:r>
    </w:p>
    <w:p>
      <w:pPr>
        <w:pStyle w:val="Compact"/>
        <w:numPr>
          <w:numId w:val="1057"/>
          <w:ilvl w:val="1"/>
        </w:numPr>
      </w:pPr>
      <w:r>
        <w:t xml:space="preserve">핵실질문과 일치하는 PICO를 포함</w:t>
      </w:r>
    </w:p>
    <w:p>
      <w:pPr>
        <w:pStyle w:val="Compact"/>
        <w:numPr>
          <w:numId w:val="1057"/>
          <w:ilvl w:val="1"/>
        </w:numPr>
      </w:pPr>
      <w:r>
        <w:t xml:space="preserve">동료검토가 이루어 진것</w:t>
      </w:r>
    </w:p>
    <w:p>
      <w:pPr>
        <w:pStyle w:val="Compact"/>
        <w:numPr>
          <w:numId w:val="1057"/>
          <w:ilvl w:val="1"/>
        </w:numPr>
      </w:pPr>
      <w:r>
        <w:t xml:space="preserve">한국어 또는 영어로 출판된 것</w:t>
      </w:r>
    </w:p>
    <w:p>
      <w:pPr>
        <w:pStyle w:val="Compact"/>
        <w:numPr>
          <w:numId w:val="1057"/>
          <w:ilvl w:val="1"/>
        </w:numPr>
      </w:pPr>
      <w:r>
        <w:t xml:space="preserve">근거기반 방법론을 사용한 것</w:t>
      </w:r>
    </w:p>
    <w:p>
      <w:pPr>
        <w:pStyle w:val="Compact"/>
        <w:numPr>
          <w:numId w:val="1057"/>
          <w:ilvl w:val="1"/>
        </w:numPr>
      </w:pPr>
      <w:r>
        <w:t xml:space="preserve">2012년 이후 출판</w:t>
      </w:r>
    </w:p>
    <w:p>
      <w:pPr>
        <w:pStyle w:val="Heading2"/>
      </w:pPr>
      <w:bookmarkStart w:id="87" w:name="section-57"/>
      <w:r>
        <w:t xml:space="preserve">검색된 진료지침및 연구결과 평가</w:t>
      </w:r>
      <w:bookmarkEnd w:id="87"/>
    </w:p>
    <w:p>
      <w:pPr>
        <w:pStyle w:val="Compact"/>
        <w:numPr>
          <w:numId w:val="1058"/>
          <w:ilvl w:val="0"/>
        </w:numPr>
      </w:pPr>
      <w:r>
        <w:t xml:space="preserve">진료지침은 AGREE-II를 이용하여 평가.</w:t>
      </w:r>
    </w:p>
    <w:p>
      <w:pPr>
        <w:pStyle w:val="Compact"/>
        <w:numPr>
          <w:numId w:val="1058"/>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8" w:name="section-58"/>
      <w:r>
        <w:t xml:space="preserve">권고문 합의및 권고등급 결정</w:t>
      </w:r>
      <w:bookmarkEnd w:id="88"/>
    </w:p>
    <w:p>
      <w:pPr>
        <w:pStyle w:val="Heading3"/>
      </w:pPr>
      <w:bookmarkStart w:id="89" w:name="grade--"/>
      <w:r>
        <w:t xml:space="preserve">근거수준과 권고등급의 평가: GRADE 방식 사용</w:t>
      </w:r>
      <w:bookmarkEnd w:id="89"/>
    </w:p>
    <w:p>
      <w:pPr>
        <w:pStyle w:val="Heading4"/>
      </w:pPr>
      <w:bookmarkStart w:id="90" w:name="section-59"/>
      <w:r>
        <w:t xml:space="preserve">근거수준</w:t>
      </w:r>
      <w:bookmarkEnd w:id="90"/>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59"/>
          <w:ilvl w:val="0"/>
        </w:numPr>
      </w:pPr>
      <w:r>
        <w:rPr>
          <w:b/>
        </w:rPr>
        <w:t xml:space="preserve">높음</w:t>
      </w:r>
      <w:r>
        <w:t xml:space="preserve">: 추정된 효과가 실제효과와 비슷할 것이라고 매우 확신한다.</w:t>
      </w:r>
    </w:p>
    <w:p>
      <w:pPr>
        <w:pStyle w:val="Compact"/>
        <w:numPr>
          <w:numId w:val="1059"/>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59"/>
          <w:ilvl w:val="0"/>
        </w:numPr>
      </w:pPr>
      <w:r>
        <w:rPr>
          <w:b/>
        </w:rPr>
        <w:t xml:space="preserve">낮음</w:t>
      </w:r>
      <w:r>
        <w:t xml:space="preserve">: 추정된 효과는 실제효과와 아마도 상당히 다를지 모른다.</w:t>
      </w:r>
    </w:p>
    <w:p>
      <w:pPr>
        <w:pStyle w:val="Compact"/>
        <w:numPr>
          <w:numId w:val="1059"/>
          <w:ilvl w:val="0"/>
        </w:numPr>
      </w:pPr>
      <w:r>
        <w:rPr>
          <w:b/>
        </w:rPr>
        <w:t xml:space="preserve">매우 낮음</w:t>
      </w:r>
      <w:r>
        <w:t xml:space="preserve">: 추정된 효과는 실제효과에 상당히 다를 가능성이 있다.</w:t>
      </w:r>
    </w:p>
    <w:p>
      <w:pPr>
        <w:pStyle w:val="Compact"/>
        <w:numPr>
          <w:numId w:val="1059"/>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1" w:name="section-60"/>
      <w:r>
        <w:t xml:space="preserve">권고등급</w:t>
      </w:r>
      <w:bookmarkEnd w:id="91"/>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0"/>
          <w:ilvl w:val="0"/>
        </w:numPr>
      </w:pPr>
      <w:r>
        <w:t xml:space="preserve">근거수준,</w:t>
      </w:r>
    </w:p>
    <w:p>
      <w:pPr>
        <w:pStyle w:val="Compact"/>
        <w:numPr>
          <w:numId w:val="1060"/>
          <w:ilvl w:val="0"/>
        </w:numPr>
      </w:pPr>
      <w:r>
        <w:t xml:space="preserve">효과 크기(이득과 위해의 저울질)</w:t>
      </w:r>
    </w:p>
    <w:p>
      <w:pPr>
        <w:pStyle w:val="Compact"/>
        <w:numPr>
          <w:numId w:val="1060"/>
          <w:ilvl w:val="0"/>
        </w:numPr>
      </w:pPr>
      <w:r>
        <w:t xml:space="preserve">가치와 선호도,</w:t>
      </w:r>
    </w:p>
    <w:p>
      <w:pPr>
        <w:pStyle w:val="Compact"/>
        <w:numPr>
          <w:numId w:val="1060"/>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1"/>
          <w:ilvl w:val="0"/>
        </w:numPr>
      </w:pPr>
      <w:r>
        <w:rPr>
          <w:b/>
        </w:rPr>
        <w:t xml:space="preserve">Strong for</w:t>
      </w:r>
      <w:r>
        <w:t xml:space="preserve">: 강하게 권고</w:t>
      </w:r>
    </w:p>
    <w:p>
      <w:pPr>
        <w:pStyle w:val="Compact"/>
        <w:numPr>
          <w:numId w:val="1061"/>
          <w:ilvl w:val="0"/>
        </w:numPr>
      </w:pPr>
      <w:r>
        <w:rPr>
          <w:b/>
        </w:rPr>
        <w:t xml:space="preserve">Weak for</w:t>
      </w:r>
      <w:r>
        <w:t xml:space="preserve">: 약하게 권고</w:t>
      </w:r>
    </w:p>
    <w:p>
      <w:pPr>
        <w:pStyle w:val="Compact"/>
        <w:numPr>
          <w:numId w:val="1061"/>
          <w:ilvl w:val="0"/>
        </w:numPr>
      </w:pPr>
      <w:r>
        <w:rPr>
          <w:b/>
        </w:rPr>
        <w:t xml:space="preserve">Weak against</w:t>
      </w:r>
      <w:r>
        <w:t xml:space="preserve">: 약하게 권고하지 않음</w:t>
      </w:r>
    </w:p>
    <w:p>
      <w:pPr>
        <w:pStyle w:val="Compact"/>
        <w:numPr>
          <w:numId w:val="1061"/>
          <w:ilvl w:val="0"/>
        </w:numPr>
      </w:pPr>
      <w:r>
        <w:rPr>
          <w:b/>
        </w:rPr>
        <w:t xml:space="preserve">Strong aginst</w:t>
      </w:r>
      <w:r>
        <w:t xml:space="preserve">: 강하게 권고하지 않음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44" Target="doi:10.1136/bmj.c5222" TargetMode="External" /><Relationship Type="http://schemas.openxmlformats.org/officeDocument/2006/relationships/hyperlink" Id="rId85"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 Type="http://schemas.openxmlformats.org/officeDocument/2006/relationships/hyperlink" Id="rId85"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2019-06-26T12:07:38Z</dcterms:created>
  <dcterms:modified xsi:type="dcterms:W3CDTF">2019-06-26T12:07:38Z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2019-06-26</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