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삽화편두통</w:t>
      </w:r>
      <w:r>
        <w:t xml:space="preserve"> </w:t>
      </w:r>
      <w:r>
        <w:t xml:space="preserve">예방치료약물</w:t>
      </w:r>
      <w:r>
        <w:t xml:space="preserve"> </w:t>
      </w:r>
      <w:r>
        <w:t xml:space="preserve">진료지침</w:t>
      </w:r>
    </w:p>
    <w:p>
      <w:pPr>
        <w:pStyle w:val="Author"/>
      </w:pPr>
      <w:r>
        <w:t xml:space="preserve">대한두통학회</w:t>
      </w:r>
      <w:r>
        <w:t xml:space="preserve"> </w:t>
      </w:r>
      <w:r>
        <w:t xml:space="preserve">편두통진료지침위원회</w:t>
      </w:r>
    </w:p>
    <w:p>
      <w:pPr>
        <w:pStyle w:val="Date"/>
      </w:pPr>
      <w:r>
        <w:t xml:space="preserve">2019-06-20</w:t>
      </w:r>
    </w:p>
    <w:p>
      <w:pPr>
        <w:pStyle w:val="Heading1"/>
      </w:pPr>
      <w:bookmarkStart w:id="20" w:name="section"/>
      <w:r>
        <w:t xml:space="preserve">머리말</w:t>
      </w:r>
      <w:bookmarkEnd w:id="20"/>
    </w:p>
    <w:p>
      <w:pPr>
        <w:pStyle w:val="Heading1"/>
      </w:pPr>
      <w:bookmarkStart w:id="21" w:name="section-1"/>
      <w:r>
        <w:t xml:space="preserve">발간사</w:t>
      </w:r>
      <w:bookmarkEnd w:id="21"/>
    </w:p>
    <w:p>
      <w:pPr>
        <w:pStyle w:val="FirstParagraph"/>
      </w:pPr>
      <w:r>
        <w:t xml:space="preserve">김병건 회장님</w:t>
      </w:r>
    </w:p>
    <w:p>
      <w:pPr>
        <w:pStyle w:val="Heading1"/>
      </w:pPr>
      <w:bookmarkStart w:id="22" w:name="section-2"/>
      <w:r>
        <w:t xml:space="preserve">간행사</w:t>
      </w:r>
      <w:bookmarkEnd w:id="22"/>
    </w:p>
    <w:p>
      <w:pPr>
        <w:pStyle w:val="FirstParagraph"/>
      </w:pPr>
      <w:r>
        <w:t xml:space="preserve">정재면 위원장님</w:t>
      </w:r>
    </w:p>
    <w:p>
      <w:pPr>
        <w:pStyle w:val="Heading1"/>
      </w:pPr>
      <w:bookmarkStart w:id="23" w:name="section-3"/>
      <w:r>
        <w:t xml:space="preserve">요약본</w:t>
      </w:r>
      <w:bookmarkEnd w:id="23"/>
    </w:p>
    <w:p>
      <w:pPr>
        <w:pStyle w:val="FirstParagraph"/>
      </w:pPr>
      <w:r>
        <w:t xml:space="preserve">1. 성인 삽화편두통 환자에서 예방치료를 고려해야 하는 요인들(두통빈도, 두통강도, 환자의 선호도, 일상생활에 대한 영향 등)은 무엇인가?</w:t>
      </w:r>
    </w:p>
    <w:p>
      <w:pPr>
        <w:numPr>
          <w:numId w:val="1001"/>
          <w:ilvl w:val="0"/>
        </w:numPr>
      </w:pPr>
      <w:r>
        <w:t xml:space="preserve">권고사항</w:t>
      </w:r>
    </w:p>
    <w:p>
      <w:pPr>
        <w:pStyle w:val="Compact"/>
        <w:numPr>
          <w:numId w:val="1002"/>
          <w:ilvl w:val="1"/>
        </w:numPr>
      </w:pPr>
      <w:r>
        <w:t xml:space="preserve">삽화편두통에서 생활습관개선과 편두통 급성기치료를 적절하게 시도하였음에도 불구하고 편두통으로 인하여 의미 있는 일상생활의 장애</w:t>
      </w:r>
      <w:r>
        <w:rPr>
          <w:rStyle w:val="FootnoteReference"/>
        </w:rPr>
        <w:footnoteReference w:id="24"/>
      </w:r>
      <w:r>
        <w:t xml:space="preserve">를 겪는 경우에 예방치료를 권고한다. (근거수준: 전문가의견, 권고등급: 강함)</w:t>
      </w:r>
    </w:p>
    <w:p>
      <w:pPr>
        <w:pStyle w:val="Compact"/>
        <w:numPr>
          <w:numId w:val="1002"/>
          <w:ilvl w:val="1"/>
        </w:numPr>
      </w:pPr>
      <w:r>
        <w:t xml:space="preserve">편두통환자의 1)두통빈도(월 두통일수)가 적더라도 편두통 급성기치료를 하였을 때 편두통이 효과적으로 치료되지 않거나 두통으로 인한 장애를 경험하는 경우, 2)편두통 급성기치료가 효과적이더라도 두통빈도가 잦은 경우에 예방치료를 권고한다. (근거수준: 전문가의견, 권고등급: 강함)</w:t>
      </w:r>
    </w:p>
    <w:p>
      <w:pPr>
        <w:pStyle w:val="Compact"/>
        <w:numPr>
          <w:numId w:val="1002"/>
          <w:ilvl w:val="1"/>
        </w:numPr>
      </w:pPr>
      <w:r>
        <w:t xml:space="preserve">편두통환자가 편두통 급성기치료제를 월 10–15일 이상 사용하는 경우에 약물과용두통</w:t>
      </w:r>
      <w:r>
        <w:rPr>
          <w:rStyle w:val="FootnoteReference"/>
        </w:rPr>
        <w:footnoteReference w:id="25"/>
      </w:r>
      <w:r>
        <w:t xml:space="preserve">의 우려가 있으므로 예방치료를 권고한다. (근거수준: 전문가의견, 권고등급: 강함)</w:t>
      </w:r>
    </w:p>
    <w:p>
      <w:pPr>
        <w:pStyle w:val="Compact"/>
        <w:numPr>
          <w:numId w:val="1002"/>
          <w:ilvl w:val="1"/>
        </w:numPr>
      </w:pPr>
      <w:r>
        <w:t xml:space="preserve">편두통환자의 두통빈도와 무관하게 편두통환자가 편두통 예방치료를 선호하는 경우이거나 담당의사가 임상적으로 예방치료가 필요하다고 판단하는 경우(예시: 뇌간조짐/반신마비편두통)에 예방치료를 고려할 수 있다. (근거수준: 전문가의견, 권고등급: 약함)</w:t>
      </w:r>
    </w:p>
    <w:p>
      <w:pPr>
        <w:pStyle w:val="Compact"/>
        <w:numPr>
          <w:numId w:val="1002"/>
          <w:ilvl w:val="1"/>
        </w:numPr>
      </w:pPr>
      <w:r>
        <w:t xml:space="preserve">편두통환자가 편두통 급성기치료의 의학적 금기를 가지고 있는 경우에 예방치료를 고려할 수 있다. (근거수준: 전문가의견, 권고등급: 약함)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2. 성인 삽화편두통 환자에서 예방치료의 중단은 어떻게 결정해야 하는가?</w:t>
      </w:r>
    </w:p>
    <w:p>
      <w:pPr>
        <w:numPr>
          <w:numId w:val="1004"/>
          <w:ilvl w:val="0"/>
        </w:numPr>
      </w:pPr>
      <w:r>
        <w:t xml:space="preserve">권고사항</w:t>
      </w:r>
    </w:p>
    <w:p>
      <w:pPr>
        <w:pStyle w:val="Compact"/>
        <w:numPr>
          <w:numId w:val="1005"/>
          <w:ilvl w:val="1"/>
        </w:numPr>
      </w:pPr>
      <w:r>
        <w:t xml:space="preserve">삽화편두통에서 예방치료의 효능은 적정용량 혹은 최대내약용량(maximal tolerable dose)으로 적어도 2개월 이상 사용한 후 판단할 수 있다. (근거수준: 전문가의견, 권고등급: 약함)</w:t>
      </w:r>
    </w:p>
    <w:p>
      <w:pPr>
        <w:pStyle w:val="Compact"/>
        <w:numPr>
          <w:numId w:val="1005"/>
          <w:ilvl w:val="1"/>
        </w:numPr>
      </w:pPr>
      <w:r>
        <w:t xml:space="preserve">예방치료가 효과적인 경우 3개월 이상 치료를 지속한 후 용량을 감량하거나 중단하는 것을 시도할 수 있으며, 예방치료를 유지하는 기간은 두통의 빈도 및 강도 외에도 편두통이 일상 생활에 미치는 영향의 정도에 따라 환자마다 개별적으로 접근하는 것을 제안한다. (근거수준: 전문가의견, 권고등급: 약함)</w:t>
      </w:r>
    </w:p>
    <w:p>
      <w:pPr>
        <w:pStyle w:val="Compact"/>
        <w:numPr>
          <w:numId w:val="1005"/>
          <w:ilvl w:val="1"/>
        </w:numPr>
      </w:pPr>
      <w:r>
        <w:t xml:space="preserve">예방약물을 감량하거나 중단했을 때 편두통의 빈도가 증가하면 약물 용량을 증량하거나 다시 시작하기를 제안한다. (근거수준: 전문가의견, 권고등급: 약함)</w:t>
      </w:r>
    </w:p>
    <w:p>
      <w:pPr>
        <w:pStyle w:val="Compact"/>
        <w:numPr>
          <w:numId w:val="1005"/>
          <w:ilvl w:val="1"/>
        </w:numPr>
      </w:pPr>
      <w:r>
        <w:t xml:space="preserve">예방치료의 효능, 부작용 및 순응도를 평가하고 유지기간을 결정하기 위해서는 두통일기 작성을 권고한다. (근거수준: 전문가의견, 권고등급: 강함)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3. 성인 삽화편두통 환자에서 예방치료로 베타차단제를 사용하는 것이 타약제, 위약 또는 치료하지 않는 것에 비해 두통의 완화에 효과적인가?</w:t>
      </w:r>
    </w:p>
    <w:p>
      <w:pPr>
        <w:numPr>
          <w:numId w:val="1006"/>
          <w:ilvl w:val="0"/>
        </w:numPr>
      </w:pPr>
      <w:r>
        <w:t xml:space="preserve">권고사항</w:t>
      </w:r>
    </w:p>
    <w:p>
      <w:pPr>
        <w:pStyle w:val="Compact"/>
        <w:numPr>
          <w:numId w:val="1007"/>
          <w:ilvl w:val="1"/>
        </w:numPr>
      </w:pPr>
      <w:r>
        <w:t xml:space="preserve">프로프라놀롤은 성인 삽화편두통 환자에서 편두통 예방약제로 사용하는 것을 권고한다. (근거수준: 높음, 권고등급: 강함)</w:t>
      </w:r>
    </w:p>
    <w:p>
      <w:pPr>
        <w:pStyle w:val="Compact"/>
        <w:numPr>
          <w:numId w:val="1007"/>
          <w:ilvl w:val="1"/>
        </w:numPr>
      </w:pPr>
      <w:r>
        <w:t xml:space="preserve">메토프롤롤은 성인 삽화편두통 환자에서 편두통 예방약제로 사용하는 것을 고려할 수 있다.(근거수준: 높음, 권고등급: 강함)</w:t>
      </w:r>
    </w:p>
    <w:p>
      <w:pPr>
        <w:pStyle w:val="Compact"/>
        <w:numPr>
          <w:numId w:val="1007"/>
          <w:ilvl w:val="1"/>
        </w:numPr>
      </w:pPr>
      <w:r>
        <w:t xml:space="preserve">아테놀롤은 성인 삽화편두통 환자에서 편두통 예방약제로 사용하는 것을 고려할 수 있다. (근거수준: 보통, 권고등급: 약함)</w:t>
      </w:r>
    </w:p>
    <w:p>
      <w:pPr>
        <w:pStyle w:val="Compact"/>
        <w:numPr>
          <w:numId w:val="1007"/>
          <w:ilvl w:val="1"/>
        </w:numPr>
      </w:pPr>
      <w:r>
        <w:t xml:space="preserve">나돌롤은 성인 삽화편두통 환자에서 편두통 예방약제로 사용하는 것을 고려할 수 있다. (근거수준: 보통, 권고등급: 약함)</w:t>
      </w:r>
    </w:p>
    <w:p>
      <w:pPr>
        <w:pStyle w:val="Compact"/>
        <w:numPr>
          <w:numId w:val="1007"/>
          <w:ilvl w:val="1"/>
        </w:numPr>
      </w:pPr>
      <w:r>
        <w:t xml:space="preserve">네비볼롤은 성인 삽화편두통 환자에서 편두통 예방약제로 사용하는 것을 고려할 수 있다. (근거수준: 낮음, 권고등급: 약함)</w:t>
      </w:r>
    </w:p>
    <w:p>
      <w:pPr>
        <w:pStyle w:val="Compact"/>
        <w:numPr>
          <w:numId w:val="1007"/>
          <w:ilvl w:val="1"/>
        </w:numPr>
      </w:pPr>
      <w:r>
        <w:t xml:space="preserve">비소프롤롤은 성인 삽화편두통 환자에서 편두통 예방약제로 사용하지 않을 것을 제안한다. (근거수준: U (낮음 or 전문가의견), 권고등급: 약함)</w:t>
      </w:r>
    </w:p>
    <w:p>
      <w:pPr>
        <w:pStyle w:val="Compact"/>
        <w:numPr>
          <w:numId w:val="1007"/>
          <w:ilvl w:val="1"/>
        </w:numPr>
      </w:pPr>
      <w:r>
        <w:t xml:space="preserve">핀돌롤은 성인 삽화편두통 환자에서 편두통 예방약제로 사용하지 않을 것을 제안한다. (근거수준: U (낮음 또는 전문가의견), 권고등급: 약함)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4. 성인 삽화편두통 환자에서 예방치료로 칼슘통로차단제를 사용하는 것이 타약제, 위약 또는 치료하지 않는 것에 비해 두통의 완화에 효과적인가?</w:t>
      </w:r>
    </w:p>
    <w:p>
      <w:pPr>
        <w:numPr>
          <w:numId w:val="1008"/>
          <w:ilvl w:val="0"/>
        </w:numPr>
      </w:pPr>
      <w:r>
        <w:t xml:space="preserve">권고사항</w:t>
      </w:r>
    </w:p>
    <w:p>
      <w:pPr>
        <w:pStyle w:val="Compact"/>
        <w:numPr>
          <w:numId w:val="1009"/>
          <w:ilvl w:val="1"/>
        </w:numPr>
      </w:pPr>
      <w:r>
        <w:t xml:space="preserve">니카르디핀, 니페디핀, 니모디핀 등은 성인 삽화편두통 환자에서 편두통 예방약제로 사용하지 않을 것을 제안한다. (근거수준: 전문가의견, 권고등급: 약함)</w:t>
      </w:r>
    </w:p>
    <w:p>
      <w:pPr>
        <w:pStyle w:val="Compact"/>
        <w:numPr>
          <w:numId w:val="1009"/>
          <w:ilvl w:val="1"/>
        </w:numPr>
      </w:pPr>
      <w:r>
        <w:t xml:space="preserve">베라파밀은 성인 삽화편두통 환자에서 편두통 예방약제로 사용하지 않을 것을 제안한다. (근거수준: 전문가의견, 권고등급: 약함)</w:t>
      </w:r>
    </w:p>
    <w:p>
      <w:pPr>
        <w:pStyle w:val="Compact"/>
        <w:numPr>
          <w:numId w:val="1009"/>
          <w:ilvl w:val="1"/>
        </w:numPr>
      </w:pPr>
      <w:r>
        <w:t xml:space="preserve">플루나리진은 성인 삽화편두통 환자에서 편두통 예방약제로 사용하는 것을 고려할 수 있다. (근거수준: 높음, 권고등급: 약함)</w:t>
      </w:r>
    </w:p>
    <w:p>
      <w:pPr>
        <w:pStyle w:val="Compact"/>
        <w:numPr>
          <w:numId w:val="1009"/>
          <w:ilvl w:val="1"/>
        </w:numPr>
      </w:pPr>
      <w:r>
        <w:t xml:space="preserve">신나리진은 성인 삽화편두통 환자에서 삼환계 항우울제 및 베타차단제에 효과가 없거나 투여가 어려운 경우 편두통 예방약제로 사용하는 것을 고려할 수 있다. (근거수준: 낮음, 권고등급: 약함)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5. 성인 삽화편두통 환자에서 예방치료로 안지오텐신수용체차단제(angiotensin receptor blocker)나 안지오텐신전환효소억제제(angiotensin-converting enzyme inhibitor)를 사용하는 것이 타약제, 위약 또는 치료하지 않는 것에 비해 두통의 완화에 효과적인가?</w:t>
      </w:r>
    </w:p>
    <w:p>
      <w:pPr>
        <w:numPr>
          <w:numId w:val="1010"/>
          <w:ilvl w:val="0"/>
        </w:numPr>
      </w:pPr>
      <w:r>
        <w:t xml:space="preserve">권고사항</w:t>
      </w:r>
    </w:p>
    <w:p>
      <w:pPr>
        <w:pStyle w:val="Compact"/>
        <w:numPr>
          <w:numId w:val="1011"/>
          <w:ilvl w:val="1"/>
        </w:numPr>
      </w:pPr>
      <w:r>
        <w:t xml:space="preserve">칸데사르탄은 성인 삽화편두통 환자에서 편두통 예방약제로 사용하는 것을 고려할 수 있다. (근거수준: 보통, 권고등급: 약함)</w:t>
      </w:r>
    </w:p>
    <w:p>
      <w:pPr>
        <w:pStyle w:val="Compact"/>
        <w:numPr>
          <w:numId w:val="1011"/>
          <w:ilvl w:val="1"/>
        </w:numPr>
      </w:pPr>
      <w:r>
        <w:t xml:space="preserve">리시노프릴은 성인 삽화편두통 환자에서 편두통 예방약제로 사용하는 것을 고려할 수 있다. (근거수준: 낮음, 권고등급: 약함)</w:t>
      </w:r>
    </w:p>
    <w:p>
      <w:pPr>
        <w:pStyle w:val="Compact"/>
        <w:numPr>
          <w:numId w:val="1011"/>
          <w:ilvl w:val="1"/>
        </w:numPr>
      </w:pPr>
      <w:r>
        <w:t xml:space="preserve">텔미사르탄은 성인 삽화편두통 환자에서 편두통 예방약제로 사용하지 않을 것을 권고한다. (근거수준: 낮음, 권고등급: 강함).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6. 성인 삽화편두통 환자에서 예방치료로 항우울제를 사용하는 것이 타약제, 위약 또는 치료하지 않는 것에 비해 두통의 완화에 효과적인가?</w:t>
      </w:r>
    </w:p>
    <w:p>
      <w:pPr>
        <w:numPr>
          <w:numId w:val="1012"/>
          <w:ilvl w:val="0"/>
        </w:numPr>
      </w:pPr>
      <w:r>
        <w:t xml:space="preserve">권고사항</w:t>
      </w:r>
    </w:p>
    <w:p>
      <w:pPr>
        <w:pStyle w:val="Compact"/>
        <w:numPr>
          <w:numId w:val="1013"/>
          <w:ilvl w:val="1"/>
        </w:numPr>
      </w:pPr>
      <w:r>
        <w:t xml:space="preserve">아미트리프틸린은 성인 삽화편두통 환자에서 편두통 예방약제로 사용하는 것을 권고한다. (근거수준: 보통, 권고등급: 강함)</w:t>
      </w:r>
    </w:p>
    <w:p>
      <w:pPr>
        <w:pStyle w:val="Compact"/>
        <w:numPr>
          <w:numId w:val="1013"/>
          <w:ilvl w:val="1"/>
        </w:numPr>
      </w:pPr>
      <w:r>
        <w:t xml:space="preserve">벤라팍신은 성인 삽화편두통 환자에서 편두통 예방약제로 사용하는 것을 고려할 수 있다. (근거수준: 보통, 권고등급: 약함)</w:t>
      </w:r>
    </w:p>
    <w:p>
      <w:pPr>
        <w:pStyle w:val="Compact"/>
        <w:numPr>
          <w:numId w:val="1013"/>
          <w:ilvl w:val="1"/>
        </w:numPr>
      </w:pPr>
      <w:r>
        <w:t xml:space="preserve">플루옥세틴은 성인 삽화편두통 환자에서 편두통 예방약제로 사용하지 않을 것을 제안한다. (근거수준: 매우낮음, 권고등급: 약함)</w:t>
      </w:r>
    </w:p>
    <w:p>
      <w:pPr>
        <w:pStyle w:val="Compact"/>
        <w:numPr>
          <w:numId w:val="1013"/>
          <w:ilvl w:val="1"/>
        </w:numPr>
      </w:pPr>
      <w:r>
        <w:t xml:space="preserve">노르트리프틸린은 성인 삽화편두통 환자에서 편두통 예방치료제로 사용하는 것을 고려할 수 있다. (근거수준: 매우낮음, 권고등급: 약함)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7. 성인 삽화편두통 환자에서 예방치료로 뇌전증약을 사용하는 것이 타약제, 위약 또는 치료하지 않는 것에 비해 두통의 완화에 효과적인가?</w:t>
      </w:r>
    </w:p>
    <w:p>
      <w:pPr>
        <w:numPr>
          <w:numId w:val="1014"/>
          <w:ilvl w:val="0"/>
        </w:numPr>
      </w:pPr>
      <w:r>
        <w:t xml:space="preserve">권고사항</w:t>
      </w:r>
    </w:p>
    <w:p>
      <w:pPr>
        <w:pStyle w:val="Compact"/>
        <w:numPr>
          <w:numId w:val="1015"/>
          <w:ilvl w:val="1"/>
        </w:numPr>
      </w:pPr>
      <w:r>
        <w:t xml:space="preserve">토피라메이트는 성인 삽화편두통 환자에서 편두통 예방약제로 사용할 것을 권고한다. (근거수준: 높음, 권고등급: 강함)</w:t>
      </w:r>
    </w:p>
    <w:p>
      <w:pPr>
        <w:pStyle w:val="Compact"/>
        <w:numPr>
          <w:numId w:val="1015"/>
          <w:ilvl w:val="1"/>
        </w:numPr>
      </w:pPr>
      <w:r>
        <w:t xml:space="preserve">디발프로엑스나트륨은 성인 삽화편두통 환자에서 편두통 예방약제로 사용할 것을 권고한다. 단, 체중 증가, 다낭성 난소 증후군 등의 부작용이 있어 여성에서 사용이 제한될 수도 있다. (근거수준: 높음, 권고등급: 강함) 발프로산은 성인 삽화편두통 환자에서 편두통 예방약제로 사용하는 것을 고려할 수 있다. (근거수준: 높음, 권고등급: 약함)</w:t>
      </w:r>
    </w:p>
    <w:p>
      <w:pPr>
        <w:pStyle w:val="Compact"/>
        <w:numPr>
          <w:numId w:val="1015"/>
          <w:ilvl w:val="1"/>
        </w:numPr>
      </w:pPr>
      <w:r>
        <w:t xml:space="preserve">가바펜틴은 성인 삽화편두통 환자에서 편두통 예방약제로 사용하지 않을 것을 제안한다. (근거수준: 매우낮음, 권고등급: 약함)</w:t>
      </w:r>
    </w:p>
    <w:p>
      <w:pPr>
        <w:pStyle w:val="Compact"/>
        <w:numPr>
          <w:numId w:val="1015"/>
          <w:ilvl w:val="1"/>
        </w:numPr>
      </w:pPr>
      <w:r>
        <w:t xml:space="preserve">레베티라세탐은 성인 삽화편두통 환자에서 편두통 예방약제로 사용하는 것을 고려할 수 있다. (근거수준: 낮음, 권고등급: 약함)</w:t>
      </w:r>
    </w:p>
    <w:p>
      <w:pPr>
        <w:pStyle w:val="Compact"/>
        <w:numPr>
          <w:numId w:val="1015"/>
          <w:ilvl w:val="1"/>
        </w:numPr>
      </w:pPr>
      <w:r>
        <w:t xml:space="preserve">조니사미드는 성인 삽화편두통 환자에서 편두통 예방약제로 사용하는 것을 고려할 수 있다. 토피라메이트가 가지고 있는 여러 부작용이 우려되고 다른 약제의 체중증가가 부담된다면 조니사미드를 고려해볼 수 있다. (근거수준: 낮음, 권고등급: 약함)</w:t>
      </w:r>
    </w:p>
    <w:p>
      <w:pPr>
        <w:pStyle w:val="Heading1"/>
      </w:pPr>
      <w:bookmarkStart w:id="26" w:name="section-4"/>
      <w:r>
        <w:t xml:space="preserve">개요</w:t>
      </w:r>
      <w:bookmarkEnd w:id="26"/>
    </w:p>
    <w:p>
      <w:pPr>
        <w:pStyle w:val="FirstParagraph"/>
      </w:pPr>
      <w:r>
        <w:t xml:space="preserve">두통은 신경과 외래진료를 보게 되는 가장 흔한 증상으로, 평생 동안 전 인구의 70% 이상이 두통을 경험하는 것으로 알려져 있다. 병원에 내원하는 두통환자에서 가장 흔한 원인은 편두통이며, 전 세계적 유병률은 10% 내외로 추산되고 국내연구(Korean Headache Survey)에서 편두통 유병률은 6% (남자 3%, 여자 9%)였다.</w:t>
      </w:r>
    </w:p>
    <w:p>
      <w:pPr>
        <w:pStyle w:val="BodyText"/>
      </w:pPr>
      <w:r>
        <w:t xml:space="preserve">편두통 유병률은 사회경제적 활동이 보통 최고조에 이르는 30대부터 50대의 연령에서 높기 때문에, 편두통이 사회에 미치는 영향은 클 수 밖에 없다. 미국의 인구집단연구 결과에 따르면, 편두통으로 인해 학교 또는 직장에 결석하는 직접손실비용은 연간 10억 달러 이상이며, 학습이나 업무능률의 저하와 같은 간접손실비용은 연간 200억 달러에 달하는 것으로 조사되었다.</w:t>
      </w:r>
    </w:p>
    <w:p>
      <w:pPr>
        <w:pStyle w:val="BodyText"/>
      </w:pPr>
      <w:r>
        <w:t xml:space="preserve">국제보건기구(World Health Organization)의 2013년도 세계질병부담연구(Global Burden of Disease 2013)에 따르면 편두통은 전체 질병에 의한 부담 중 7%를 차지하고 전체질병 중에서 6번째로 장애를 유발하였다.</w:t>
      </w:r>
    </w:p>
    <w:p>
      <w:pPr>
        <w:pStyle w:val="BodyText"/>
      </w:pPr>
      <w:r>
        <w:t xml:space="preserve">편두통은 대표적인 원발두통질환으로 과민한 뇌의 특성 그 자체로 인하여 두통이 발생하는 것으로 알려져 있다. 편두통을 임상적 특징으로 정의하면 발작적으로 발생하는 삽화성 경과의 두통과 함께 신경학적 증상의 동반을 반복적으로 경험하게 되는 만성 통증질환이다.</w:t>
      </w:r>
    </w:p>
    <w:p>
      <w:pPr>
        <w:pStyle w:val="BodyText"/>
      </w:pPr>
      <w:r>
        <w:t xml:space="preserve">국제두통질환분류에서 편두통은 다양한 아형으로 정의될 수 있으며, 조짐여부에 따라 무조짐편두통과 조짐편두통으로 크게 구분하고 있다. 또한, 두통빈도에 따라 두통일수가 한 달에15일 이상이면서 그 기간이 3개월을 초과하는 경우에 만성편두통으로, 그 이하인 경우 삽화편두통으로 진단 분류된다. 삽화편두통 환자 중 일부는 만성편두통으로 진행되거나 삽화편두통 상태에서도 두통빈도의 악화 또는 급성기치료의 효율저하로 인하여 편두통으로 인한 일상생활의 장애(migraine-related disability)를 경험할 수 있다. 따라서, 삽화편두통 환자의 편두통 장애룰 감소시키기 위한 적절한 편두통예방치료의 전략이 필요하며, 임상현장에서는 이를 위해 참고할 편두통예방치료 진료지침이 필요하다. 삽화편두통의 경우 기존의 다양한 경구약물을 바탕으로 한 편두통예방치료의 근거와 국외진료지침이 있다. 따라서, 본 진료지침에서는 기존 및 최신의 근거를 체계적으로 고찰하고 국내의 삽화편두통 환자의 진료에서 활용이 가능한 편두통예방치료의 권고안을 제시하려 한다.</w:t>
      </w:r>
    </w:p>
    <w:p>
      <w:pPr>
        <w:pStyle w:val="Heading1"/>
      </w:pPr>
      <w:bookmarkStart w:id="27" w:name="appendix"/>
      <w:r>
        <w:t xml:space="preserve">Appendix</w:t>
      </w:r>
      <w:bookmarkEnd w:id="27"/>
    </w:p>
    <w:p>
      <w:pPr>
        <w:pStyle w:val="Heading1"/>
      </w:pPr>
      <w:bookmarkStart w:id="28" w:name="section-5"/>
      <w:r>
        <w:t xml:space="preserve">개발그룹</w:t>
      </w:r>
      <w:bookmarkEnd w:id="28"/>
    </w:p>
    <w:p>
      <w:pPr>
        <w:pStyle w:val="Heading2"/>
      </w:pPr>
      <w:bookmarkStart w:id="29" w:name="section-6"/>
      <w:r>
        <w:t xml:space="preserve">운영위원회</w:t>
      </w:r>
      <w:bookmarkEnd w:id="29"/>
    </w:p>
    <w:p>
      <w:pPr>
        <w:pStyle w:val="Compact"/>
        <w:numPr>
          <w:numId w:val="1016"/>
          <w:ilvl w:val="0"/>
        </w:numPr>
      </w:pPr>
      <w:r>
        <w:t xml:space="preserve">위원장: 인제대학교 정재면</w:t>
      </w:r>
    </w:p>
    <w:p>
      <w:pPr>
        <w:pStyle w:val="Compact"/>
        <w:numPr>
          <w:numId w:val="1016"/>
          <w:ilvl w:val="0"/>
        </w:numPr>
      </w:pPr>
      <w:r>
        <w:t xml:space="preserve">간사: 중앙대학교 박광열</w:t>
      </w:r>
    </w:p>
    <w:p>
      <w:pPr>
        <w:pStyle w:val="Heading2"/>
      </w:pPr>
      <w:bookmarkStart w:id="30" w:name="section-7"/>
      <w:r>
        <w:t xml:space="preserve">자문위원회</w:t>
      </w:r>
      <w:bookmarkEnd w:id="30"/>
    </w:p>
    <w:p>
      <w:pPr>
        <w:pStyle w:val="Compact"/>
        <w:numPr>
          <w:numId w:val="1017"/>
          <w:ilvl w:val="0"/>
        </w:numPr>
      </w:pPr>
      <w:r>
        <w:t xml:space="preserve">을지대학교 김병건</w:t>
      </w:r>
    </w:p>
    <w:p>
      <w:pPr>
        <w:pStyle w:val="Compact"/>
        <w:numPr>
          <w:numId w:val="1017"/>
          <w:ilvl w:val="0"/>
        </w:numPr>
      </w:pPr>
      <w:r>
        <w:t xml:space="preserve">연세대학교 김원주</w:t>
      </w:r>
    </w:p>
    <w:p>
      <w:pPr>
        <w:pStyle w:val="Heading2"/>
      </w:pPr>
      <w:bookmarkStart w:id="31" w:name="section-8"/>
      <w:r>
        <w:t xml:space="preserve">외부자문그룹</w:t>
      </w:r>
      <w:bookmarkEnd w:id="31"/>
    </w:p>
    <w:p>
      <w:pPr>
        <w:pStyle w:val="Compact"/>
        <w:numPr>
          <w:numId w:val="1018"/>
          <w:ilvl w:val="0"/>
        </w:numPr>
      </w:pPr>
      <w:r>
        <w:t xml:space="preserve">순천향대학교 이유경</w:t>
      </w:r>
    </w:p>
    <w:p>
      <w:pPr>
        <w:pStyle w:val="Compact"/>
        <w:numPr>
          <w:numId w:val="1018"/>
          <w:ilvl w:val="0"/>
        </w:numPr>
      </w:pPr>
      <w:r>
        <w:t xml:space="preserve">NECA 박동아</w:t>
      </w:r>
    </w:p>
    <w:p>
      <w:pPr>
        <w:pStyle w:val="Heading2"/>
      </w:pPr>
      <w:bookmarkStart w:id="32" w:name="section-9"/>
      <w:r>
        <w:t xml:space="preserve">실무위원회및 근거평가그룹</w:t>
      </w:r>
      <w:bookmarkEnd w:id="32"/>
    </w:p>
    <w:p>
      <w:pPr>
        <w:pStyle w:val="Compact"/>
        <w:numPr>
          <w:numId w:val="1019"/>
          <w:ilvl w:val="0"/>
        </w:numPr>
      </w:pPr>
      <w:r>
        <w:t xml:space="preserve">분당제생병원 김병수</w:t>
      </w:r>
    </w:p>
    <w:p>
      <w:pPr>
        <w:pStyle w:val="Compact"/>
        <w:numPr>
          <w:numId w:val="1019"/>
          <w:ilvl w:val="0"/>
        </w:numPr>
      </w:pPr>
      <w:r>
        <w:t xml:space="preserve">경북대학교 서종근</w:t>
      </w:r>
    </w:p>
    <w:p>
      <w:pPr>
        <w:pStyle w:val="Compact"/>
        <w:numPr>
          <w:numId w:val="1019"/>
          <w:ilvl w:val="0"/>
        </w:numPr>
      </w:pPr>
      <w:r>
        <w:t xml:space="preserve">한림대학교 손종희</w:t>
      </w:r>
    </w:p>
    <w:p>
      <w:pPr>
        <w:pStyle w:val="Compact"/>
        <w:numPr>
          <w:numId w:val="1019"/>
          <w:ilvl w:val="0"/>
        </w:numPr>
      </w:pPr>
      <w:r>
        <w:t xml:space="preserve">이화여자대학교 송태진</w:t>
      </w:r>
    </w:p>
    <w:p>
      <w:pPr>
        <w:pStyle w:val="Compact"/>
        <w:numPr>
          <w:numId w:val="1019"/>
          <w:ilvl w:val="0"/>
        </w:numPr>
      </w:pPr>
      <w:r>
        <w:t xml:space="preserve">성균관대학교 이미지</w:t>
      </w:r>
    </w:p>
    <w:p>
      <w:pPr>
        <w:pStyle w:val="Compact"/>
        <w:numPr>
          <w:numId w:val="1019"/>
          <w:ilvl w:val="0"/>
        </w:numPr>
      </w:pPr>
      <w:r>
        <w:t xml:space="preserve">성균관대학교 정필욱</w:t>
      </w:r>
    </w:p>
    <w:p>
      <w:pPr>
        <w:pStyle w:val="Compact"/>
        <w:numPr>
          <w:numId w:val="1019"/>
          <w:ilvl w:val="0"/>
        </w:numPr>
      </w:pPr>
      <w:r>
        <w:t xml:space="preserve">NECA 최미영</w:t>
      </w:r>
    </w:p>
    <w:p>
      <w:pPr>
        <w:pStyle w:val="Compact"/>
        <w:numPr>
          <w:numId w:val="1019"/>
          <w:ilvl w:val="0"/>
        </w:numPr>
      </w:pPr>
      <w:r>
        <w:t xml:space="preserve">전주예수병원 최윤주</w:t>
      </w:r>
    </w:p>
    <w:p>
      <w:pPr>
        <w:pStyle w:val="Heading2"/>
      </w:pPr>
      <w:bookmarkStart w:id="33" w:name="section-10"/>
      <w:r>
        <w:t xml:space="preserve">이해관계 선언</w:t>
      </w:r>
      <w:bookmarkEnd w:id="33"/>
    </w:p>
    <w:p>
      <w:pPr>
        <w:pStyle w:val="FirstParagraph"/>
      </w:pPr>
      <w:r>
        <w:t xml:space="preserve">운영위원회및 실무위원회의 모든 위원은 자문료, 연구비, 지적재산권드의 재정적 이해상충, 지적이해상충, 그리고 개인적 이해상충을 문서로 공개하였다.</w:t>
      </w:r>
    </w:p>
    <w:p>
      <w:pPr>
        <w:pStyle w:val="Heading2"/>
      </w:pPr>
      <w:bookmarkStart w:id="34" w:name="section-11"/>
      <w:r>
        <w:t xml:space="preserve">운영</w:t>
      </w:r>
      <w:bookmarkEnd w:id="34"/>
    </w:p>
    <w:p>
      <w:pPr>
        <w:pStyle w:val="Heading3"/>
      </w:pPr>
      <w:bookmarkStart w:id="35" w:name="section-12"/>
      <w:r>
        <w:t xml:space="preserve">합의원칙의 결정</w:t>
      </w:r>
      <w:bookmarkEnd w:id="35"/>
    </w:p>
    <w:p>
      <w:pPr>
        <w:pStyle w:val="Compact"/>
        <w:numPr>
          <w:numId w:val="1020"/>
          <w:ilvl w:val="0"/>
        </w:numPr>
      </w:pPr>
      <w:r>
        <w:t xml:space="preserve">토론</w:t>
      </w:r>
    </w:p>
    <w:p>
      <w:pPr>
        <w:pStyle w:val="Heading3"/>
      </w:pPr>
      <w:bookmarkStart w:id="36" w:name="section-13"/>
      <w:r>
        <w:t xml:space="preserve">저자원칙의 결정</w:t>
      </w:r>
      <w:bookmarkEnd w:id="36"/>
    </w:p>
    <w:p>
      <w:pPr>
        <w:pStyle w:val="Compact"/>
        <w:numPr>
          <w:numId w:val="1021"/>
          <w:ilvl w:val="0"/>
        </w:numPr>
      </w:pPr>
      <w:r>
        <w:t xml:space="preserve">초안:</w:t>
      </w:r>
    </w:p>
    <w:p>
      <w:pPr>
        <w:pStyle w:val="Compact"/>
        <w:numPr>
          <w:numId w:val="1021"/>
          <w:ilvl w:val="0"/>
        </w:numPr>
      </w:pPr>
      <w:r>
        <w:t xml:space="preserve">최종보고서: 정재면</w:t>
      </w:r>
    </w:p>
    <w:p>
      <w:pPr>
        <w:pStyle w:val="Compact"/>
        <w:numPr>
          <w:numId w:val="1021"/>
          <w:ilvl w:val="0"/>
        </w:numPr>
      </w:pPr>
      <w:r>
        <w:t xml:space="preserve">저자포함: 개발그룹전체</w:t>
      </w:r>
    </w:p>
    <w:p>
      <w:pPr>
        <w:pStyle w:val="Heading3"/>
      </w:pPr>
      <w:bookmarkStart w:id="37" w:name="section-14"/>
      <w:r>
        <w:t xml:space="preserve">잠재적 승인기구</w:t>
      </w:r>
      <w:bookmarkEnd w:id="37"/>
    </w:p>
    <w:p>
      <w:pPr>
        <w:pStyle w:val="Compact"/>
        <w:numPr>
          <w:numId w:val="1022"/>
          <w:ilvl w:val="0"/>
        </w:numPr>
      </w:pPr>
      <w:r>
        <w:t xml:space="preserve">대한두통학회</w:t>
      </w:r>
    </w:p>
    <w:p>
      <w:pPr>
        <w:pStyle w:val="Compact"/>
        <w:numPr>
          <w:numId w:val="1022"/>
          <w:ilvl w:val="0"/>
        </w:numPr>
      </w:pPr>
      <w:r>
        <w:t xml:space="preserve">대한신경과학회</w:t>
      </w:r>
    </w:p>
    <w:p>
      <w:pPr>
        <w:pStyle w:val="Heading3"/>
      </w:pPr>
      <w:bookmarkStart w:id="38" w:name="section-15"/>
      <w:r>
        <w:t xml:space="preserve">보급전략</w:t>
      </w:r>
      <w:bookmarkEnd w:id="38"/>
    </w:p>
    <w:p>
      <w:pPr>
        <w:pStyle w:val="Compact"/>
        <w:numPr>
          <w:numId w:val="1023"/>
          <w:ilvl w:val="0"/>
        </w:numPr>
      </w:pPr>
      <w:r>
        <w:t xml:space="preserve">대한두통학회와 대한신경과학회 홈페이지 게시</w:t>
      </w:r>
    </w:p>
    <w:p>
      <w:pPr>
        <w:pStyle w:val="Compact"/>
        <w:numPr>
          <w:numId w:val="1023"/>
          <w:ilvl w:val="0"/>
        </w:numPr>
      </w:pPr>
      <w:r>
        <w:t xml:space="preserve">대한두통학회지와 대한신경과학회지에 게재</w:t>
      </w:r>
    </w:p>
    <w:p>
      <w:pPr>
        <w:pStyle w:val="Heading1"/>
      </w:pPr>
      <w:bookmarkStart w:id="39" w:name="section-16"/>
      <w:r>
        <w:t xml:space="preserve">개발 계획</w:t>
      </w:r>
      <w:bookmarkEnd w:id="39"/>
    </w:p>
    <w:p>
      <w:pPr>
        <w:pStyle w:val="Heading2"/>
      </w:pPr>
      <w:bookmarkStart w:id="40" w:name="section-17"/>
      <w:r>
        <w:t xml:space="preserve">기존 진료지침 검색</w:t>
      </w:r>
      <w:bookmarkEnd w:id="40"/>
    </w:p>
    <w:p>
      <w:pPr>
        <w:numPr>
          <w:numId w:val="1024"/>
          <w:ilvl w:val="0"/>
        </w:numPr>
      </w:pPr>
      <w:r>
        <w:t xml:space="preserve">Selection criteria</w:t>
      </w:r>
    </w:p>
    <w:p>
      <w:pPr>
        <w:numPr>
          <w:numId w:val="1000"/>
          <w:ilvl w:val="0"/>
        </w:numPr>
      </w:pPr>
      <w:r>
        <w:t xml:space="preserve">– From 2012 to 2016</w:t>
      </w:r>
    </w:p>
    <w:p>
      <w:pPr>
        <w:numPr>
          <w:numId w:val="1000"/>
          <w:ilvl w:val="0"/>
        </w:numPr>
      </w:pPr>
      <w:r>
        <w:t xml:space="preserve">– Written in English or Korean</w:t>
      </w:r>
    </w:p>
    <w:p>
      <w:pPr>
        <w:numPr>
          <w:numId w:val="1000"/>
          <w:ilvl w:val="0"/>
        </w:numPr>
      </w:pPr>
      <w:r>
        <w:t xml:space="preserve">– By Multi-disciplinary team</w:t>
      </w:r>
    </w:p>
    <w:p>
      <w:pPr>
        <w:numPr>
          <w:numId w:val="1000"/>
          <w:ilvl w:val="0"/>
        </w:numPr>
      </w:pPr>
      <w:r>
        <w:t xml:space="preserve">– Evidence-based method</w:t>
      </w:r>
    </w:p>
    <w:p>
      <w:pPr>
        <w:numPr>
          <w:numId w:val="1024"/>
          <w:ilvl w:val="0"/>
        </w:numPr>
      </w:pPr>
      <w:r>
        <w:t xml:space="preserve">9개의 진료지침 검토</w:t>
      </w:r>
    </w:p>
    <w:p>
      <w:pPr>
        <w:numPr>
          <w:numId w:val="1000"/>
          <w:ilvl w:val="0"/>
        </w:numPr>
      </w:pPr>
      <w:r>
        <w:t xml:space="preserve">– 2012 AAN AHS guideline update for migraine prophylaxis Neurology (김병수, 정필욱)</w:t>
      </w:r>
    </w:p>
    <w:p>
      <w:pPr>
        <w:numPr>
          <w:numId w:val="1000"/>
          <w:ilvl w:val="0"/>
        </w:numPr>
      </w:pPr>
      <w:r>
        <w:t xml:space="preserve">– 2012 Canadian guideline for migraine prophylaxis Can J neurol sci (이미지, 손종희)</w:t>
      </w:r>
    </w:p>
    <w:p>
      <w:pPr>
        <w:numPr>
          <w:numId w:val="1000"/>
          <w:ilvl w:val="0"/>
        </w:numPr>
      </w:pPr>
      <w:r>
        <w:t xml:space="preserve">– 2012 Croatia guideline (송태진, 손종희)</w:t>
      </w:r>
    </w:p>
    <w:p>
      <w:pPr>
        <w:numPr>
          <w:numId w:val="1000"/>
          <w:ilvl w:val="0"/>
        </w:numPr>
      </w:pPr>
      <w:r>
        <w:t xml:space="preserve">– 2012 Danish Guidelines JHP (서종근, 최윤주)</w:t>
      </w:r>
    </w:p>
    <w:p>
      <w:pPr>
        <w:numPr>
          <w:numId w:val="1000"/>
          <w:ilvl w:val="0"/>
        </w:numPr>
      </w:pPr>
      <w:r>
        <w:t xml:space="preserve">– 2012 French guidelines revised JHP (정필욱, 김병수)</w:t>
      </w:r>
    </w:p>
    <w:p>
      <w:pPr>
        <w:numPr>
          <w:numId w:val="1000"/>
          <w:ilvl w:val="0"/>
        </w:numPr>
      </w:pPr>
      <w:r>
        <w:t xml:space="preserve">– 2012 Italian Guidelines revised version -JHP supple (최윤주, 서종근)</w:t>
      </w:r>
    </w:p>
    <w:p>
      <w:pPr>
        <w:numPr>
          <w:numId w:val="1000"/>
          <w:ilvl w:val="0"/>
        </w:numPr>
      </w:pPr>
      <w:r>
        <w:t xml:space="preserve">– ICSI guideline 2013 (original version, full-text) (송태진, 김병수)</w:t>
      </w:r>
    </w:p>
    <w:p>
      <w:pPr>
        <w:numPr>
          <w:numId w:val="1000"/>
          <w:ilvl w:val="0"/>
        </w:numPr>
      </w:pPr>
      <w:r>
        <w:t xml:space="preserve">– NICE guideline for headache in over 12s (2012) (2015 update) (이미지, 김병건)</w:t>
      </w:r>
    </w:p>
    <w:p>
      <w:pPr>
        <w:numPr>
          <w:numId w:val="1000"/>
          <w:ilvl w:val="0"/>
        </w:numPr>
      </w:pPr>
      <w:r>
        <w:t xml:space="preserve">– Practice guideline update summary fot Botulinum neurotoxin (AAN) 2016 neurology (이미지)</w:t>
      </w:r>
    </w:p>
    <w:p>
      <w:pPr>
        <w:pStyle w:val="Heading2"/>
      </w:pPr>
      <w:bookmarkStart w:id="41" w:name="section-18"/>
      <w:r>
        <w:t xml:space="preserve">개발방법</w:t>
      </w:r>
      <w:bookmarkEnd w:id="41"/>
    </w:p>
    <w:p>
      <w:pPr>
        <w:numPr>
          <w:numId w:val="1025"/>
          <w:ilvl w:val="0"/>
        </w:numPr>
      </w:pPr>
      <w:r>
        <w:t xml:space="preserve">Adaptation</w:t>
      </w:r>
    </w:p>
    <w:p>
      <w:pPr>
        <w:numPr>
          <w:numId w:val="1026"/>
          <w:ilvl w:val="1"/>
        </w:numPr>
      </w:pPr>
      <w:r>
        <w:t xml:space="preserve">2012년까지의 진료지침 + 2012년 이후 논문은 핵심질문별로 다시 검색</w:t>
      </w:r>
    </w:p>
    <w:p>
      <w:pPr>
        <w:numPr>
          <w:numId w:val="1026"/>
          <w:ilvl w:val="1"/>
        </w:numPr>
      </w:pPr>
      <w:r>
        <w:t xml:space="preserve">그외 수기로 논문 추가 조사 (논문의 참고문헌등)</w:t>
      </w:r>
    </w:p>
    <w:p>
      <w:pPr>
        <w:pStyle w:val="Heading1"/>
      </w:pPr>
      <w:bookmarkStart w:id="42" w:name="section-19"/>
      <w:r>
        <w:t xml:space="preserve">범위결정과 핵심질문</w:t>
      </w:r>
      <w:bookmarkEnd w:id="42"/>
    </w:p>
    <w:p>
      <w:pPr>
        <w:pStyle w:val="Heading2"/>
      </w:pPr>
      <w:bookmarkStart w:id="43" w:name="section-20"/>
      <w:r>
        <w:t xml:space="preserve">범위결정</w:t>
      </w:r>
      <w:bookmarkEnd w:id="43"/>
    </w:p>
    <w:p>
      <w:pPr>
        <w:numPr>
          <w:numId w:val="1027"/>
          <w:ilvl w:val="0"/>
        </w:numPr>
      </w:pPr>
      <w:r>
        <w:t xml:space="preserve">Population: Adult with frequent and/or moderate-to-severe episodic migraine</w:t>
      </w:r>
    </w:p>
    <w:p>
      <w:pPr>
        <w:numPr>
          <w:numId w:val="1027"/>
          <w:ilvl w:val="0"/>
        </w:numPr>
      </w:pPr>
      <w:r>
        <w:t xml:space="preserve">Intervention: Drug</w:t>
      </w:r>
    </w:p>
    <w:p>
      <w:pPr>
        <w:pStyle w:val="Compact"/>
        <w:numPr>
          <w:numId w:val="1028"/>
          <w:ilvl w:val="1"/>
        </w:numPr>
      </w:pPr>
      <w:r>
        <w:t xml:space="preserve">Anti-epileptic drug</w:t>
      </w:r>
    </w:p>
    <w:p>
      <w:pPr>
        <w:pStyle w:val="Compact"/>
        <w:numPr>
          <w:numId w:val="1028"/>
          <w:ilvl w:val="1"/>
        </w:numPr>
      </w:pPr>
      <w:r>
        <w:t xml:space="preserve">Beta blocker/CCB/ARB/ACE</w:t>
      </w:r>
    </w:p>
    <w:p>
      <w:pPr>
        <w:pStyle w:val="Compact"/>
        <w:numPr>
          <w:numId w:val="1028"/>
          <w:ilvl w:val="1"/>
        </w:numPr>
      </w:pPr>
      <w:r>
        <w:t xml:space="preserve">Anti-Depressant</w:t>
      </w:r>
    </w:p>
    <w:p>
      <w:pPr>
        <w:numPr>
          <w:numId w:val="1027"/>
          <w:ilvl w:val="0"/>
        </w:numPr>
      </w:pPr>
      <w:r>
        <w:t xml:space="preserve">Professional:</w:t>
      </w:r>
    </w:p>
    <w:p>
      <w:pPr>
        <w:pStyle w:val="Compact"/>
        <w:numPr>
          <w:numId w:val="1029"/>
          <w:ilvl w:val="1"/>
        </w:numPr>
      </w:pPr>
      <w:r>
        <w:t xml:space="preserve">Primary care physician, Nurse, and healthcare professionals</w:t>
      </w:r>
    </w:p>
    <w:p>
      <w:pPr>
        <w:numPr>
          <w:numId w:val="1027"/>
          <w:ilvl w:val="0"/>
        </w:numPr>
      </w:pPr>
      <w:r>
        <w:t xml:space="preserve">Outcome: The frequency of migraine prevention drug prescription as suggested</w:t>
      </w:r>
    </w:p>
    <w:p>
      <w:pPr>
        <w:numPr>
          <w:numId w:val="1027"/>
          <w:ilvl w:val="0"/>
        </w:numPr>
      </w:pPr>
      <w:r>
        <w:t xml:space="preserve">Healthcare setting: Primary care setting in Korea</w:t>
      </w:r>
    </w:p>
    <w:p>
      <w:pPr>
        <w:pStyle w:val="Heading2"/>
      </w:pPr>
      <w:bookmarkStart w:id="44" w:name="key-questions"/>
      <w:r>
        <w:t xml:space="preserve">Key Questions</w:t>
      </w:r>
      <w:bookmarkEnd w:id="44"/>
    </w:p>
    <w:p>
      <w:pPr>
        <w:numPr>
          <w:numId w:val="1030"/>
          <w:ilvl w:val="0"/>
        </w:numPr>
      </w:pPr>
      <w:r>
        <w:t xml:space="preserve">Episodic migraine환자에서 예방치료를 고려해야 하는 요인들(두통빈도, 두 통강도, 환자의 선호도, ADL에 대한 영향 등)은 무엇인가?</w:t>
      </w:r>
    </w:p>
    <w:p>
      <w:pPr>
        <w:numPr>
          <w:numId w:val="1030"/>
          <w:ilvl w:val="0"/>
        </w:numPr>
      </w:pPr>
      <w:r>
        <w:t xml:space="preserve">예방치료를 진행중인 episodic migraine환자에서 치료의 중단은 어떻게 결 정해야 하는가?</w:t>
      </w:r>
    </w:p>
    <w:p>
      <w:pPr>
        <w:numPr>
          <w:numId w:val="1030"/>
          <w:ilvl w:val="0"/>
        </w:numPr>
      </w:pPr>
      <w:r>
        <w:t xml:space="preserve">Episodic migraine환자에서 예방치료로 베타차단제(beta blocker: propranolol 등)를 사용하는 것이 타약제, 위약 또는 치료하지 않는 것에 비해 두통의 완화에 효과적인가?</w:t>
      </w:r>
    </w:p>
    <w:p>
      <w:pPr>
        <w:numPr>
          <w:numId w:val="1030"/>
          <w:ilvl w:val="0"/>
        </w:numPr>
      </w:pPr>
      <w:r>
        <w:t xml:space="preserve">Episodic migraine환자에서 예방치료로 칼슘채널차단제(calcium channel blocker: flunarizine 등)를 사용하는 것이 타약제, 위약 또는 치료하지 않는 것에 비해 두통의 완화에 효과적인가?</w:t>
      </w:r>
    </w:p>
    <w:p>
      <w:pPr>
        <w:numPr>
          <w:numId w:val="1030"/>
          <w:ilvl w:val="0"/>
        </w:numPr>
      </w:pPr>
      <w:r>
        <w:t xml:space="preserve">Episodic migraine환자에서 예방치료로 안지오텐신전환효소억제제(angiotensin converting enzyme inhibitor)나 안지오텐신수용체차단제(angiotensin receptor blocker: candesartan 등)를 사용하는 것이 타약제, 위약 또는 치료 하지 않는 것에 비해 두통의 완화에 효과적인가?</w:t>
      </w:r>
    </w:p>
    <w:p>
      <w:pPr>
        <w:numPr>
          <w:numId w:val="1030"/>
          <w:ilvl w:val="0"/>
        </w:numPr>
      </w:pPr>
      <w:r>
        <w:t xml:space="preserve">Episodic migraine환자에서 예방치료로 항우울제(anti-depressant: amitryptiline 등)를 사용하는 것이 타약제, 위약 또는 치료하지 않는 것에 비해 두통의 완화에 효과적인가?</w:t>
      </w:r>
    </w:p>
    <w:p>
      <w:pPr>
        <w:numPr>
          <w:numId w:val="1030"/>
          <w:ilvl w:val="0"/>
        </w:numPr>
      </w:pPr>
      <w:r>
        <w:t xml:space="preserve">Episodic migraine환자에서 예방치료로 항경련제(anti-epileptic agent: divalproex sodium, sodium valproate, topiramate 등)를 사용하는 것이 타약제, 위약 또는 치료하지 않는 것에 비해 두통의 완화에 효과적인가?</w:t>
      </w:r>
    </w:p>
    <w:p>
      <w:pPr>
        <w:pStyle w:val="Heading2"/>
      </w:pPr>
      <w:bookmarkStart w:id="45" w:name="drugs"/>
      <w:r>
        <w:t xml:space="preserve">Drugs</w:t>
      </w:r>
      <w:bookmarkEnd w:id="45"/>
    </w:p>
    <w:p>
      <w:pPr>
        <w:numPr>
          <w:numId w:val="1031"/>
          <w:ilvl w:val="0"/>
        </w:numPr>
      </w:pPr>
      <w:r>
        <w:t xml:space="preserve">Beta blocker</w:t>
      </w:r>
    </w:p>
    <w:p>
      <w:pPr>
        <w:pStyle w:val="Compact"/>
        <w:numPr>
          <w:numId w:val="1032"/>
          <w:ilvl w:val="1"/>
        </w:numPr>
      </w:pPr>
      <w:r>
        <w:t xml:space="preserve">propranolol</w:t>
      </w:r>
    </w:p>
    <w:p>
      <w:pPr>
        <w:pStyle w:val="Compact"/>
        <w:numPr>
          <w:numId w:val="1032"/>
          <w:ilvl w:val="1"/>
        </w:numPr>
      </w:pPr>
      <w:r>
        <w:t xml:space="preserve">Metoprolol</w:t>
      </w:r>
    </w:p>
    <w:p>
      <w:pPr>
        <w:pStyle w:val="Compact"/>
        <w:numPr>
          <w:numId w:val="1032"/>
          <w:ilvl w:val="1"/>
        </w:numPr>
      </w:pPr>
      <w:r>
        <w:t xml:space="preserve">Timolol</w:t>
      </w:r>
    </w:p>
    <w:p>
      <w:pPr>
        <w:pStyle w:val="Compact"/>
        <w:numPr>
          <w:numId w:val="1032"/>
          <w:ilvl w:val="1"/>
        </w:numPr>
      </w:pPr>
      <w:r>
        <w:t xml:space="preserve">Atenolol</w:t>
      </w:r>
    </w:p>
    <w:p>
      <w:pPr>
        <w:pStyle w:val="Compact"/>
        <w:numPr>
          <w:numId w:val="1032"/>
          <w:ilvl w:val="1"/>
        </w:numPr>
      </w:pPr>
      <w:r>
        <w:t xml:space="preserve">Nadolol</w:t>
      </w:r>
    </w:p>
    <w:p>
      <w:pPr>
        <w:pStyle w:val="Compact"/>
        <w:numPr>
          <w:numId w:val="1032"/>
          <w:ilvl w:val="1"/>
        </w:numPr>
      </w:pPr>
      <w:r>
        <w:t xml:space="preserve">Nebivolol</w:t>
      </w:r>
    </w:p>
    <w:p>
      <w:pPr>
        <w:pStyle w:val="Compact"/>
        <w:numPr>
          <w:numId w:val="1032"/>
          <w:ilvl w:val="1"/>
        </w:numPr>
      </w:pPr>
      <w:r>
        <w:t xml:space="preserve">Pindolol</w:t>
      </w:r>
    </w:p>
    <w:p>
      <w:pPr>
        <w:numPr>
          <w:numId w:val="1031"/>
          <w:ilvl w:val="0"/>
        </w:numPr>
      </w:pPr>
      <w:r>
        <w:t xml:space="preserve">Calcium channel blocker</w:t>
      </w:r>
    </w:p>
    <w:p>
      <w:pPr>
        <w:pStyle w:val="Compact"/>
        <w:numPr>
          <w:numId w:val="1033"/>
          <w:ilvl w:val="1"/>
        </w:numPr>
      </w:pPr>
      <w:r>
        <w:t xml:space="preserve">flunarizine</w:t>
      </w:r>
    </w:p>
    <w:p>
      <w:pPr>
        <w:pStyle w:val="Compact"/>
        <w:numPr>
          <w:numId w:val="1033"/>
          <w:ilvl w:val="1"/>
        </w:numPr>
      </w:pPr>
      <w:r>
        <w:t xml:space="preserve">cinnarizine</w:t>
      </w:r>
    </w:p>
    <w:p>
      <w:pPr>
        <w:pStyle w:val="Compact"/>
        <w:numPr>
          <w:numId w:val="1033"/>
          <w:ilvl w:val="1"/>
        </w:numPr>
      </w:pPr>
      <w:r>
        <w:t xml:space="preserve">verapamil</w:t>
      </w:r>
    </w:p>
    <w:p>
      <w:pPr>
        <w:pStyle w:val="Compact"/>
        <w:numPr>
          <w:numId w:val="1033"/>
          <w:ilvl w:val="1"/>
        </w:numPr>
      </w:pPr>
      <w:r>
        <w:t xml:space="preserve">nicardipine</w:t>
      </w:r>
    </w:p>
    <w:p>
      <w:pPr>
        <w:numPr>
          <w:numId w:val="1031"/>
          <w:ilvl w:val="0"/>
        </w:numPr>
      </w:pPr>
      <w:r>
        <w:t xml:space="preserve">angiotensin converting enzyme inhibitor or angiotensin receptor blocker</w:t>
      </w:r>
    </w:p>
    <w:p>
      <w:pPr>
        <w:pStyle w:val="Compact"/>
        <w:numPr>
          <w:numId w:val="1034"/>
          <w:ilvl w:val="1"/>
        </w:numPr>
      </w:pPr>
      <w:r>
        <w:t xml:space="preserve">Lisinopril</w:t>
      </w:r>
    </w:p>
    <w:p>
      <w:pPr>
        <w:pStyle w:val="Compact"/>
        <w:numPr>
          <w:numId w:val="1034"/>
          <w:ilvl w:val="1"/>
        </w:numPr>
      </w:pPr>
      <w:r>
        <w:t xml:space="preserve">candesartan</w:t>
      </w:r>
    </w:p>
    <w:p>
      <w:pPr>
        <w:numPr>
          <w:numId w:val="1031"/>
          <w:ilvl w:val="0"/>
        </w:numPr>
      </w:pPr>
      <w:r>
        <w:t xml:space="preserve">anti-depressant</w:t>
      </w:r>
    </w:p>
    <w:p>
      <w:pPr>
        <w:pStyle w:val="Compact"/>
        <w:numPr>
          <w:numId w:val="1035"/>
          <w:ilvl w:val="1"/>
        </w:numPr>
      </w:pPr>
      <w:r>
        <w:t xml:space="preserve">amitryptiline</w:t>
      </w:r>
    </w:p>
    <w:p>
      <w:pPr>
        <w:pStyle w:val="Compact"/>
        <w:numPr>
          <w:numId w:val="1035"/>
          <w:ilvl w:val="1"/>
        </w:numPr>
      </w:pPr>
      <w:r>
        <w:t xml:space="preserve">nortriptyline</w:t>
      </w:r>
    </w:p>
    <w:p>
      <w:pPr>
        <w:pStyle w:val="Compact"/>
        <w:numPr>
          <w:numId w:val="1035"/>
          <w:ilvl w:val="1"/>
        </w:numPr>
      </w:pPr>
      <w:r>
        <w:t xml:space="preserve">Venlafaxine</w:t>
      </w:r>
    </w:p>
    <w:p>
      <w:pPr>
        <w:pStyle w:val="Compact"/>
        <w:numPr>
          <w:numId w:val="1035"/>
          <w:ilvl w:val="1"/>
        </w:numPr>
      </w:pPr>
      <w:r>
        <w:t xml:space="preserve">Fluoxetine</w:t>
      </w:r>
    </w:p>
    <w:p>
      <w:pPr>
        <w:numPr>
          <w:numId w:val="1031"/>
          <w:ilvl w:val="0"/>
        </w:numPr>
      </w:pPr>
      <w:r>
        <w:t xml:space="preserve">anti-epileptic agent</w:t>
      </w:r>
    </w:p>
    <w:p>
      <w:pPr>
        <w:pStyle w:val="Compact"/>
        <w:numPr>
          <w:numId w:val="1036"/>
          <w:ilvl w:val="1"/>
        </w:numPr>
      </w:pPr>
      <w:r>
        <w:t xml:space="preserve">divalproex sodium</w:t>
      </w:r>
    </w:p>
    <w:p>
      <w:pPr>
        <w:pStyle w:val="Compact"/>
        <w:numPr>
          <w:numId w:val="1036"/>
          <w:ilvl w:val="1"/>
        </w:numPr>
      </w:pPr>
      <w:r>
        <w:t xml:space="preserve">sodium valproate</w:t>
      </w:r>
    </w:p>
    <w:p>
      <w:pPr>
        <w:pStyle w:val="Compact"/>
        <w:numPr>
          <w:numId w:val="1036"/>
          <w:ilvl w:val="1"/>
        </w:numPr>
      </w:pPr>
      <w:r>
        <w:t xml:space="preserve">topiramate</w:t>
      </w:r>
    </w:p>
    <w:p>
      <w:pPr>
        <w:pStyle w:val="Compact"/>
        <w:numPr>
          <w:numId w:val="1036"/>
          <w:ilvl w:val="1"/>
        </w:numPr>
      </w:pPr>
      <w:r>
        <w:t xml:space="preserve">Carbamazepine</w:t>
      </w:r>
    </w:p>
    <w:p>
      <w:pPr>
        <w:pStyle w:val="Compact"/>
        <w:numPr>
          <w:numId w:val="1036"/>
          <w:ilvl w:val="1"/>
        </w:numPr>
      </w:pPr>
      <w:r>
        <w:t xml:space="preserve">Gabapentin</w:t>
      </w:r>
    </w:p>
    <w:p>
      <w:pPr>
        <w:pStyle w:val="Heading1"/>
      </w:pPr>
      <w:bookmarkStart w:id="46" w:name="section-21"/>
      <w:r>
        <w:t xml:space="preserve">지침및 근거검색</w:t>
      </w:r>
      <w:bookmarkEnd w:id="46"/>
    </w:p>
    <w:p>
      <w:pPr>
        <w:pStyle w:val="FirstParagraph"/>
      </w:pPr>
      <w:r>
        <w:drawing>
          <wp:inline>
            <wp:extent cx="5334000" cy="4178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c/SearchProc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ection-22"/>
      <w:r>
        <w:t xml:space="preserve">지침검색</w:t>
      </w:r>
      <w:bookmarkEnd w:id="48"/>
    </w:p>
    <w:p>
      <w:pPr>
        <w:pStyle w:val="Compact"/>
        <w:numPr>
          <w:numId w:val="1037"/>
          <w:ilvl w:val="0"/>
        </w:numPr>
      </w:pPr>
      <w:r>
        <w:t xml:space="preserve">National guideline clearinghouse</w:t>
      </w:r>
    </w:p>
    <w:p>
      <w:pPr>
        <w:pStyle w:val="Compact"/>
        <w:numPr>
          <w:numId w:val="1037"/>
          <w:ilvl w:val="0"/>
        </w:numPr>
      </w:pPr>
      <w:r>
        <w:t xml:space="preserve">Guideline international network</w:t>
      </w:r>
    </w:p>
    <w:p>
      <w:pPr>
        <w:pStyle w:val="Compact"/>
        <w:numPr>
          <w:numId w:val="1037"/>
          <w:ilvl w:val="0"/>
        </w:numPr>
      </w:pPr>
      <w:r>
        <w:t xml:space="preserve">Pubmed</w:t>
      </w:r>
    </w:p>
    <w:p>
      <w:pPr>
        <w:pStyle w:val="Compact"/>
        <w:numPr>
          <w:numId w:val="1037"/>
          <w:ilvl w:val="0"/>
        </w:numPr>
      </w:pPr>
      <w:r>
        <w:t xml:space="preserve">Google search</w:t>
      </w:r>
    </w:p>
    <w:p>
      <w:pPr>
        <w:pStyle w:val="Compact"/>
        <w:numPr>
          <w:numId w:val="1037"/>
          <w:ilvl w:val="0"/>
        </w:numPr>
      </w:pPr>
      <w:r>
        <w:t xml:space="preserve">KoMGI</w:t>
      </w:r>
    </w:p>
    <w:p>
      <w:pPr>
        <w:pStyle w:val="Compact"/>
        <w:numPr>
          <w:numId w:val="1037"/>
          <w:ilvl w:val="0"/>
        </w:numPr>
      </w:pPr>
      <w:r>
        <w:t xml:space="preserve">KoreaMed - KMBASE</w:t>
      </w:r>
    </w:p>
    <w:p>
      <w:pPr>
        <w:pStyle w:val="Heading2"/>
      </w:pPr>
      <w:bookmarkStart w:id="49" w:name="section-23"/>
      <w:r>
        <w:t xml:space="preserve">근거검색</w:t>
      </w:r>
      <w:bookmarkEnd w:id="49"/>
    </w:p>
    <w:p>
      <w:pPr>
        <w:numPr>
          <w:numId w:val="1038"/>
          <w:ilvl w:val="0"/>
        </w:numPr>
      </w:pPr>
      <w:r>
        <w:t xml:space="preserve">전자문헌검색:</w:t>
      </w:r>
    </w:p>
    <w:p>
      <w:pPr>
        <w:numPr>
          <w:numId w:val="1000"/>
          <w:ilvl w:val="0"/>
        </w:numPr>
      </w:pPr>
      <w:r>
        <w:t xml:space="preserve">-상기 + Ovid DB(MEDLINE/EMBASE) Cochrane library</w:t>
      </w:r>
    </w:p>
    <w:p>
      <w:pPr>
        <w:numPr>
          <w:numId w:val="1038"/>
          <w:ilvl w:val="0"/>
        </w:numPr>
      </w:pPr>
      <w:r>
        <w:t xml:space="preserve">수기검색 (gray literature)</w:t>
      </w:r>
    </w:p>
    <w:p>
      <w:pPr>
        <w:pStyle w:val="Heading2"/>
      </w:pPr>
      <w:bookmarkStart w:id="50" w:name="section-24"/>
      <w:r>
        <w:t xml:space="preserve">핵심질문별 근거 평가자</w:t>
      </w:r>
      <w:bookmarkEnd w:id="50"/>
    </w:p>
    <w:p>
      <w:pPr>
        <w:numPr>
          <w:numId w:val="1039"/>
          <w:ilvl w:val="0"/>
        </w:numPr>
      </w:pPr>
      <w:r>
        <w:t xml:space="preserve">Episodic migraine환자에서 예방치료를 고려해야 하는 요인들(두통빈도, 두 통강도, 환자의 선호도, ADL에 대한 영향 등)은 무엇인가?</w:t>
      </w:r>
    </w:p>
    <w:p>
      <w:pPr>
        <w:pStyle w:val="Compact"/>
        <w:numPr>
          <w:numId w:val="1040"/>
          <w:ilvl w:val="1"/>
        </w:numPr>
      </w:pPr>
      <w:r>
        <w:t xml:space="preserve">김병수</w:t>
      </w:r>
    </w:p>
    <w:p>
      <w:pPr>
        <w:numPr>
          <w:numId w:val="1039"/>
          <w:ilvl w:val="0"/>
        </w:numPr>
      </w:pPr>
      <w:r>
        <w:t xml:space="preserve">예방치료를 진행중인 episodic migraine환자에서 치료의 중단은 어떻게 결 정해야 하는가?</w:t>
      </w:r>
    </w:p>
    <w:p>
      <w:pPr>
        <w:pStyle w:val="Compact"/>
        <w:numPr>
          <w:numId w:val="1041"/>
          <w:ilvl w:val="1"/>
        </w:numPr>
      </w:pPr>
      <w:r>
        <w:t xml:space="preserve">서종근</w:t>
      </w:r>
    </w:p>
    <w:p>
      <w:pPr>
        <w:numPr>
          <w:numId w:val="1039"/>
          <w:ilvl w:val="0"/>
        </w:numPr>
      </w:pPr>
      <w:r>
        <w:t xml:space="preserve">Episodic migraine환자에서 예방치료로 베타차단제(beta blocker: propranolol 등)를 사용하는 것이 타약제, 위약 또는 치료하지 않는 것에 비해 두통의 완화에 효과적인가?</w:t>
      </w:r>
    </w:p>
    <w:p>
      <w:pPr>
        <w:pStyle w:val="Compact"/>
        <w:numPr>
          <w:numId w:val="1042"/>
          <w:ilvl w:val="1"/>
        </w:numPr>
      </w:pPr>
      <w:r>
        <w:t xml:space="preserve">손종희</w:t>
      </w:r>
    </w:p>
    <w:p>
      <w:pPr>
        <w:numPr>
          <w:numId w:val="1039"/>
          <w:ilvl w:val="0"/>
        </w:numPr>
      </w:pPr>
      <w:r>
        <w:t xml:space="preserve">Episodic migraine환자에서 예방치료로 칼슘채널차단제(calcium channel blocker: flunarizine 등)를 사용하는 것이 타약제, 위약 또는 치료하지 않는 것에 비해 두통의 완화에 효과적인가?</w:t>
      </w:r>
    </w:p>
    <w:p>
      <w:pPr>
        <w:pStyle w:val="Compact"/>
        <w:numPr>
          <w:numId w:val="1043"/>
          <w:ilvl w:val="1"/>
        </w:numPr>
      </w:pPr>
      <w:r>
        <w:t xml:space="preserve">송태진</w:t>
      </w:r>
    </w:p>
    <w:p>
      <w:pPr>
        <w:numPr>
          <w:numId w:val="1039"/>
          <w:ilvl w:val="0"/>
        </w:numPr>
      </w:pPr>
      <w:r>
        <w:t xml:space="preserve">Episodic migraine환자에서 예방치료로 안지오텐신전환효소억제제(angiotensin converting enzyme inhibitor)나 안지오텐신수용체차단제(angiotensin receptor blocker: candesartan 등)를 사용하는 것이 타약제, 위약 또는 치료 하지 않는 것에 비해 두통의 완화에 효과적인가?</w:t>
      </w:r>
    </w:p>
    <w:p>
      <w:pPr>
        <w:pStyle w:val="Compact"/>
        <w:numPr>
          <w:numId w:val="1044"/>
          <w:ilvl w:val="1"/>
        </w:numPr>
      </w:pPr>
      <w:r>
        <w:t xml:space="preserve">이미지</w:t>
      </w:r>
    </w:p>
    <w:p>
      <w:pPr>
        <w:numPr>
          <w:numId w:val="1039"/>
          <w:ilvl w:val="0"/>
        </w:numPr>
      </w:pPr>
      <w:r>
        <w:t xml:space="preserve">Episodic migraine환자에서 예방치료로 항우울제(anti-depressant: amitryptiline 등)를 사용하는 것이 타약제, 위약 또는 치료하지 않는 것에 비해 두통의 완화에 효과적인가?</w:t>
      </w:r>
    </w:p>
    <w:p>
      <w:pPr>
        <w:pStyle w:val="Compact"/>
        <w:numPr>
          <w:numId w:val="1045"/>
          <w:ilvl w:val="1"/>
        </w:numPr>
      </w:pPr>
      <w:r>
        <w:t xml:space="preserve">정필욱</w:t>
      </w:r>
    </w:p>
    <w:p>
      <w:pPr>
        <w:numPr>
          <w:numId w:val="1039"/>
          <w:ilvl w:val="0"/>
        </w:numPr>
      </w:pPr>
      <w:r>
        <w:t xml:space="preserve">Episodic migraine환자에서 예방치료로 항경련제(anti-epileptic agent: divalproex sodium, sodium valproate, topiramate 등)를 사용하는 것이 타약제, 위약 또는 치료하지 않는 것에 비해 두통의 완화에 효과적인가?</w:t>
      </w:r>
    </w:p>
    <w:p>
      <w:pPr>
        <w:pStyle w:val="Compact"/>
        <w:numPr>
          <w:numId w:val="1046"/>
          <w:ilvl w:val="1"/>
        </w:numPr>
      </w:pPr>
      <w:r>
        <w:t xml:space="preserve">최윤주</w:t>
      </w:r>
    </w:p>
    <w:p>
      <w:pPr>
        <w:pStyle w:val="Heading1"/>
      </w:pPr>
      <w:bookmarkStart w:id="51" w:name="section-25"/>
      <w:r>
        <w:t xml:space="preserve">삽화성편두통 예방 진료지침</w:t>
      </w:r>
      <w:bookmarkEnd w:id="51"/>
    </w:p>
    <w:p>
      <w:pPr>
        <w:pStyle w:val="Heading1"/>
      </w:pPr>
      <w:bookmarkStart w:id="52" w:name="section-26"/>
      <w:r>
        <w:t xml:space="preserve">외부전문가 리뷰</w:t>
      </w:r>
      <w:bookmarkEnd w:id="52"/>
    </w:p>
    <w:p>
      <w:pPr>
        <w:pStyle w:val="Heading1"/>
      </w:pPr>
      <w:bookmarkStart w:id="53" w:name="section-27"/>
      <w:r>
        <w:t xml:space="preserve">지침 수정 계획과 발표</w:t>
      </w:r>
      <w:bookmarkEnd w:id="5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두통으로 인한 일상생활의 의미있는 장애(headache-related disability)</w:t>
      </w:r>
    </w:p>
    <w:p>
      <w:pPr>
        <w:pStyle w:val="FootnoteText"/>
      </w:pPr>
      <w:r>
        <w:t xml:space="preserve">신체적, 심리적, 사회경제적인 측면을 모두 포함하여 두통 환자가 겪게 되는 일상생활의 장애를 포괄적으로 의미하는 것이다. 즉, 두통으로 인한 신체적인 고통, 불안 또는 우울 등의 심리적 반응, 사회경제적인 비용의 증가, 학업 및 사회활동과 여가활동의 위축 등 삶의 질을 저하시키는 일체의 장애를 말한다. 예를 들면 아래와 같은 것이 있다.</w:t>
      </w:r>
    </w:p>
    <w:p>
      <w:pPr>
        <w:pStyle w:val="Compact"/>
        <w:pStyle w:val="FootnoteText"/>
        <w:numPr>
          <w:numId w:val="1003"/>
          <w:ilvl w:val="0"/>
        </w:numPr>
      </w:pPr>
      <w:r>
        <w:t xml:space="preserve">두통 때문에 학교나 직장을 결석 또는 결근(조퇴 또는 양호실에서 휴식)한 적이 있다.</w:t>
      </w:r>
    </w:p>
    <w:p>
      <w:pPr>
        <w:pStyle w:val="Compact"/>
        <w:pStyle w:val="FootnoteText"/>
        <w:numPr>
          <w:numId w:val="1003"/>
          <w:ilvl w:val="0"/>
        </w:numPr>
      </w:pPr>
      <w:r>
        <w:t xml:space="preserve">두통 때문에 학교나 직장에서 학습능률 또는 업무능력이 절반 이하로 감소한 적이 있다.</w:t>
      </w:r>
    </w:p>
    <w:p>
      <w:pPr>
        <w:pStyle w:val="Compact"/>
        <w:pStyle w:val="FootnoteText"/>
        <w:numPr>
          <w:numId w:val="1003"/>
          <w:ilvl w:val="0"/>
        </w:numPr>
      </w:pPr>
      <w:r>
        <w:t xml:space="preserve">학교나 직장을 다니지 않는 경우(예: 가정주부, 휴직 또는 퇴직), 두통 때문에 가사를 할 수 없었던 적이 있다.</w:t>
      </w:r>
    </w:p>
    <w:p>
      <w:pPr>
        <w:pStyle w:val="Compact"/>
        <w:pStyle w:val="FootnoteText"/>
        <w:numPr>
          <w:numId w:val="1003"/>
          <w:ilvl w:val="0"/>
        </w:numPr>
      </w:pPr>
      <w:r>
        <w:t xml:space="preserve">학교나 직장을 다니지 않는 경우(예: 가정주부, 휴직 또는 퇴직), 두통 때문에 가사능률이 절반 이하로 감소했던 적이 있다.</w:t>
      </w:r>
    </w:p>
    <w:p>
      <w:pPr>
        <w:pStyle w:val="Compact"/>
        <w:pStyle w:val="FootnoteText"/>
        <w:numPr>
          <w:numId w:val="1003"/>
          <w:ilvl w:val="0"/>
        </w:numPr>
      </w:pPr>
      <w:r>
        <w:t xml:space="preserve">두통 때문에 공휴일이나 근무시간 외에 가족활동, 사회활동, 또는 여가활동을 참여하지 못했거나 하였더라도 절반 이상의 불편함을 느낀 적이 있다.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pStyle w:val="FootnoteText"/>
            </w:pPr>
            <w:r>
              <w:t xml:space="preserve">편두통급성기치료제의 종류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pStyle w:val="FootnoteText"/>
            </w:pPr>
            <w:r>
              <w:t xml:space="preserve">약물과용두통 진단기준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에르고타민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월10일 이상 복용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트립탄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월10일 이상 복용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단순진통제(아세트아미노펜,아세틸살리실산) 또는 비스테로이드항염제(NSAIDs)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월15일 이상 복용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마약성(opioid) 진통제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월10일 이상 복용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복합진통제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월10일 이상 복용</w:t>
            </w:r>
          </w:p>
        </w:tc>
      </w:tr>
      <w:tr>
        <w:tc>
          <w:p>
            <w:pPr>
              <w:pStyle w:val="Compact"/>
              <w:jc w:val="left"/>
              <w:pStyle w:val="FootnoteText"/>
            </w:pPr>
            <w:r>
              <w:t xml:space="preserve">여러가지 종류의 약제를 혼용해서 복용하는 경우</w:t>
            </w:r>
          </w:p>
        </w:tc>
        <w:tc>
          <w:p>
            <w:pPr>
              <w:pStyle w:val="Compact"/>
              <w:jc w:val="right"/>
              <w:pStyle w:val="FootnoteText"/>
            </w:pPr>
            <w:r>
              <w:t xml:space="preserve">월10일 이상 복용</w:t>
            </w:r>
          </w:p>
        </w:tc>
      </w:tr>
    </w:tbl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삽화편두통 예방치료약물 진료지침</dc:title>
  <dc:creator>대한두통학회 편두통진료지침위원회</dc:creator>
  <dc:description>Migraine prevention</dc:description>
  <cp:keywords/>
  <dcterms:created xsi:type="dcterms:W3CDTF">2019-06-19T16:36:39Z</dcterms:created>
  <dcterms:modified xsi:type="dcterms:W3CDTF">2019-06-19T16:36:39Z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2019-06-20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yes</vt:lpwstr>
  </property>
  <property fmtid="{D5CDD505-2E9C-101B-9397-08002B2CF9AE}" pid="8" name="mainfont">
    <vt:lpwstr>NanumGothic</vt:lpwstr>
  </property>
  <property fmtid="{D5CDD505-2E9C-101B-9397-08002B2CF9AE}" pid="9" name="output">
    <vt:lpwstr>bookdown::word_document2</vt:lpwstr>
  </property>
  <property fmtid="{D5CDD505-2E9C-101B-9397-08002B2CF9AE}" pid="10" name="site">
    <vt:lpwstr>bookdown::bookdown_site</vt:lpwstr>
  </property>
</Properties>
</file>