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2019-06-20</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FirstParagraph"/>
      </w:pPr>
      <w:r>
        <w:t xml:space="preserve">김병건 회장님</w:t>
      </w:r>
    </w:p>
    <w:p>
      <w:pPr>
        <w:pStyle w:val="Heading1"/>
      </w:pPr>
      <w:bookmarkStart w:id="22" w:name="section-2"/>
      <w:r>
        <w:t xml:space="preserve">간행사</w:t>
      </w:r>
      <w:bookmarkEnd w:id="22"/>
    </w:p>
    <w:p>
      <w:pPr>
        <w:pStyle w:val="FirstParagraph"/>
      </w:pPr>
      <w:r>
        <w:t xml:space="preserve">정재면 위원장님</w:t>
      </w:r>
    </w:p>
    <w:p>
      <w:pPr>
        <w:pStyle w:val="Heading1"/>
      </w:pPr>
      <w:bookmarkStart w:id="23" w:name="section-3"/>
      <w:r>
        <w:t xml:space="preserve">요약</w:t>
      </w:r>
      <w:bookmarkEnd w:id="23"/>
    </w:p>
    <w:p>
      <w:pPr>
        <w:pStyle w:val="Heading2"/>
      </w:pPr>
      <w:bookmarkStart w:id="24" w:name="section-4"/>
      <w:r>
        <w:t xml:space="preserve">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U (전문가의견), 권고등급: 약함)</w:t>
      </w:r>
    </w:p>
    <w:p>
      <w:pPr>
        <w:numPr>
          <w:numId w:val="100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100mg부터 시작하여 200mg까지 증량하여 사용할 수 있다.</w:t>
      </w:r>
    </w:p>
    <w:p>
      <w:pPr>
        <w:pStyle w:val="BodyText"/>
      </w:pPr>
      <w: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20mg부터 240mg까지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U (전문가의견), 권고등급: 약함)</w:t>
      </w:r>
    </w:p>
    <w:p>
      <w:pPr>
        <w:numPr>
          <w:numId w:val="101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부작용및 금기사항</w:t>
      </w:r>
      <w:bookmarkEnd w:id="50"/>
    </w:p>
    <w:p>
      <w:pPr>
        <w:pStyle w:val="TableCaption"/>
      </w:pPr>
      <w:r>
        <w:t xml:space="preserve">Table 6: 베타차단제</w:t>
      </w:r>
    </w:p>
    <w:tbl>
      <w:tblPr>
        <w:tblStyle w:val="Table"/>
        <w:tblW w:type="pct" w:w="0.0"/>
        <w:tblLook w:firstRow="1"/>
        <w:tblCaption w:val="Table 6: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용량범위</w:t>
            </w:r>
          </w:p>
        </w:tc>
        <w:tc>
          <w:tcPr>
            <w:tcBorders>
              <w:bottom w:val="single"/>
            </w:tcBorders>
            <w:vAlign w:val="bottom"/>
          </w:tcPr>
          <w:p>
            <w:pPr>
              <w:pStyle w:val="Compact"/>
              <w:jc w:val="center"/>
            </w:pPr>
            <w:r>
              <w:t xml:space="preserve">부작용</w:t>
            </w:r>
          </w:p>
        </w:tc>
        <w:tc>
          <w:tcPr>
            <w:tcBorders>
              <w:bottom w:val="single"/>
            </w:tcBorders>
            <w:vAlign w:val="bottom"/>
          </w:tcPr>
          <w:p>
            <w:pPr>
              <w:pStyle w:val="Compact"/>
              <w:jc w:val="center"/>
            </w:pPr>
            <w:r>
              <w:t xml:space="preserve">금기사항</w:t>
            </w:r>
          </w:p>
        </w:tc>
      </w:tr>
      <w:tr>
        <w:tc>
          <w:p>
            <w:pPr>
              <w:pStyle w:val="Compact"/>
              <w:jc w:val="left"/>
            </w:pPr>
            <w:r>
              <w:t xml:space="preserve">프로프라놀롤</w:t>
            </w:r>
          </w:p>
        </w:tc>
        <w:tc>
          <w:p>
            <w:pPr>
              <w:pStyle w:val="Compact"/>
              <w:jc w:val="center"/>
            </w:pPr>
            <w:r>
              <w:t xml:space="preserve">10-80mg b.i.d.</w:t>
            </w:r>
          </w:p>
        </w:tc>
        <w:tc>
          <w:p>
            <w:pPr>
              <w:pStyle w:val="Compact"/>
              <w:jc w:val="center"/>
            </w:pPr>
            <w:r>
              <w:t xml:space="preserve">피로감, 어지럼증 가역성 우울증, 생생한 꿈</w:t>
            </w:r>
          </w:p>
        </w:tc>
        <w:tc>
          <w:p>
            <w:pPr>
              <w:pStyle w:val="Compact"/>
              <w:jc w:val="center"/>
            </w:pPr>
            <w:r>
              <w:t xml:space="preserve">심한 천식, 당뇨병, 말초혈관병, 심장전도장애, 울혈성심부전</w:t>
            </w:r>
          </w:p>
        </w:tc>
      </w:tr>
      <w:tr>
        <w:tc>
          <w:p>
            <w:pPr>
              <w:pStyle w:val="Compact"/>
              <w:jc w:val="left"/>
            </w:pPr>
            <w:r>
              <w:t xml:space="preserve">메토프롤롤</w:t>
            </w:r>
          </w:p>
        </w:tc>
        <w:tc>
          <w:p>
            <w:pPr>
              <w:pStyle w:val="Compact"/>
              <w:jc w:val="center"/>
            </w:pPr>
            <w:r>
              <w:t xml:space="preserve">25-100mg b.i.d.</w:t>
            </w:r>
          </w:p>
        </w:tc>
        <w:tc>
          <w:p>
            <w:pPr>
              <w:pStyle w:val="Compact"/>
              <w:jc w:val="center"/>
            </w:pPr>
            <w:r>
              <w:t xml:space="preserve">피로감, 어지럼증 가역성 우울증, 생생한 꿈</w:t>
            </w:r>
          </w:p>
        </w:tc>
        <w:tc>
          <w:p>
            <w:pPr>
              <w:pStyle w:val="Compact"/>
              <w:jc w:val="center"/>
            </w:pPr>
            <w:r>
              <w:t xml:space="preserve">심한 천식, 당뇨병, 말초혈관병, 심장전도장애, 울혈성심부전</w:t>
            </w:r>
          </w:p>
        </w:tc>
      </w:tr>
      <w:tr>
        <w:tc>
          <w:p>
            <w:pPr>
              <w:pStyle w:val="Compact"/>
              <w:jc w:val="left"/>
            </w:pPr>
            <w:r>
              <w:t xml:space="preserve">아테놀롤</w:t>
            </w:r>
          </w:p>
        </w:tc>
        <w:tc>
          <w:p>
            <w:pPr>
              <w:pStyle w:val="Compact"/>
              <w:jc w:val="center"/>
            </w:pPr>
            <w:r>
              <w:t xml:space="preserve">25-100mg b.i.d.</w:t>
            </w:r>
          </w:p>
        </w:tc>
        <w:tc>
          <w:p>
            <w:pPr>
              <w:pStyle w:val="Compact"/>
              <w:jc w:val="center"/>
            </w:pPr>
            <w:r>
              <w:t xml:space="preserve">피로감, 어지럼증 가역성 우울증, 생생한 꿈, 숨참, 서맥 또는 심계항진, 구역</w:t>
            </w:r>
          </w:p>
        </w:tc>
        <w:tc>
          <w:p>
            <w:pPr>
              <w:pStyle w:val="Compact"/>
              <w:jc w:val="center"/>
            </w:pPr>
            <w:r>
              <w:t xml:space="preserve">심한 천식, 당뇨병, 말초혈관병, 심장전도장애, 울혈성심부전, 치료되지 않은 크롬친화성세포종(알파차단제 병용필요)</w:t>
            </w:r>
          </w:p>
        </w:tc>
      </w:tr>
      <w:tr>
        <w:tc>
          <w:p>
            <w:pPr>
              <w:pStyle w:val="Compact"/>
              <w:jc w:val="left"/>
            </w:pPr>
            <w:r>
              <w:t xml:space="preserve">나돌롤</w:t>
            </w:r>
          </w:p>
        </w:tc>
        <w:tc>
          <w:p>
            <w:pPr>
              <w:pStyle w:val="Compact"/>
              <w:jc w:val="center"/>
            </w:pPr>
            <w:r>
              <w:t xml:space="preserve">40-80mg b.i.d.</w:t>
            </w:r>
          </w:p>
        </w:tc>
        <w:tc>
          <w:p>
            <w:pPr>
              <w:pStyle w:val="Compact"/>
              <w:jc w:val="center"/>
            </w:pPr>
            <w:r>
              <w:t xml:space="preserve">피로감, 어지럼증 가역성 우울증, 생생한 꿈, 숨참, 서맥 또는 심계항진, 구역</w:t>
            </w:r>
          </w:p>
        </w:tc>
        <w:tc>
          <w:p>
            <w:pPr>
              <w:pStyle w:val="Compact"/>
              <w:jc w:val="center"/>
            </w:pPr>
            <w:r>
              <w:t xml:space="preserve">심한 천식, 당뇨병, 말초혈관병, 심장전도장애, 울혈성심부전, 모노아민산화효소억제제 사용(2주이내), 임신상태</w:t>
            </w:r>
          </w:p>
        </w:tc>
      </w:tr>
      <w:tr>
        <w:tc>
          <w:p>
            <w:pPr>
              <w:pStyle w:val="Compact"/>
              <w:jc w:val="left"/>
            </w:pPr>
            <w:r>
              <w:t xml:space="preserve">네비볼롤</w:t>
            </w:r>
          </w:p>
        </w:tc>
        <w:tc>
          <w:p>
            <w:pPr>
              <w:pStyle w:val="Compact"/>
              <w:jc w:val="center"/>
            </w:pPr>
            <w:r>
              <w:t xml:space="preserve">2.5-5mg q.d.</w:t>
            </w:r>
          </w:p>
        </w:tc>
        <w:tc>
          <w:p>
            <w:pPr>
              <w:pStyle w:val="Compact"/>
              <w:jc w:val="center"/>
            </w:pPr>
            <w:r>
              <w:t xml:space="preserve">두통, 어지럼증, 감각이상, 악몽, 위장장애, 호흡곤란, 가려움증, 부종</w:t>
            </w:r>
          </w:p>
        </w:tc>
        <w:tc>
          <w:p>
            <w:pPr>
              <w:pStyle w:val="Compact"/>
              <w:jc w:val="center"/>
            </w:pPr>
            <w:r>
              <w:t xml:space="preserve">심한 천식, 말초혈관병, 심장전도장애, 울혈성심부전</w:t>
            </w:r>
          </w:p>
        </w:tc>
      </w:tr>
      <w:tr>
        <w:tc>
          <w:p>
            <w:pPr>
              <w:pStyle w:val="Compact"/>
              <w:jc w:val="left"/>
            </w:pPr>
            <w:r>
              <w:t xml:space="preserve">비소프롤롤</w:t>
            </w:r>
          </w:p>
        </w:tc>
        <w:tc>
          <w:p>
            <w:pPr>
              <w:pStyle w:val="Compact"/>
              <w:jc w:val="center"/>
            </w:pPr>
            <w:r>
              <w:t xml:space="preserve">1.25-10mg q.d.</w:t>
            </w:r>
          </w:p>
        </w:tc>
        <w:tc>
          <w:p>
            <w:pPr>
              <w:pStyle w:val="Compact"/>
              <w:jc w:val="center"/>
            </w:pPr>
            <w:r>
              <w:t xml:space="preserve">서맥, 두통, 어지럼증, 오심, 구토, 설사, 변비, 피로</w:t>
            </w:r>
          </w:p>
        </w:tc>
        <w:tc>
          <w:p>
            <w:pPr>
              <w:pStyle w:val="Compact"/>
              <w:jc w:val="center"/>
            </w:pPr>
            <w:r>
              <w:t xml:space="preserve">서맥, 당뇨병성 케토산증, 급성 심부전, 임신상태, 치료받지 않은 크롬친화성세포종, 중증의 천식 또는 만성 폐색성 폐질환 환자</w:t>
            </w:r>
          </w:p>
        </w:tc>
      </w:tr>
      <w:tr>
        <w:tc>
          <w:p>
            <w:pPr>
              <w:pStyle w:val="Compact"/>
              <w:jc w:val="left"/>
            </w:pPr>
            <w:r>
              <w:t xml:space="preserve">핀돌롤</w:t>
            </w:r>
          </w:p>
        </w:tc>
        <w:tc>
          <w:p>
            <w:pPr>
              <w:pStyle w:val="Compact"/>
              <w:jc w:val="center"/>
            </w:pPr>
            <w:r>
              <w:t xml:space="preserve">5-30mg qd or b.i.d.</w:t>
            </w:r>
          </w:p>
        </w:tc>
        <w:tc>
          <w:p>
            <w:pPr>
              <w:pStyle w:val="Compact"/>
              <w:jc w:val="center"/>
            </w:pPr>
            <w:r>
              <w:t xml:space="preserve">불면증, 어지럼증, 피로, 악몽, 소화불량, 호흡곤란, 근육통, 관절통</w:t>
            </w:r>
          </w:p>
        </w:tc>
        <w:tc>
          <w:p>
            <w:pPr>
              <w:pStyle w:val="Compact"/>
              <w:jc w:val="center"/>
            </w:pPr>
            <w:r>
              <w:t xml:space="preserve">천식, 중증 심부전, 서맥, 부정맥, 임신상태, 수유 중</w:t>
            </w:r>
          </w:p>
        </w:tc>
      </w:tr>
    </w:tbl>
    <w:p>
      <w:pPr>
        <w:pStyle w:val="TableCaption"/>
      </w:pPr>
      <w:r>
        <w:t xml:space="preserve">Table 7: 칼슘통로차단제</w:t>
      </w:r>
    </w:p>
    <w:tbl>
      <w:tblPr>
        <w:tblStyle w:val="Table"/>
        <w:tblW w:type="pct" w:w="0.0"/>
        <w:tblLook w:firstRow="1"/>
        <w:tblCaption w:val="Table 7: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용량범위</w:t>
            </w:r>
          </w:p>
        </w:tc>
        <w:tc>
          <w:tcPr>
            <w:tcBorders>
              <w:bottom w:val="single"/>
            </w:tcBorders>
            <w:vAlign w:val="bottom"/>
          </w:tcPr>
          <w:p>
            <w:pPr>
              <w:pStyle w:val="Compact"/>
              <w:jc w:val="center"/>
            </w:pPr>
            <w:r>
              <w:t xml:space="preserve">부작용</w:t>
            </w:r>
          </w:p>
        </w:tc>
        <w:tc>
          <w:tcPr>
            <w:tcBorders>
              <w:bottom w:val="single"/>
            </w:tcBorders>
            <w:vAlign w:val="bottom"/>
          </w:tcPr>
          <w:p>
            <w:pPr>
              <w:pStyle w:val="Compact"/>
              <w:jc w:val="center"/>
            </w:pPr>
            <w:r>
              <w:t xml:space="preserve">금기사항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8: 안지오텐신수용체 또는 전환효소억제제</w:t>
      </w:r>
    </w:p>
    <w:tbl>
      <w:tblPr>
        <w:tblStyle w:val="Table"/>
        <w:tblW w:type="pct" w:w="0.0"/>
        <w:tblLook w:firstRow="1"/>
        <w:tblCaption w:val="Table 8: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용량범위</w:t>
            </w:r>
          </w:p>
        </w:tc>
        <w:tc>
          <w:tcPr>
            <w:tcBorders>
              <w:bottom w:val="single"/>
            </w:tcBorders>
            <w:vAlign w:val="bottom"/>
          </w:tcPr>
          <w:p>
            <w:pPr>
              <w:pStyle w:val="Compact"/>
              <w:jc w:val="center"/>
            </w:pPr>
            <w:r>
              <w:t xml:space="preserve">부작용</w:t>
            </w:r>
          </w:p>
        </w:tc>
        <w:tc>
          <w:tcPr>
            <w:tcBorders>
              <w:bottom w:val="single"/>
            </w:tcBorders>
            <w:vAlign w:val="bottom"/>
          </w:tcPr>
          <w:p>
            <w:pPr>
              <w:pStyle w:val="Compact"/>
              <w:jc w:val="center"/>
            </w:pPr>
            <w:r>
              <w:t xml:space="preserve">금기사항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9: 항우울제</w:t>
      </w:r>
    </w:p>
    <w:tbl>
      <w:tblPr>
        <w:tblStyle w:val="Table"/>
        <w:tblW w:type="pct" w:w="0.0"/>
        <w:tblLook w:firstRow="1"/>
        <w:tblCaption w:val="Table 9: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용량범위</w:t>
            </w:r>
          </w:p>
        </w:tc>
        <w:tc>
          <w:tcPr>
            <w:tcBorders>
              <w:bottom w:val="single"/>
            </w:tcBorders>
            <w:vAlign w:val="bottom"/>
          </w:tcPr>
          <w:p>
            <w:pPr>
              <w:pStyle w:val="Compact"/>
              <w:jc w:val="center"/>
            </w:pPr>
            <w:r>
              <w:t xml:space="preserve">부작용</w:t>
            </w:r>
          </w:p>
        </w:tc>
        <w:tc>
          <w:tcPr>
            <w:tcBorders>
              <w:bottom w:val="single"/>
            </w:tcBorders>
            <w:vAlign w:val="bottom"/>
          </w:tcPr>
          <w:p>
            <w:pPr>
              <w:pStyle w:val="Compact"/>
              <w:jc w:val="center"/>
            </w:pPr>
            <w:r>
              <w:t xml:space="preserve">금기사항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10: 뇌전증약</w:t>
      </w:r>
    </w:p>
    <w:tbl>
      <w:tblPr>
        <w:tblStyle w:val="Table"/>
        <w:tblW w:type="pct" w:w="0.0"/>
        <w:tblLook w:firstRow="1"/>
        <w:tblCaption w:val="Table 10: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용량범위</w:t>
            </w:r>
          </w:p>
        </w:tc>
        <w:tc>
          <w:tcPr>
            <w:tcBorders>
              <w:bottom w:val="single"/>
            </w:tcBorders>
            <w:vAlign w:val="bottom"/>
          </w:tcPr>
          <w:p>
            <w:pPr>
              <w:pStyle w:val="Compact"/>
              <w:jc w:val="center"/>
            </w:pPr>
            <w:r>
              <w:t xml:space="preserve">부작용</w:t>
            </w:r>
          </w:p>
        </w:tc>
        <w:tc>
          <w:tcPr>
            <w:tcBorders>
              <w:bottom w:val="single"/>
            </w:tcBorders>
            <w:vAlign w:val="bottom"/>
          </w:tcPr>
          <w:p>
            <w:pPr>
              <w:pStyle w:val="Compact"/>
              <w:jc w:val="center"/>
            </w:pPr>
            <w:r>
              <w:t xml:space="preserve">금기사항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51" w:name="section-23"/>
      <w:r>
        <w:t xml:space="preserve">편두통 진단기준</w:t>
      </w:r>
      <w:bookmarkEnd w:id="51"/>
    </w:p>
    <w:p>
      <w:pPr>
        <w:pStyle w:val="Heading1"/>
      </w:pPr>
      <w:bookmarkStart w:id="52" w:name="section-24"/>
      <w:r>
        <w:t xml:space="preserve">개발그룹</w:t>
      </w:r>
      <w:bookmarkEnd w:id="52"/>
    </w:p>
    <w:p>
      <w:pPr>
        <w:pStyle w:val="Heading2"/>
      </w:pPr>
      <w:bookmarkStart w:id="53" w:name="section-25"/>
      <w:r>
        <w:t xml:space="preserve">운영위원회</w:t>
      </w:r>
      <w:bookmarkEnd w:id="53"/>
    </w:p>
    <w:p>
      <w:pPr>
        <w:pStyle w:val="Compact"/>
        <w:numPr>
          <w:numId w:val="1025"/>
          <w:ilvl w:val="0"/>
        </w:numPr>
      </w:pPr>
      <w:r>
        <w:t xml:space="preserve">위원장: 인제대학교 정재면</w:t>
      </w:r>
    </w:p>
    <w:p>
      <w:pPr>
        <w:pStyle w:val="Compact"/>
        <w:numPr>
          <w:numId w:val="1025"/>
          <w:ilvl w:val="0"/>
        </w:numPr>
      </w:pPr>
      <w:r>
        <w:t xml:space="preserve">간사: 중앙대학교 박광열</w:t>
      </w:r>
    </w:p>
    <w:p>
      <w:pPr>
        <w:pStyle w:val="Heading2"/>
      </w:pPr>
      <w:bookmarkStart w:id="54" w:name="section-26"/>
      <w:r>
        <w:t xml:space="preserve">자문위원회</w:t>
      </w:r>
      <w:bookmarkEnd w:id="54"/>
    </w:p>
    <w:p>
      <w:pPr>
        <w:pStyle w:val="Compact"/>
        <w:numPr>
          <w:numId w:val="1026"/>
          <w:ilvl w:val="0"/>
        </w:numPr>
      </w:pPr>
      <w:r>
        <w:t xml:space="preserve">을지대학교 김병건</w:t>
      </w:r>
    </w:p>
    <w:p>
      <w:pPr>
        <w:pStyle w:val="Compact"/>
        <w:numPr>
          <w:numId w:val="1026"/>
          <w:ilvl w:val="0"/>
        </w:numPr>
      </w:pPr>
      <w:r>
        <w:t xml:space="preserve">연세대학교 김원주</w:t>
      </w:r>
    </w:p>
    <w:p>
      <w:pPr>
        <w:pStyle w:val="Heading2"/>
      </w:pPr>
      <w:bookmarkStart w:id="55" w:name="section-27"/>
      <w:r>
        <w:t xml:space="preserve">외부자문그룹</w:t>
      </w:r>
      <w:bookmarkEnd w:id="55"/>
    </w:p>
    <w:p>
      <w:pPr>
        <w:pStyle w:val="Compact"/>
        <w:numPr>
          <w:numId w:val="1027"/>
          <w:ilvl w:val="0"/>
        </w:numPr>
      </w:pPr>
      <w:r>
        <w:t xml:space="preserve">순천향대학교 이유경</w:t>
      </w:r>
    </w:p>
    <w:p>
      <w:pPr>
        <w:pStyle w:val="Compact"/>
        <w:numPr>
          <w:numId w:val="1027"/>
          <w:ilvl w:val="0"/>
        </w:numPr>
      </w:pPr>
      <w:r>
        <w:t xml:space="preserve">NECA 박동아</w:t>
      </w:r>
    </w:p>
    <w:p>
      <w:pPr>
        <w:pStyle w:val="Heading2"/>
      </w:pPr>
      <w:bookmarkStart w:id="56" w:name="section-28"/>
      <w:r>
        <w:t xml:space="preserve">실무위원회및 근거평가그룹</w:t>
      </w:r>
      <w:bookmarkEnd w:id="56"/>
    </w:p>
    <w:p>
      <w:pPr>
        <w:pStyle w:val="Compact"/>
        <w:numPr>
          <w:numId w:val="1028"/>
          <w:ilvl w:val="0"/>
        </w:numPr>
      </w:pPr>
      <w:r>
        <w:t xml:space="preserve">분당제생병원 김병수</w:t>
      </w:r>
    </w:p>
    <w:p>
      <w:pPr>
        <w:pStyle w:val="Compact"/>
        <w:numPr>
          <w:numId w:val="1028"/>
          <w:ilvl w:val="0"/>
        </w:numPr>
      </w:pPr>
      <w:r>
        <w:t xml:space="preserve">경북대학교 서종근</w:t>
      </w:r>
    </w:p>
    <w:p>
      <w:pPr>
        <w:pStyle w:val="Compact"/>
        <w:numPr>
          <w:numId w:val="1028"/>
          <w:ilvl w:val="0"/>
        </w:numPr>
      </w:pPr>
      <w:r>
        <w:t xml:space="preserve">한림대학교 손종희</w:t>
      </w:r>
    </w:p>
    <w:p>
      <w:pPr>
        <w:pStyle w:val="Compact"/>
        <w:numPr>
          <w:numId w:val="1028"/>
          <w:ilvl w:val="0"/>
        </w:numPr>
      </w:pPr>
      <w:r>
        <w:t xml:space="preserve">이화여자대학교 송태진</w:t>
      </w:r>
    </w:p>
    <w:p>
      <w:pPr>
        <w:pStyle w:val="Compact"/>
        <w:numPr>
          <w:numId w:val="1028"/>
          <w:ilvl w:val="0"/>
        </w:numPr>
      </w:pPr>
      <w:r>
        <w:t xml:space="preserve">성균관대학교 이미지</w:t>
      </w:r>
    </w:p>
    <w:p>
      <w:pPr>
        <w:pStyle w:val="Compact"/>
        <w:numPr>
          <w:numId w:val="1028"/>
          <w:ilvl w:val="0"/>
        </w:numPr>
      </w:pPr>
      <w:r>
        <w:t xml:space="preserve">성균관대학교 정필욱</w:t>
      </w:r>
    </w:p>
    <w:p>
      <w:pPr>
        <w:pStyle w:val="Compact"/>
        <w:numPr>
          <w:numId w:val="1028"/>
          <w:ilvl w:val="0"/>
        </w:numPr>
      </w:pPr>
      <w:r>
        <w:t xml:space="preserve">NECA 최미영</w:t>
      </w:r>
    </w:p>
    <w:p>
      <w:pPr>
        <w:pStyle w:val="Compact"/>
        <w:numPr>
          <w:numId w:val="1028"/>
          <w:ilvl w:val="0"/>
        </w:numPr>
      </w:pPr>
      <w:r>
        <w:t xml:space="preserve">전주예수병원 최윤주</w:t>
      </w:r>
    </w:p>
    <w:p>
      <w:pPr>
        <w:pStyle w:val="Heading2"/>
      </w:pPr>
      <w:bookmarkStart w:id="57" w:name="section-29"/>
      <w:r>
        <w:t xml:space="preserve">이해관계 선언</w:t>
      </w:r>
      <w:bookmarkEnd w:id="57"/>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2"/>
      </w:pPr>
      <w:bookmarkStart w:id="58" w:name="section-30"/>
      <w:r>
        <w:t xml:space="preserve">운영</w:t>
      </w:r>
      <w:bookmarkEnd w:id="58"/>
    </w:p>
    <w:p>
      <w:pPr>
        <w:pStyle w:val="Heading3"/>
      </w:pPr>
      <w:bookmarkStart w:id="59" w:name="section-31"/>
      <w:r>
        <w:t xml:space="preserve">합의원칙의 결정</w:t>
      </w:r>
      <w:bookmarkEnd w:id="59"/>
    </w:p>
    <w:p>
      <w:pPr>
        <w:pStyle w:val="Compact"/>
        <w:numPr>
          <w:numId w:val="1029"/>
          <w:ilvl w:val="0"/>
        </w:numPr>
      </w:pPr>
      <w:r>
        <w:t xml:space="preserve">토론</w:t>
      </w:r>
    </w:p>
    <w:p>
      <w:pPr>
        <w:pStyle w:val="Heading3"/>
      </w:pPr>
      <w:bookmarkStart w:id="60" w:name="section-32"/>
      <w:r>
        <w:t xml:space="preserve">저자원칙의 결정</w:t>
      </w:r>
      <w:bookmarkEnd w:id="60"/>
    </w:p>
    <w:p>
      <w:pPr>
        <w:pStyle w:val="Compact"/>
        <w:numPr>
          <w:numId w:val="1030"/>
          <w:ilvl w:val="0"/>
        </w:numPr>
      </w:pPr>
      <w:r>
        <w:t xml:space="preserve">초안:</w:t>
      </w:r>
    </w:p>
    <w:p>
      <w:pPr>
        <w:pStyle w:val="Compact"/>
        <w:numPr>
          <w:numId w:val="1030"/>
          <w:ilvl w:val="0"/>
        </w:numPr>
      </w:pPr>
      <w:r>
        <w:t xml:space="preserve">최종보고서: 정재면</w:t>
      </w:r>
    </w:p>
    <w:p>
      <w:pPr>
        <w:pStyle w:val="Compact"/>
        <w:numPr>
          <w:numId w:val="1030"/>
          <w:ilvl w:val="0"/>
        </w:numPr>
      </w:pPr>
      <w:r>
        <w:t xml:space="preserve">저자포함: 개발그룹전체</w:t>
      </w:r>
    </w:p>
    <w:p>
      <w:pPr>
        <w:pStyle w:val="Heading3"/>
      </w:pPr>
      <w:bookmarkStart w:id="61" w:name="section-33"/>
      <w:r>
        <w:t xml:space="preserve">잠재적 승인기구</w:t>
      </w:r>
      <w:bookmarkEnd w:id="61"/>
    </w:p>
    <w:p>
      <w:pPr>
        <w:pStyle w:val="Compact"/>
        <w:numPr>
          <w:numId w:val="1031"/>
          <w:ilvl w:val="0"/>
        </w:numPr>
      </w:pPr>
      <w:r>
        <w:t xml:space="preserve">대한두통학회</w:t>
      </w:r>
    </w:p>
    <w:p>
      <w:pPr>
        <w:pStyle w:val="Compact"/>
        <w:numPr>
          <w:numId w:val="1031"/>
          <w:ilvl w:val="0"/>
        </w:numPr>
      </w:pPr>
      <w:r>
        <w:t xml:space="preserve">대한신경과학회</w:t>
      </w:r>
    </w:p>
    <w:p>
      <w:pPr>
        <w:pStyle w:val="Heading3"/>
      </w:pPr>
      <w:bookmarkStart w:id="62" w:name="section-34"/>
      <w:r>
        <w:t xml:space="preserve">보급전략</w:t>
      </w:r>
      <w:bookmarkEnd w:id="62"/>
    </w:p>
    <w:p>
      <w:pPr>
        <w:pStyle w:val="Compact"/>
        <w:numPr>
          <w:numId w:val="1032"/>
          <w:ilvl w:val="0"/>
        </w:numPr>
      </w:pPr>
      <w:r>
        <w:t xml:space="preserve">대한두통학회와 대한신경과학회 홈페이지 게시</w:t>
      </w:r>
    </w:p>
    <w:p>
      <w:pPr>
        <w:pStyle w:val="Compact"/>
        <w:numPr>
          <w:numId w:val="1032"/>
          <w:ilvl w:val="0"/>
        </w:numPr>
      </w:pPr>
      <w:r>
        <w:t xml:space="preserve">대한두통학회지와 대한신경과학회지에 게재</w:t>
      </w:r>
    </w:p>
    <w:p>
      <w:pPr>
        <w:pStyle w:val="Heading1"/>
      </w:pPr>
      <w:bookmarkStart w:id="63" w:name="section-35"/>
      <w:r>
        <w:t xml:space="preserve">개발 계획</w:t>
      </w:r>
      <w:bookmarkEnd w:id="63"/>
    </w:p>
    <w:p>
      <w:pPr>
        <w:pStyle w:val="Heading2"/>
      </w:pPr>
      <w:bookmarkStart w:id="64" w:name="section-36"/>
      <w:r>
        <w:t xml:space="preserve">기존 진료지침 검색</w:t>
      </w:r>
      <w:bookmarkEnd w:id="64"/>
    </w:p>
    <w:p>
      <w:pPr>
        <w:numPr>
          <w:numId w:val="1033"/>
          <w:ilvl w:val="0"/>
        </w:numPr>
      </w:pPr>
      <w:r>
        <w:t xml:space="preserve">Selection criteria</w:t>
      </w:r>
    </w:p>
    <w:p>
      <w:pPr>
        <w:numPr>
          <w:numId w:val="1000"/>
          <w:ilvl w:val="0"/>
        </w:numPr>
      </w:pPr>
      <w:r>
        <w:t xml:space="preserve">– From 2012 to 2016</w:t>
      </w:r>
    </w:p>
    <w:p>
      <w:pPr>
        <w:numPr>
          <w:numId w:val="1000"/>
          <w:ilvl w:val="0"/>
        </w:numPr>
      </w:pPr>
      <w:r>
        <w:t xml:space="preserve">– Written in English or Korean</w:t>
      </w:r>
    </w:p>
    <w:p>
      <w:pPr>
        <w:numPr>
          <w:numId w:val="1000"/>
          <w:ilvl w:val="0"/>
        </w:numPr>
      </w:pPr>
      <w:r>
        <w:t xml:space="preserve">– By Multi-disciplinary team</w:t>
      </w:r>
    </w:p>
    <w:p>
      <w:pPr>
        <w:numPr>
          <w:numId w:val="1000"/>
          <w:ilvl w:val="0"/>
        </w:numPr>
      </w:pPr>
      <w:r>
        <w:t xml:space="preserve">– Evidence-based method</w:t>
      </w:r>
    </w:p>
    <w:p>
      <w:pPr>
        <w:numPr>
          <w:numId w:val="1033"/>
          <w:ilvl w:val="0"/>
        </w:numPr>
      </w:pPr>
      <w:r>
        <w:t xml:space="preserve">9개의 진료지침 검토</w:t>
      </w:r>
    </w:p>
    <w:p>
      <w:pPr>
        <w:numPr>
          <w:numId w:val="1000"/>
          <w:ilvl w:val="0"/>
        </w:numPr>
      </w:pPr>
      <w:r>
        <w:t xml:space="preserve">– 2012 AAN AHS guideline update for migraine prophylaxis Neurology (김병수, 정필욱)</w:t>
      </w:r>
    </w:p>
    <w:p>
      <w:pPr>
        <w:numPr>
          <w:numId w:val="1000"/>
          <w:ilvl w:val="0"/>
        </w:numPr>
      </w:pPr>
      <w:r>
        <w:t xml:space="preserve">– 2012 Canadian guideline for migraine prophylaxis Can J neurol sci (이미지, 손종희)</w:t>
      </w:r>
    </w:p>
    <w:p>
      <w:pPr>
        <w:numPr>
          <w:numId w:val="1000"/>
          <w:ilvl w:val="0"/>
        </w:numPr>
      </w:pPr>
      <w:r>
        <w:t xml:space="preserve">– 2012 Croatia guideline (송태진, 손종희)</w:t>
      </w:r>
    </w:p>
    <w:p>
      <w:pPr>
        <w:numPr>
          <w:numId w:val="1000"/>
          <w:ilvl w:val="0"/>
        </w:numPr>
      </w:pPr>
      <w:r>
        <w:t xml:space="preserve">– 2012 Danish Guidelines JHP (서종근, 최윤주)</w:t>
      </w:r>
    </w:p>
    <w:p>
      <w:pPr>
        <w:numPr>
          <w:numId w:val="1000"/>
          <w:ilvl w:val="0"/>
        </w:numPr>
      </w:pPr>
      <w:r>
        <w:t xml:space="preserve">– 2012 French guidelines revised JHP (정필욱, 김병수)</w:t>
      </w:r>
    </w:p>
    <w:p>
      <w:pPr>
        <w:numPr>
          <w:numId w:val="1000"/>
          <w:ilvl w:val="0"/>
        </w:numPr>
      </w:pPr>
      <w:r>
        <w:t xml:space="preserve">– 2012 Italian Guidelines revised version -JHP supple (최윤주, 서종근)</w:t>
      </w:r>
    </w:p>
    <w:p>
      <w:pPr>
        <w:numPr>
          <w:numId w:val="1000"/>
          <w:ilvl w:val="0"/>
        </w:numPr>
      </w:pPr>
      <w:r>
        <w:t xml:space="preserve">– ICSI guideline 2013 (original version, full-text) (송태진, 김병수)</w:t>
      </w:r>
    </w:p>
    <w:p>
      <w:pPr>
        <w:numPr>
          <w:numId w:val="1000"/>
          <w:ilvl w:val="0"/>
        </w:numPr>
      </w:pPr>
      <w:r>
        <w:t xml:space="preserve">– NICE guideline for headache in over 12s (2012) (2015 update) (이미지, 김병건)</w:t>
      </w:r>
    </w:p>
    <w:p>
      <w:pPr>
        <w:numPr>
          <w:numId w:val="1000"/>
          <w:ilvl w:val="0"/>
        </w:numPr>
      </w:pPr>
      <w:r>
        <w:t xml:space="preserve">– Practice guideline update summary fot Botulinum neurotoxin (AAN) 2016 neurology (이미지)</w:t>
      </w:r>
    </w:p>
    <w:p>
      <w:pPr>
        <w:pStyle w:val="Heading2"/>
      </w:pPr>
      <w:bookmarkStart w:id="65" w:name="section-37"/>
      <w:r>
        <w:t xml:space="preserve">개발방법</w:t>
      </w:r>
      <w:bookmarkEnd w:id="65"/>
    </w:p>
    <w:p>
      <w:pPr>
        <w:numPr>
          <w:numId w:val="1034"/>
          <w:ilvl w:val="0"/>
        </w:numPr>
      </w:pPr>
      <w:r>
        <w:t xml:space="preserve">Adaptation</w:t>
      </w:r>
    </w:p>
    <w:p>
      <w:pPr>
        <w:numPr>
          <w:numId w:val="1035"/>
          <w:ilvl w:val="1"/>
        </w:numPr>
      </w:pPr>
      <w:r>
        <w:t xml:space="preserve">2012년까지의 진료지침 + 2012년 이후 논문은 핵심질문별로 다시 검색</w:t>
      </w:r>
    </w:p>
    <w:p>
      <w:pPr>
        <w:numPr>
          <w:numId w:val="1035"/>
          <w:ilvl w:val="1"/>
        </w:numPr>
      </w:pPr>
      <w:r>
        <w:t xml:space="preserve">그외 수기로 논문 추가 조사 (논문의 참고문헌등)</w:t>
      </w:r>
    </w:p>
    <w:p>
      <w:pPr>
        <w:pStyle w:val="Heading1"/>
      </w:pPr>
      <w:bookmarkStart w:id="66" w:name="section-38"/>
      <w:r>
        <w:t xml:space="preserve">범위결정과 핵심질문</w:t>
      </w:r>
      <w:bookmarkEnd w:id="66"/>
    </w:p>
    <w:p>
      <w:pPr>
        <w:pStyle w:val="Heading2"/>
      </w:pPr>
      <w:bookmarkStart w:id="67" w:name="section-39"/>
      <w:r>
        <w:t xml:space="preserve">범위결정</w:t>
      </w:r>
      <w:bookmarkEnd w:id="67"/>
    </w:p>
    <w:p>
      <w:pPr>
        <w:numPr>
          <w:numId w:val="1036"/>
          <w:ilvl w:val="0"/>
        </w:numPr>
      </w:pPr>
      <w:r>
        <w:t xml:space="preserve">Population: Adult with frequent and/or moderate-to-severe episodic migraine</w:t>
      </w:r>
    </w:p>
    <w:p>
      <w:pPr>
        <w:numPr>
          <w:numId w:val="1036"/>
          <w:ilvl w:val="0"/>
        </w:numPr>
      </w:pPr>
      <w:r>
        <w:t xml:space="preserve">Intervention: Drug</w:t>
      </w:r>
    </w:p>
    <w:p>
      <w:pPr>
        <w:pStyle w:val="Compact"/>
        <w:numPr>
          <w:numId w:val="1037"/>
          <w:ilvl w:val="1"/>
        </w:numPr>
      </w:pPr>
      <w:r>
        <w:t xml:space="preserve">Anti-epileptic drug</w:t>
      </w:r>
    </w:p>
    <w:p>
      <w:pPr>
        <w:pStyle w:val="Compact"/>
        <w:numPr>
          <w:numId w:val="1037"/>
          <w:ilvl w:val="1"/>
        </w:numPr>
      </w:pPr>
      <w:r>
        <w:t xml:space="preserve">Beta blocker/CCB/ARB/ACE</w:t>
      </w:r>
    </w:p>
    <w:p>
      <w:pPr>
        <w:pStyle w:val="Compact"/>
        <w:numPr>
          <w:numId w:val="1037"/>
          <w:ilvl w:val="1"/>
        </w:numPr>
      </w:pPr>
      <w:r>
        <w:t xml:space="preserve">Anti-Depressant</w:t>
      </w:r>
    </w:p>
    <w:p>
      <w:pPr>
        <w:numPr>
          <w:numId w:val="1036"/>
          <w:ilvl w:val="0"/>
        </w:numPr>
      </w:pPr>
      <w:r>
        <w:t xml:space="preserve">Professional:</w:t>
      </w:r>
    </w:p>
    <w:p>
      <w:pPr>
        <w:pStyle w:val="Compact"/>
        <w:numPr>
          <w:numId w:val="1038"/>
          <w:ilvl w:val="1"/>
        </w:numPr>
      </w:pPr>
      <w:r>
        <w:t xml:space="preserve">Primary care physician, Nurse, and healthcare professionals</w:t>
      </w:r>
    </w:p>
    <w:p>
      <w:pPr>
        <w:numPr>
          <w:numId w:val="1036"/>
          <w:ilvl w:val="0"/>
        </w:numPr>
      </w:pPr>
      <w:r>
        <w:t xml:space="preserve">Outcome: The frequency of migraine prevention drug prescription as suggested</w:t>
      </w:r>
    </w:p>
    <w:p>
      <w:pPr>
        <w:numPr>
          <w:numId w:val="1036"/>
          <w:ilvl w:val="0"/>
        </w:numPr>
      </w:pPr>
      <w:r>
        <w:t xml:space="preserve">Healthcare setting: Primary care setting in Korea</w:t>
      </w:r>
    </w:p>
    <w:p>
      <w:pPr>
        <w:pStyle w:val="Heading2"/>
      </w:pPr>
      <w:bookmarkStart w:id="68" w:name="key-questions"/>
      <w:r>
        <w:t xml:space="preserve">Key Questions</w:t>
      </w:r>
      <w:bookmarkEnd w:id="68"/>
    </w:p>
    <w:p>
      <w:pPr>
        <w:numPr>
          <w:numId w:val="1039"/>
          <w:ilvl w:val="0"/>
        </w:numPr>
      </w:pPr>
      <w:r>
        <w:t xml:space="preserve">Episodic migraine환자에서 예방치료를 고려해야 하는 요인들(두통빈도, 두 통강도, 환자의 선호도, ADL에 대한 영향 등)은 무엇인가?</w:t>
      </w:r>
    </w:p>
    <w:p>
      <w:pPr>
        <w:numPr>
          <w:numId w:val="1039"/>
          <w:ilvl w:val="0"/>
        </w:numPr>
      </w:pPr>
      <w:r>
        <w:t xml:space="preserve">예방치료를 진행중인 episodic migraine환자에서 치료의 중단은 어떻게 결 정해야 하는가?</w:t>
      </w:r>
    </w:p>
    <w:p>
      <w:pPr>
        <w:numPr>
          <w:numId w:val="1039"/>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39"/>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39"/>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39"/>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39"/>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2"/>
      </w:pPr>
      <w:bookmarkStart w:id="69" w:name="drugs"/>
      <w:r>
        <w:t xml:space="preserve">Drugs</w:t>
      </w:r>
      <w:bookmarkEnd w:id="69"/>
    </w:p>
    <w:p>
      <w:pPr>
        <w:numPr>
          <w:numId w:val="1040"/>
          <w:ilvl w:val="0"/>
        </w:numPr>
      </w:pPr>
      <w:r>
        <w:t xml:space="preserve">Beta blocker</w:t>
      </w:r>
    </w:p>
    <w:p>
      <w:pPr>
        <w:pStyle w:val="Compact"/>
        <w:numPr>
          <w:numId w:val="1041"/>
          <w:ilvl w:val="1"/>
        </w:numPr>
      </w:pPr>
      <w:r>
        <w:t xml:space="preserve">propranolol</w:t>
      </w:r>
    </w:p>
    <w:p>
      <w:pPr>
        <w:pStyle w:val="Compact"/>
        <w:numPr>
          <w:numId w:val="1041"/>
          <w:ilvl w:val="1"/>
        </w:numPr>
      </w:pPr>
      <w:r>
        <w:t xml:space="preserve">Metoprolol</w:t>
      </w:r>
    </w:p>
    <w:p>
      <w:pPr>
        <w:pStyle w:val="Compact"/>
        <w:numPr>
          <w:numId w:val="1041"/>
          <w:ilvl w:val="1"/>
        </w:numPr>
      </w:pPr>
      <w:r>
        <w:t xml:space="preserve">Timolol</w:t>
      </w:r>
    </w:p>
    <w:p>
      <w:pPr>
        <w:pStyle w:val="Compact"/>
        <w:numPr>
          <w:numId w:val="1041"/>
          <w:ilvl w:val="1"/>
        </w:numPr>
      </w:pPr>
      <w:r>
        <w:t xml:space="preserve">Atenolol</w:t>
      </w:r>
    </w:p>
    <w:p>
      <w:pPr>
        <w:pStyle w:val="Compact"/>
        <w:numPr>
          <w:numId w:val="1041"/>
          <w:ilvl w:val="1"/>
        </w:numPr>
      </w:pPr>
      <w:r>
        <w:t xml:space="preserve">Nadolol</w:t>
      </w:r>
    </w:p>
    <w:p>
      <w:pPr>
        <w:pStyle w:val="Compact"/>
        <w:numPr>
          <w:numId w:val="1041"/>
          <w:ilvl w:val="1"/>
        </w:numPr>
      </w:pPr>
      <w:r>
        <w:t xml:space="preserve">Nebivolol</w:t>
      </w:r>
    </w:p>
    <w:p>
      <w:pPr>
        <w:pStyle w:val="Compact"/>
        <w:numPr>
          <w:numId w:val="1041"/>
          <w:ilvl w:val="1"/>
        </w:numPr>
      </w:pPr>
      <w:r>
        <w:t xml:space="preserve">Pindolol</w:t>
      </w:r>
    </w:p>
    <w:p>
      <w:pPr>
        <w:numPr>
          <w:numId w:val="1040"/>
          <w:ilvl w:val="0"/>
        </w:numPr>
      </w:pPr>
      <w:r>
        <w:t xml:space="preserve">Calcium channel blocker</w:t>
      </w:r>
    </w:p>
    <w:p>
      <w:pPr>
        <w:pStyle w:val="Compact"/>
        <w:numPr>
          <w:numId w:val="1042"/>
          <w:ilvl w:val="1"/>
        </w:numPr>
      </w:pPr>
      <w:r>
        <w:t xml:space="preserve">flunarizine</w:t>
      </w:r>
    </w:p>
    <w:p>
      <w:pPr>
        <w:pStyle w:val="Compact"/>
        <w:numPr>
          <w:numId w:val="1042"/>
          <w:ilvl w:val="1"/>
        </w:numPr>
      </w:pPr>
      <w:r>
        <w:t xml:space="preserve">cinnarizine</w:t>
      </w:r>
    </w:p>
    <w:p>
      <w:pPr>
        <w:pStyle w:val="Compact"/>
        <w:numPr>
          <w:numId w:val="1042"/>
          <w:ilvl w:val="1"/>
        </w:numPr>
      </w:pPr>
      <w:r>
        <w:t xml:space="preserve">verapamil</w:t>
      </w:r>
    </w:p>
    <w:p>
      <w:pPr>
        <w:pStyle w:val="Compact"/>
        <w:numPr>
          <w:numId w:val="1042"/>
          <w:ilvl w:val="1"/>
        </w:numPr>
      </w:pPr>
      <w:r>
        <w:t xml:space="preserve">nicardipine</w:t>
      </w:r>
    </w:p>
    <w:p>
      <w:pPr>
        <w:numPr>
          <w:numId w:val="1040"/>
          <w:ilvl w:val="0"/>
        </w:numPr>
      </w:pPr>
      <w:r>
        <w:t xml:space="preserve">angiotensin converting enzyme inhibitor or angiotensin receptor blocker</w:t>
      </w:r>
    </w:p>
    <w:p>
      <w:pPr>
        <w:pStyle w:val="Compact"/>
        <w:numPr>
          <w:numId w:val="1043"/>
          <w:ilvl w:val="1"/>
        </w:numPr>
      </w:pPr>
      <w:r>
        <w:t xml:space="preserve">Lisinopril</w:t>
      </w:r>
    </w:p>
    <w:p>
      <w:pPr>
        <w:pStyle w:val="Compact"/>
        <w:numPr>
          <w:numId w:val="1043"/>
          <w:ilvl w:val="1"/>
        </w:numPr>
      </w:pPr>
      <w:r>
        <w:t xml:space="preserve">candesartan</w:t>
      </w:r>
    </w:p>
    <w:p>
      <w:pPr>
        <w:numPr>
          <w:numId w:val="1040"/>
          <w:ilvl w:val="0"/>
        </w:numPr>
      </w:pPr>
      <w:r>
        <w:t xml:space="preserve">anti-depressant</w:t>
      </w:r>
    </w:p>
    <w:p>
      <w:pPr>
        <w:pStyle w:val="Compact"/>
        <w:numPr>
          <w:numId w:val="1044"/>
          <w:ilvl w:val="1"/>
        </w:numPr>
      </w:pPr>
      <w:r>
        <w:t xml:space="preserve">amitryptiline</w:t>
      </w:r>
    </w:p>
    <w:p>
      <w:pPr>
        <w:pStyle w:val="Compact"/>
        <w:numPr>
          <w:numId w:val="1044"/>
          <w:ilvl w:val="1"/>
        </w:numPr>
      </w:pPr>
      <w:r>
        <w:t xml:space="preserve">nortriptyline</w:t>
      </w:r>
    </w:p>
    <w:p>
      <w:pPr>
        <w:pStyle w:val="Compact"/>
        <w:numPr>
          <w:numId w:val="1044"/>
          <w:ilvl w:val="1"/>
        </w:numPr>
      </w:pPr>
      <w:r>
        <w:t xml:space="preserve">Venlafaxine</w:t>
      </w:r>
    </w:p>
    <w:p>
      <w:pPr>
        <w:pStyle w:val="Compact"/>
        <w:numPr>
          <w:numId w:val="1044"/>
          <w:ilvl w:val="1"/>
        </w:numPr>
      </w:pPr>
      <w:r>
        <w:t xml:space="preserve">Fluoxetine</w:t>
      </w:r>
    </w:p>
    <w:p>
      <w:pPr>
        <w:numPr>
          <w:numId w:val="1040"/>
          <w:ilvl w:val="0"/>
        </w:numPr>
      </w:pPr>
      <w:r>
        <w:t xml:space="preserve">anti-epileptic agent</w:t>
      </w:r>
    </w:p>
    <w:p>
      <w:pPr>
        <w:pStyle w:val="Compact"/>
        <w:numPr>
          <w:numId w:val="1045"/>
          <w:ilvl w:val="1"/>
        </w:numPr>
      </w:pPr>
      <w:r>
        <w:t xml:space="preserve">divalproex sodium</w:t>
      </w:r>
    </w:p>
    <w:p>
      <w:pPr>
        <w:pStyle w:val="Compact"/>
        <w:numPr>
          <w:numId w:val="1045"/>
          <w:ilvl w:val="1"/>
        </w:numPr>
      </w:pPr>
      <w:r>
        <w:t xml:space="preserve">sodium valproate</w:t>
      </w:r>
    </w:p>
    <w:p>
      <w:pPr>
        <w:pStyle w:val="Compact"/>
        <w:numPr>
          <w:numId w:val="1045"/>
          <w:ilvl w:val="1"/>
        </w:numPr>
      </w:pPr>
      <w:r>
        <w:t xml:space="preserve">topiramate</w:t>
      </w:r>
    </w:p>
    <w:p>
      <w:pPr>
        <w:pStyle w:val="Compact"/>
        <w:numPr>
          <w:numId w:val="1045"/>
          <w:ilvl w:val="1"/>
        </w:numPr>
      </w:pPr>
      <w:r>
        <w:t xml:space="preserve">Carbamazepine</w:t>
      </w:r>
    </w:p>
    <w:p>
      <w:pPr>
        <w:pStyle w:val="Compact"/>
        <w:numPr>
          <w:numId w:val="1045"/>
          <w:ilvl w:val="1"/>
        </w:numPr>
      </w:pPr>
      <w:r>
        <w:t xml:space="preserve">Gabapentin</w:t>
      </w:r>
    </w:p>
    <w:p>
      <w:pPr>
        <w:pStyle w:val="Heading1"/>
      </w:pPr>
      <w:bookmarkStart w:id="70" w:name="section-40"/>
      <w:r>
        <w:t xml:space="preserve">지침및 근거검색</w:t>
      </w:r>
      <w:bookmarkEnd w:id="70"/>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71"/>
                    <a:stretch>
                      <a:fillRect/>
                    </a:stretch>
                  </pic:blipFill>
                  <pic:spPr bwMode="auto">
                    <a:xfrm>
                      <a:off x="0" y="0"/>
                      <a:ext cx="5334000" cy="4178133"/>
                    </a:xfrm>
                    <a:prstGeom prst="rect">
                      <a:avLst/>
                    </a:prstGeom>
                    <a:noFill/>
                    <a:ln w="9525">
                      <a:noFill/>
                      <a:headEnd/>
                      <a:tailEnd/>
                    </a:ln>
                  </pic:spPr>
                </pic:pic>
              </a:graphicData>
            </a:graphic>
          </wp:inline>
        </w:drawing>
      </w:r>
    </w:p>
    <w:p>
      <w:pPr>
        <w:pStyle w:val="Heading2"/>
      </w:pPr>
      <w:bookmarkStart w:id="72" w:name="section-41"/>
      <w:r>
        <w:t xml:space="preserve">지침검색</w:t>
      </w:r>
      <w:bookmarkEnd w:id="72"/>
    </w:p>
    <w:p>
      <w:pPr>
        <w:pStyle w:val="Compact"/>
        <w:numPr>
          <w:numId w:val="1046"/>
          <w:ilvl w:val="0"/>
        </w:numPr>
      </w:pPr>
      <w:r>
        <w:t xml:space="preserve">National guideline clearinghouse</w:t>
      </w:r>
    </w:p>
    <w:p>
      <w:pPr>
        <w:pStyle w:val="Compact"/>
        <w:numPr>
          <w:numId w:val="1046"/>
          <w:ilvl w:val="0"/>
        </w:numPr>
      </w:pPr>
      <w:r>
        <w:t xml:space="preserve">Guideline international network</w:t>
      </w:r>
    </w:p>
    <w:p>
      <w:pPr>
        <w:pStyle w:val="Compact"/>
        <w:numPr>
          <w:numId w:val="1046"/>
          <w:ilvl w:val="0"/>
        </w:numPr>
      </w:pPr>
      <w:r>
        <w:t xml:space="preserve">Pubmed</w:t>
      </w:r>
    </w:p>
    <w:p>
      <w:pPr>
        <w:pStyle w:val="Compact"/>
        <w:numPr>
          <w:numId w:val="1046"/>
          <w:ilvl w:val="0"/>
        </w:numPr>
      </w:pPr>
      <w:r>
        <w:t xml:space="preserve">Google search</w:t>
      </w:r>
    </w:p>
    <w:p>
      <w:pPr>
        <w:pStyle w:val="Compact"/>
        <w:numPr>
          <w:numId w:val="1046"/>
          <w:ilvl w:val="0"/>
        </w:numPr>
      </w:pPr>
      <w:r>
        <w:t xml:space="preserve">KoMGI</w:t>
      </w:r>
    </w:p>
    <w:p>
      <w:pPr>
        <w:pStyle w:val="Compact"/>
        <w:numPr>
          <w:numId w:val="1046"/>
          <w:ilvl w:val="0"/>
        </w:numPr>
      </w:pPr>
      <w:r>
        <w:t xml:space="preserve">KoreaMed - KMBASE</w:t>
      </w:r>
    </w:p>
    <w:p>
      <w:pPr>
        <w:pStyle w:val="Heading2"/>
      </w:pPr>
      <w:bookmarkStart w:id="73" w:name="section-42"/>
      <w:r>
        <w:t xml:space="preserve">근거검색</w:t>
      </w:r>
      <w:bookmarkEnd w:id="73"/>
    </w:p>
    <w:p>
      <w:pPr>
        <w:numPr>
          <w:numId w:val="1047"/>
          <w:ilvl w:val="0"/>
        </w:numPr>
      </w:pPr>
      <w:r>
        <w:t xml:space="preserve">전자문헌검색:</w:t>
      </w:r>
    </w:p>
    <w:p>
      <w:pPr>
        <w:numPr>
          <w:numId w:val="1000"/>
          <w:ilvl w:val="0"/>
        </w:numPr>
      </w:pPr>
      <w:r>
        <w:t xml:space="preserve">-상기 + Ovid DB(MEDLINE/EMBASE) Cochrane library</w:t>
      </w:r>
    </w:p>
    <w:p>
      <w:pPr>
        <w:numPr>
          <w:numId w:val="1047"/>
          <w:ilvl w:val="0"/>
        </w:numPr>
      </w:pPr>
      <w:r>
        <w:t xml:space="preserve">수기검색 (gray literature)</w:t>
      </w:r>
    </w:p>
    <w:p>
      <w:pPr>
        <w:pStyle w:val="Heading2"/>
      </w:pPr>
      <w:bookmarkStart w:id="74" w:name="section-43"/>
      <w:r>
        <w:t xml:space="preserve">핵심질문별 근거 평가자</w:t>
      </w:r>
      <w:bookmarkEnd w:id="74"/>
    </w:p>
    <w:p>
      <w:pPr>
        <w:numPr>
          <w:numId w:val="1048"/>
          <w:ilvl w:val="0"/>
        </w:numPr>
      </w:pPr>
      <w:r>
        <w:t xml:space="preserve">Episodic migraine환자에서 예방치료를 고려해야 하는 요인들(두통빈도, 두 통강도, 환자의 선호도, ADL에 대한 영향 등)은 무엇인가?</w:t>
      </w:r>
    </w:p>
    <w:p>
      <w:pPr>
        <w:pStyle w:val="Compact"/>
        <w:numPr>
          <w:numId w:val="1049"/>
          <w:ilvl w:val="1"/>
        </w:numPr>
      </w:pPr>
      <w:r>
        <w:t xml:space="preserve">김병수</w:t>
      </w:r>
    </w:p>
    <w:p>
      <w:pPr>
        <w:numPr>
          <w:numId w:val="1048"/>
          <w:ilvl w:val="0"/>
        </w:numPr>
      </w:pPr>
      <w:r>
        <w:t xml:space="preserve">예방치료를 진행중인 episodic migraine환자에서 치료의 중단은 어떻게 결 정해야 하는가?</w:t>
      </w:r>
    </w:p>
    <w:p>
      <w:pPr>
        <w:pStyle w:val="Compact"/>
        <w:numPr>
          <w:numId w:val="1050"/>
          <w:ilvl w:val="1"/>
        </w:numPr>
      </w:pPr>
      <w:r>
        <w:t xml:space="preserve">서종근</w:t>
      </w:r>
    </w:p>
    <w:p>
      <w:pPr>
        <w:numPr>
          <w:numId w:val="1048"/>
          <w:ilvl w:val="0"/>
        </w:numPr>
      </w:pPr>
      <w:r>
        <w:t xml:space="preserve">Episodic migraine환자에서 예방치료로 베타차단제(beta blocker: propranolol 등)를 사용하는 것이 타약제, 위약 또는 치료하지 않는 것에 비해 두통의 완화에 효과적인가?</w:t>
      </w:r>
    </w:p>
    <w:p>
      <w:pPr>
        <w:pStyle w:val="Compact"/>
        <w:numPr>
          <w:numId w:val="1051"/>
          <w:ilvl w:val="1"/>
        </w:numPr>
      </w:pPr>
      <w:r>
        <w:t xml:space="preserve">손종희</w:t>
      </w:r>
    </w:p>
    <w:p>
      <w:pPr>
        <w:numPr>
          <w:numId w:val="1048"/>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pStyle w:val="Compact"/>
        <w:numPr>
          <w:numId w:val="1052"/>
          <w:ilvl w:val="1"/>
        </w:numPr>
      </w:pPr>
      <w:r>
        <w:t xml:space="preserve">송태진</w:t>
      </w:r>
    </w:p>
    <w:p>
      <w:pPr>
        <w:numPr>
          <w:numId w:val="1048"/>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pStyle w:val="Compact"/>
        <w:numPr>
          <w:numId w:val="1053"/>
          <w:ilvl w:val="1"/>
        </w:numPr>
      </w:pPr>
      <w:r>
        <w:t xml:space="preserve">이미지</w:t>
      </w:r>
    </w:p>
    <w:p>
      <w:pPr>
        <w:numPr>
          <w:numId w:val="1048"/>
          <w:ilvl w:val="0"/>
        </w:numPr>
      </w:pPr>
      <w:r>
        <w:t xml:space="preserve">Episodic migraine환자에서 예방치료로 항우울제(anti-depressant: amitryptiline 등)를 사용하는 것이 타약제, 위약 또는 치료하지 않는 것에 비해 두통의 완화에 효과적인가?</w:t>
      </w:r>
    </w:p>
    <w:p>
      <w:pPr>
        <w:pStyle w:val="Compact"/>
        <w:numPr>
          <w:numId w:val="1054"/>
          <w:ilvl w:val="1"/>
        </w:numPr>
      </w:pPr>
      <w:r>
        <w:t xml:space="preserve">정필욱</w:t>
      </w:r>
    </w:p>
    <w:p>
      <w:pPr>
        <w:numPr>
          <w:numId w:val="1048"/>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Compact"/>
        <w:numPr>
          <w:numId w:val="1055"/>
          <w:ilvl w:val="1"/>
        </w:numPr>
      </w:pPr>
      <w:r>
        <w:t xml:space="preserve">최윤주</w:t>
      </w:r>
    </w:p>
    <w:p>
      <w:pPr>
        <w:pStyle w:val="Heading1"/>
      </w:pPr>
      <w:bookmarkStart w:id="75" w:name="section-44"/>
      <w:r>
        <w:t xml:space="preserve">삽화성편두통 예방 진료지침</w:t>
      </w:r>
      <w:bookmarkEnd w:id="75"/>
    </w:p>
    <w:p>
      <w:pPr>
        <w:pStyle w:val="Heading1"/>
      </w:pPr>
      <w:bookmarkStart w:id="76" w:name="section-45"/>
      <w:r>
        <w:t xml:space="preserve">외부전문가 리뷰</w:t>
      </w:r>
      <w:bookmarkEnd w:id="76"/>
    </w:p>
    <w:p>
      <w:pPr>
        <w:pStyle w:val="Heading1"/>
      </w:pPr>
      <w:bookmarkStart w:id="77" w:name="section-46"/>
      <w:r>
        <w:t xml:space="preserve">지침 수정 계획과 발표</w:t>
      </w:r>
      <w:bookmarkEnd w:id="7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71" Target="media/rId71.png" /><Relationship Type="http://schemas.openxmlformats.org/officeDocument/2006/relationships/hyperlink" Id="rId44" Target="doi:10.1136/bmj.c5222"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2019-06-20T03:41:09Z</dcterms:created>
  <dcterms:modified xsi:type="dcterms:W3CDTF">2019-06-20T03:41:09Z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2019-06-20</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mainfont">
    <vt:lpwstr>NanumGothic</vt:lpwstr>
  </property>
  <property fmtid="{D5CDD505-2E9C-101B-9397-08002B2CF9AE}" pid="9" name="output">
    <vt:lpwstr>bookdown::word_document2</vt:lpwstr>
  </property>
  <property fmtid="{D5CDD505-2E9C-101B-9397-08002B2CF9AE}" pid="10" name="site">
    <vt:lpwstr>bookdown::bookdown_site</vt:lpwstr>
  </property>
</Properties>
</file>