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2019-06-26</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Heading2"/>
      </w:pPr>
      <w:bookmarkStart w:id="51" w:name="section-23"/>
      <w:r>
        <w:t xml:space="preserve">일반적인 용량및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FirstParagraph"/>
      </w:pPr>
      <w:r>
        <w:t xml:space="preserve">성인 삽화편두통 환자(남녀 모두, 동반질환 포함)</w:t>
      </w:r>
      <w:r>
        <w:t xml:space="preserve"> </w:t>
      </w:r>
      <w:r>
        <w:t xml:space="preserve">소아는 제외</w:t>
      </w:r>
      <w:r>
        <w:t xml:space="preserve"> </w:t>
      </w: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8"/>
          <w:ilvl w:val="0"/>
        </w:numPr>
      </w:pPr>
      <w:r>
        <w:t xml:space="preserve">대한두통학회</w:t>
      </w:r>
    </w:p>
    <w:p>
      <w:pPr>
        <w:pStyle w:val="Compact"/>
        <w:numPr>
          <w:numId w:val="1038"/>
          <w:ilvl w:val="0"/>
        </w:numPr>
      </w:pPr>
      <w:r>
        <w:t xml:space="preserve">대한신경과학회</w:t>
      </w:r>
    </w:p>
    <w:p>
      <w:pPr>
        <w:pStyle w:val="Heading2"/>
      </w:pPr>
      <w:bookmarkStart w:id="74" w:name="section-45"/>
      <w:r>
        <w:t xml:space="preserve">보급전략</w:t>
      </w:r>
      <w:bookmarkEnd w:id="74"/>
    </w:p>
    <w:p>
      <w:pPr>
        <w:numPr>
          <w:numId w:val="1039"/>
          <w:ilvl w:val="0"/>
        </w:numPr>
      </w:pPr>
      <w:r>
        <w:t xml:space="preserve">대한두통학회와 대한신경과학회 홈페이지 게시</w:t>
      </w:r>
    </w:p>
    <w:p>
      <w:pPr>
        <w:numPr>
          <w:numId w:val="1039"/>
          <w:ilvl w:val="0"/>
        </w:numPr>
      </w:pPr>
      <w:r>
        <w:t xml:space="preserve">대한두통학회지와 대한신경과학회지에 게재</w:t>
      </w:r>
    </w:p>
    <w:p>
      <w:pPr>
        <w:numPr>
          <w:numId w:val="1039"/>
          <w:ilvl w:val="0"/>
        </w:numPr>
      </w:pPr>
      <w:r>
        <w:t xml:space="preserve">책으로 출판하여 학술대회에서 배포</w:t>
      </w:r>
    </w:p>
    <w:p>
      <w:pPr>
        <w:numPr>
          <w:numId w:val="1039"/>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편두통질료지침위원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0"/>
          <w:ilvl w:val="0"/>
        </w:numPr>
      </w:pPr>
      <w:r>
        <w:t xml:space="preserve">Population: Adult with frequent and/or moderate-to-severe episodic migraine</w:t>
      </w:r>
    </w:p>
    <w:p>
      <w:pPr>
        <w:numPr>
          <w:numId w:val="1040"/>
          <w:ilvl w:val="0"/>
        </w:numPr>
      </w:pPr>
      <w:r>
        <w:t xml:space="preserve">Intervention: Drug</w:t>
      </w:r>
    </w:p>
    <w:p>
      <w:pPr>
        <w:pStyle w:val="Compact"/>
        <w:numPr>
          <w:numId w:val="1041"/>
          <w:ilvl w:val="1"/>
        </w:numPr>
      </w:pPr>
      <w:r>
        <w:t xml:space="preserve">Anti-epileptic drug</w:t>
      </w:r>
    </w:p>
    <w:p>
      <w:pPr>
        <w:pStyle w:val="Compact"/>
        <w:numPr>
          <w:numId w:val="1041"/>
          <w:ilvl w:val="1"/>
        </w:numPr>
      </w:pPr>
      <w:r>
        <w:t xml:space="preserve">Beta blocker/CCB/ARB/ACE</w:t>
      </w:r>
    </w:p>
    <w:p>
      <w:pPr>
        <w:pStyle w:val="Compact"/>
        <w:numPr>
          <w:numId w:val="1041"/>
          <w:ilvl w:val="1"/>
        </w:numPr>
      </w:pPr>
      <w:r>
        <w:t xml:space="preserve">Anti-Depressant</w:t>
      </w:r>
    </w:p>
    <w:p>
      <w:pPr>
        <w:numPr>
          <w:numId w:val="1040"/>
          <w:ilvl w:val="0"/>
        </w:numPr>
      </w:pPr>
      <w:r>
        <w:t xml:space="preserve">Professional:</w:t>
      </w:r>
    </w:p>
    <w:p>
      <w:pPr>
        <w:pStyle w:val="Compact"/>
        <w:numPr>
          <w:numId w:val="1042"/>
          <w:ilvl w:val="1"/>
        </w:numPr>
      </w:pPr>
      <w:r>
        <w:t xml:space="preserve">Primary care physician, Nurse, and healthcare professionals</w:t>
      </w:r>
    </w:p>
    <w:p>
      <w:pPr>
        <w:numPr>
          <w:numId w:val="1040"/>
          <w:ilvl w:val="0"/>
        </w:numPr>
      </w:pPr>
      <w:r>
        <w:t xml:space="preserve">Outcome: The frequency of migraine prevention drug prescription as suggested</w:t>
      </w:r>
    </w:p>
    <w:p>
      <w:pPr>
        <w:numPr>
          <w:numId w:val="1040"/>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3"/>
          <w:ilvl w:val="0"/>
        </w:numPr>
      </w:pPr>
      <w:r>
        <w:t xml:space="preserve">핵심질문 및 관련 검색어를 실무위원회에서 일차적으로 작성후 개발위원회에서 취합하여 검토 후 최종 선정하였다.</w:t>
      </w:r>
    </w:p>
    <w:p>
      <w:pPr>
        <w:numPr>
          <w:numId w:val="1043"/>
          <w:ilvl w:val="0"/>
        </w:numPr>
      </w:pPr>
      <w:r>
        <w:t xml:space="preserve">진료지침의 최종 권고안은 핵심질문을 기반으로 도출하였다.</w:t>
      </w:r>
    </w:p>
    <w:p>
      <w:pPr>
        <w:numPr>
          <w:numId w:val="1043"/>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4"/>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4"/>
          <w:ilvl w:val="1"/>
        </w:numPr>
      </w:pPr>
      <w:r>
        <w:t xml:space="preserve">중재법: 대상 중재법을 편두통 예방약물의 기전에 따라 5개의 군으로 정의하였다.</w:t>
      </w:r>
    </w:p>
    <w:p>
      <w:pPr>
        <w:pStyle w:val="Compact"/>
        <w:numPr>
          <w:numId w:val="1044"/>
          <w:ilvl w:val="1"/>
        </w:numPr>
      </w:pPr>
      <w:r>
        <w:t xml:space="preserve">비교 중재법: 편두통 예방약물의 효과를 판정하기 위해 위약의 효과와 비교하였다. 핵심질문에 따라 포함되지 않는 경우도 있었다.</w:t>
      </w:r>
    </w:p>
    <w:p>
      <w:pPr>
        <w:pStyle w:val="Compact"/>
        <w:numPr>
          <w:numId w:val="1044"/>
          <w:ilvl w:val="1"/>
        </w:numPr>
      </w:pPr>
      <w:r>
        <w:t xml:space="preserve">중재결과: 예방 치료의 목적 대상이 되는 해당 중재법의 임상적 주요 결과(두통 발작 일수의 감소, 강도의 감소) 등을 기술하였다.</w:t>
      </w:r>
    </w:p>
    <w:p>
      <w:pPr>
        <w:numPr>
          <w:numId w:val="1043"/>
          <w:ilvl w:val="0"/>
        </w:numPr>
      </w:pPr>
      <w:r>
        <w:t xml:space="preserve">검색어</w:t>
      </w:r>
    </w:p>
    <w:p>
      <w:pPr>
        <w:pStyle w:val="Compact"/>
        <w:numPr>
          <w:numId w:val="1045"/>
          <w:ilvl w:val="1"/>
        </w:numPr>
      </w:pPr>
      <w:r>
        <w:t xml:space="preserve">핵심질문의 PICO에 해당하는 영문 검색어를 정리하였다.</w:t>
      </w:r>
    </w:p>
    <w:p>
      <w:pPr>
        <w:pStyle w:val="Compact"/>
        <w:numPr>
          <w:numId w:val="1045"/>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7"/>
          <w:ilvl w:val="0"/>
        </w:numPr>
      </w:pPr>
      <w:r>
        <w:rPr>
          <w:b/>
        </w:rPr>
        <w:t xml:space="preserve">Adaptation</w:t>
      </w:r>
    </w:p>
    <w:p>
      <w:pPr>
        <w:pStyle w:val="Compact"/>
        <w:numPr>
          <w:numId w:val="1048"/>
          <w:ilvl w:val="1"/>
        </w:numPr>
      </w:pPr>
      <w:r>
        <w:t xml:space="preserve">2012 - 2017년까지의 진료지침 + 2012-2017년 사이 연구를 핵심질문별로 다시 검색</w:t>
      </w:r>
    </w:p>
    <w:p>
      <w:pPr>
        <w:pStyle w:val="Compact"/>
        <w:numPr>
          <w:numId w:val="1048"/>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p>
    <w:p>
      <w:pPr>
        <w:pStyle w:val="Compact"/>
        <w:numPr>
          <w:numId w:val="1049"/>
          <w:ilvl w:val="0"/>
        </w:numPr>
      </w:pPr>
      <w:r>
        <w:t xml:space="preserve">진료지침검색</w:t>
      </w:r>
    </w:p>
    <w:p>
      <w:pPr>
        <w:pStyle w:val="Compact"/>
        <w:numPr>
          <w:numId w:val="1050"/>
          <w:ilvl w:val="1"/>
        </w:numPr>
      </w:pPr>
      <w:r>
        <w:t xml:space="preserve">정보원</w:t>
      </w:r>
    </w:p>
    <w:p>
      <w:pPr>
        <w:pStyle w:val="Compact"/>
        <w:numPr>
          <w:numId w:val="1051"/>
          <w:ilvl w:val="2"/>
        </w:numPr>
      </w:pPr>
      <w:r>
        <w:t xml:space="preserve">National guideline clearinghouse</w:t>
      </w:r>
    </w:p>
    <w:p>
      <w:pPr>
        <w:pStyle w:val="Compact"/>
        <w:numPr>
          <w:numId w:val="1051"/>
          <w:ilvl w:val="2"/>
        </w:numPr>
      </w:pPr>
      <w:r>
        <w:t xml:space="preserve">Guideline international network</w:t>
      </w:r>
    </w:p>
    <w:p>
      <w:pPr>
        <w:pStyle w:val="Compact"/>
        <w:numPr>
          <w:numId w:val="1051"/>
          <w:ilvl w:val="2"/>
        </w:numPr>
      </w:pPr>
      <w:r>
        <w:t xml:space="preserve">Pubmed</w:t>
      </w:r>
    </w:p>
    <w:p>
      <w:pPr>
        <w:pStyle w:val="Compact"/>
        <w:numPr>
          <w:numId w:val="1051"/>
          <w:ilvl w:val="2"/>
        </w:numPr>
      </w:pPr>
      <w:r>
        <w:t xml:space="preserve">Google search</w:t>
      </w:r>
    </w:p>
    <w:p>
      <w:pPr>
        <w:pStyle w:val="Compact"/>
        <w:numPr>
          <w:numId w:val="1051"/>
          <w:ilvl w:val="2"/>
        </w:numPr>
      </w:pPr>
      <w:r>
        <w:t xml:space="preserve">KoMGI</w:t>
      </w:r>
    </w:p>
    <w:p>
      <w:pPr>
        <w:pStyle w:val="Compact"/>
        <w:numPr>
          <w:numId w:val="1051"/>
          <w:ilvl w:val="2"/>
        </w:numPr>
      </w:pPr>
      <w:r>
        <w:t xml:space="preserve">KoreaMed - KMBASE</w:t>
      </w:r>
    </w:p>
    <w:p>
      <w:pPr>
        <w:pStyle w:val="Compact"/>
        <w:numPr>
          <w:numId w:val="1049"/>
          <w:ilvl w:val="0"/>
        </w:numPr>
      </w:pPr>
      <w:r>
        <w:t xml:space="preserve">근거검색</w:t>
      </w:r>
    </w:p>
    <w:p>
      <w:pPr>
        <w:pStyle w:val="Compact"/>
        <w:numPr>
          <w:numId w:val="1052"/>
          <w:ilvl w:val="1"/>
        </w:numPr>
      </w:pPr>
      <w:r>
        <w:t xml:space="preserve">검색원</w:t>
      </w:r>
    </w:p>
    <w:p>
      <w:pPr>
        <w:pStyle w:val="Compact"/>
        <w:numPr>
          <w:numId w:val="1053"/>
          <w:ilvl w:val="2"/>
        </w:numPr>
      </w:pPr>
      <w:r>
        <w:t xml:space="preserve">전자문헌검색: 상기 + Ovid DB(MEDLINE/EMBASE) Cochrane library</w:t>
      </w:r>
    </w:p>
    <w:p>
      <w:pPr>
        <w:pStyle w:val="Compact"/>
        <w:numPr>
          <w:numId w:val="1053"/>
          <w:ilvl w:val="2"/>
        </w:numPr>
      </w:pPr>
      <w:r>
        <w:t xml:space="preserve">수기검색 (gray literature)</w:t>
      </w:r>
    </w:p>
    <w:p>
      <w:pPr>
        <w:pStyle w:val="Compact"/>
        <w:numPr>
          <w:numId w:val="1049"/>
          <w:ilvl w:val="0"/>
        </w:numPr>
      </w:pPr>
      <w:r>
        <w:t xml:space="preserve">검색 결과</w:t>
      </w:r>
    </w:p>
    <w:p>
      <w:pPr>
        <w:pStyle w:val="Compact"/>
        <w:numPr>
          <w:numId w:val="1054"/>
          <w:ilvl w:val="1"/>
        </w:numPr>
      </w:pPr>
      <w:hyperlink r:id="rId85">
        <w:r>
          <w:rPr>
            <w:rStyle w:val="Hyperlink"/>
          </w:rPr>
          <w:t xml:space="preserve">최신성 검색</w:t>
        </w:r>
      </w:hyperlink>
      <w:r>
        <w:t xml:space="preserve">: online only material</w:t>
      </w:r>
    </w:p>
    <w:p>
      <w:pPr>
        <w:pStyle w:val="Compact"/>
        <w:numPr>
          <w:numId w:val="1055"/>
          <w:ilvl w:val="2"/>
        </w:numPr>
      </w:pPr>
      <w:r>
        <w:t xml:space="preserve">2012-2017년 10월까지 검색어, 검색결과</w:t>
      </w:r>
    </w:p>
    <w:p>
      <w:pPr>
        <w:pStyle w:val="Heading2"/>
      </w:pPr>
      <w:bookmarkStart w:id="86" w:name="section-56"/>
      <w:r>
        <w:t xml:space="preserve">검색된 진료지침및 연구결과 선별</w:t>
      </w:r>
      <w:bookmarkEnd w:id="86"/>
    </w:p>
    <w:p>
      <w:pPr>
        <w:pStyle w:val="Compact"/>
        <w:numPr>
          <w:numId w:val="1056"/>
          <w:ilvl w:val="0"/>
        </w:numPr>
      </w:pPr>
      <w:r>
        <w:t xml:space="preserve">선정 기준</w:t>
      </w:r>
    </w:p>
    <w:p>
      <w:pPr>
        <w:pStyle w:val="Compact"/>
        <w:numPr>
          <w:numId w:val="1057"/>
          <w:ilvl w:val="1"/>
        </w:numPr>
      </w:pPr>
      <w:r>
        <w:t xml:space="preserve">핵실질문과 일치하는 PICO를 포함</w:t>
      </w:r>
    </w:p>
    <w:p>
      <w:pPr>
        <w:pStyle w:val="Compact"/>
        <w:numPr>
          <w:numId w:val="1057"/>
          <w:ilvl w:val="1"/>
        </w:numPr>
      </w:pPr>
      <w:r>
        <w:t xml:space="preserve">동료검토가 이루어 진것</w:t>
      </w:r>
    </w:p>
    <w:p>
      <w:pPr>
        <w:pStyle w:val="Compact"/>
        <w:numPr>
          <w:numId w:val="1057"/>
          <w:ilvl w:val="1"/>
        </w:numPr>
      </w:pPr>
      <w:r>
        <w:t xml:space="preserve">한국어 또는 영어로 출판된 것</w:t>
      </w:r>
    </w:p>
    <w:p>
      <w:pPr>
        <w:pStyle w:val="Compact"/>
        <w:numPr>
          <w:numId w:val="1057"/>
          <w:ilvl w:val="1"/>
        </w:numPr>
      </w:pPr>
      <w:r>
        <w:t xml:space="preserve">근거기반 방법론을 사용한 것</w:t>
      </w:r>
    </w:p>
    <w:p>
      <w:pPr>
        <w:pStyle w:val="Compact"/>
        <w:numPr>
          <w:numId w:val="1057"/>
          <w:ilvl w:val="1"/>
        </w:numPr>
      </w:pPr>
      <w:r>
        <w:t xml:space="preserve">2012년 이후 출판</w:t>
      </w:r>
    </w:p>
    <w:p>
      <w:pPr>
        <w:pStyle w:val="Heading2"/>
      </w:pPr>
      <w:bookmarkStart w:id="87" w:name="section-57"/>
      <w:r>
        <w:t xml:space="preserve">검색된 진료지침및 연구결과 평가</w:t>
      </w:r>
      <w:bookmarkEnd w:id="87"/>
    </w:p>
    <w:p>
      <w:pPr>
        <w:pStyle w:val="Compact"/>
        <w:numPr>
          <w:numId w:val="1058"/>
          <w:ilvl w:val="0"/>
        </w:numPr>
      </w:pPr>
      <w:r>
        <w:t xml:space="preserve">진료지침은 AGREE-II를 이용하여 평가.</w:t>
      </w:r>
    </w:p>
    <w:p>
      <w:pPr>
        <w:pStyle w:val="Compact"/>
        <w:numPr>
          <w:numId w:val="1058"/>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8"/>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9"/>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59"/>
          <w:ilvl w:val="0"/>
        </w:numPr>
      </w:pPr>
      <w:r>
        <w:rPr>
          <w:b/>
        </w:rPr>
        <w:t xml:space="preserve">높음</w:t>
      </w:r>
      <w:r>
        <w:t xml:space="preserve">: 추정된 효과가 실제효과와 비슷할 것이라고 매우 확신한다.</w:t>
      </w:r>
    </w:p>
    <w:p>
      <w:pPr>
        <w:pStyle w:val="Compact"/>
        <w:numPr>
          <w:numId w:val="1059"/>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59"/>
          <w:ilvl w:val="0"/>
        </w:numPr>
      </w:pPr>
      <w:r>
        <w:rPr>
          <w:b/>
        </w:rPr>
        <w:t xml:space="preserve">낮음</w:t>
      </w:r>
      <w:r>
        <w:t xml:space="preserve">: 추정된 효과는 실제효과와 아마도 상당히 다를지 모른다.</w:t>
      </w:r>
    </w:p>
    <w:p>
      <w:pPr>
        <w:pStyle w:val="Compact"/>
        <w:numPr>
          <w:numId w:val="1059"/>
          <w:ilvl w:val="0"/>
        </w:numPr>
      </w:pPr>
      <w:r>
        <w:rPr>
          <w:b/>
        </w:rPr>
        <w:t xml:space="preserve">매우 낮음</w:t>
      </w:r>
      <w:r>
        <w:t xml:space="preserve">: 추정된 효과는 실제효과에 상당히 다를 가능성이 있다.</w:t>
      </w:r>
    </w:p>
    <w:p>
      <w:pPr>
        <w:pStyle w:val="Compact"/>
        <w:numPr>
          <w:numId w:val="1059"/>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60"/>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0"/>
          <w:ilvl w:val="0"/>
        </w:numPr>
      </w:pPr>
      <w:r>
        <w:t xml:space="preserve">근거수준,</w:t>
      </w:r>
    </w:p>
    <w:p>
      <w:pPr>
        <w:pStyle w:val="Compact"/>
        <w:numPr>
          <w:numId w:val="1060"/>
          <w:ilvl w:val="0"/>
        </w:numPr>
      </w:pPr>
      <w:r>
        <w:t xml:space="preserve">효과 크기(이득과 위해의 저울질)</w:t>
      </w:r>
    </w:p>
    <w:p>
      <w:pPr>
        <w:pStyle w:val="Compact"/>
        <w:numPr>
          <w:numId w:val="1060"/>
          <w:ilvl w:val="0"/>
        </w:numPr>
      </w:pPr>
      <w:r>
        <w:t xml:space="preserve">가치와 선호도,</w:t>
      </w:r>
    </w:p>
    <w:p>
      <w:pPr>
        <w:pStyle w:val="Compact"/>
        <w:numPr>
          <w:numId w:val="1060"/>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1"/>
          <w:ilvl w:val="0"/>
        </w:numPr>
      </w:pPr>
      <w:r>
        <w:rPr>
          <w:b/>
        </w:rPr>
        <w:t xml:space="preserve">Strong for</w:t>
      </w:r>
      <w:r>
        <w:t xml:space="preserve">: 강하게 권고</w:t>
      </w:r>
    </w:p>
    <w:p>
      <w:pPr>
        <w:pStyle w:val="Compact"/>
        <w:numPr>
          <w:numId w:val="1061"/>
          <w:ilvl w:val="0"/>
        </w:numPr>
      </w:pPr>
      <w:r>
        <w:rPr>
          <w:b/>
        </w:rPr>
        <w:t xml:space="preserve">Weak for</w:t>
      </w:r>
      <w:r>
        <w:t xml:space="preserve">: 약하게 권고</w:t>
      </w:r>
    </w:p>
    <w:p>
      <w:pPr>
        <w:pStyle w:val="Compact"/>
        <w:numPr>
          <w:numId w:val="1061"/>
          <w:ilvl w:val="0"/>
        </w:numPr>
      </w:pPr>
      <w:r>
        <w:rPr>
          <w:b/>
        </w:rPr>
        <w:t xml:space="preserve">Weak against</w:t>
      </w:r>
      <w:r>
        <w:t xml:space="preserve">: 약하게 권고하지 않음</w:t>
      </w:r>
    </w:p>
    <w:p>
      <w:pPr>
        <w:pStyle w:val="Compact"/>
        <w:numPr>
          <w:numId w:val="1061"/>
          <w:ilvl w:val="0"/>
        </w:numPr>
      </w:pPr>
      <w:r>
        <w:rPr>
          <w:b/>
        </w:rPr>
        <w:t xml:space="preserve">Strong aginst</w:t>
      </w:r>
      <w:r>
        <w:t xml:space="preserve">: 강하게 권고하지 않음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2019-06-25T15:13:04Z</dcterms:created>
  <dcterms:modified xsi:type="dcterms:W3CDTF">2019-06-25T15:13:04Z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2019-06-26</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