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2019-06-22</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Heading3"/>
      </w:pPr>
      <w:bookmarkStart w:id="22" w:name="section-2"/>
      <w:r>
        <w:t xml:space="preserve">“</w:t>
      </w:r>
      <w:r>
        <w:t xml:space="preserve">삽화편두통 예방치료약물</w:t>
      </w:r>
      <w:r>
        <w:t xml:space="preserve">”</w:t>
      </w:r>
      <w:r>
        <w:t xml:space="preserve">에 대한 임상진료지침 발간을 축하하며</w:t>
      </w:r>
      <w:bookmarkEnd w:id="22"/>
    </w:p>
    <w:p>
      <w:pPr>
        <w:pStyle w:val="FirstParagraph"/>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t xml:space="preserve">대한두통학회 회장 김병건</w:t>
      </w:r>
    </w:p>
    <w:p>
      <w:pPr>
        <w:pStyle w:val="Heading1"/>
      </w:pPr>
      <w:bookmarkStart w:id="23" w:name="section-3"/>
      <w:r>
        <w:t xml:space="preserve">간행사</w:t>
      </w:r>
      <w:bookmarkEnd w:id="23"/>
    </w:p>
    <w:p>
      <w:pPr>
        <w:pStyle w:val="FirstParagraph"/>
      </w:pPr>
      <w:r>
        <w:t xml:space="preserve">정재면 위원장님</w:t>
      </w:r>
    </w:p>
    <w:p>
      <w:pPr>
        <w:pStyle w:val="Heading1"/>
      </w:pPr>
      <w:bookmarkStart w:id="24" w:name="section-4"/>
      <w:r>
        <w:t xml:space="preserve">요약</w:t>
      </w:r>
      <w:bookmarkEnd w:id="24"/>
    </w:p>
    <w:p>
      <w:pPr>
        <w:pStyle w:val="Heading2"/>
      </w:pPr>
      <w:bookmarkStart w:id="25" w:name="section-5"/>
      <w:r>
        <w:t xml:space="preserve">핵심질문과 권고사항</w:t>
      </w:r>
      <w:bookmarkEnd w:id="25"/>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6"/>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7"/>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U (전문가의견), 권고등급: 약함)</w:t>
      </w:r>
    </w:p>
    <w:p>
      <w:pPr>
        <w:numPr>
          <w:numId w:val="100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8" w:name="section-6"/>
      <w:r>
        <w:t xml:space="preserve">약물별 권고수준</w:t>
      </w:r>
      <w:bookmarkEnd w:id="28"/>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9" w:name="section-7"/>
      <w:r>
        <w:t xml:space="preserve">개요</w:t>
      </w:r>
      <w:bookmarkEnd w:id="29"/>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30" w:name="section-8"/>
      <w:r>
        <w:t xml:space="preserve">각론</w:t>
      </w:r>
      <w:bookmarkEnd w:id="30"/>
    </w:p>
    <w:p>
      <w:pPr>
        <w:pStyle w:val="Heading2"/>
      </w:pPr>
      <w:bookmarkStart w:id="31" w:name="section-9"/>
      <w:r>
        <w:t xml:space="preserve">핵심질문 1.</w:t>
      </w:r>
      <w:bookmarkEnd w:id="31"/>
    </w:p>
    <w:p>
      <w:pPr>
        <w:pStyle w:val="Heading4"/>
      </w:pPr>
      <w:bookmarkStart w:id="32" w:name="section-10"/>
      <w:r>
        <w:t xml:space="preserve">성인 삽화편두통 환자에서 예방치료를 고려해야 하는 요인들(두통빈도, 두통강도, 환자의 선호도, 일상생활에 대한 영향 등)은 무엇인가?</w:t>
      </w:r>
      <w:bookmarkEnd w:id="32"/>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3"/>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4"/>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5" w:name="section-11"/>
      <w:r>
        <w:t xml:space="preserve">핵심질문 2.</w:t>
      </w:r>
      <w:bookmarkEnd w:id="35"/>
    </w:p>
    <w:p>
      <w:pPr>
        <w:pStyle w:val="Heading4"/>
      </w:pPr>
      <w:bookmarkStart w:id="36" w:name="section-12"/>
      <w:r>
        <w:t xml:space="preserve">성인 삽화편두통 환자에서 예방치료의 중단은 어떻게 결정해야 하는가?</w:t>
      </w:r>
      <w:bookmarkEnd w:id="36"/>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7" w:name="section-13"/>
      <w:r>
        <w:t xml:space="preserve">핵심질문 3.</w:t>
      </w:r>
      <w:bookmarkEnd w:id="37"/>
    </w:p>
    <w:p>
      <w:pPr>
        <w:pStyle w:val="Heading4"/>
      </w:pPr>
      <w:bookmarkStart w:id="38" w:name="section-14"/>
      <w:r>
        <w:t xml:space="preserve">성인 삽화편두통 환자에서 예방치료로 베타차단제를 사용하는 것이 타약제, 위약 또는 치료하지 않는 것에 비해 두통의 완화에 효과적인가?</w:t>
      </w:r>
      <w:bookmarkEnd w:id="38"/>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100mg부터 시작하여 200mg까지 증량하여 사용할 수 있다.</w:t>
      </w:r>
    </w:p>
    <w:p>
      <w:pPr>
        <w:pStyle w:val="BodyText"/>
      </w:pPr>
      <w: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20mg부터 240mg까지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U (전문가의견), 권고등급: 약함)</w:t>
      </w:r>
    </w:p>
    <w:p>
      <w:pPr>
        <w:numPr>
          <w:numId w:val="1014"/>
          <w:ilvl w:val="0"/>
        </w:numPr>
      </w:pPr>
      <w:r>
        <w:t xml:space="preserve">핀돌롤은 성인 삽화편두통 환자에서 편두통 예방약제로 사용하지 않을 것을 제안한다. (근거수준: U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9" w:name="section-15"/>
      <w:r>
        <w:t xml:space="preserve">핵심질문 4.</w:t>
      </w:r>
      <w:bookmarkEnd w:id="39"/>
    </w:p>
    <w:p>
      <w:pPr>
        <w:pStyle w:val="Heading4"/>
      </w:pPr>
      <w:bookmarkStart w:id="40" w:name="section-16"/>
      <w:r>
        <w:t xml:space="preserve">성인 삽화편두통 환자에서 예방치료로 칼슘통로차단제를 사용하는 것이 타약제, 위약 또는 치료하지 않는 것에 비해 두통의 완화에 효과적인가?</w:t>
      </w:r>
      <w:bookmarkEnd w:id="40"/>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1" w:name="section-17"/>
      <w:r>
        <w:t xml:space="preserve">핵심질문 5.</w:t>
      </w:r>
      <w:bookmarkEnd w:id="41"/>
    </w:p>
    <w:p>
      <w:pPr>
        <w:pStyle w:val="Heading4"/>
      </w:pPr>
      <w:bookmarkStart w:id="42"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2"/>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3" w:name="section-18"/>
      <w:r>
        <w:t xml:space="preserve">핵심질문 6.</w:t>
      </w:r>
      <w:bookmarkEnd w:id="43"/>
    </w:p>
    <w:p>
      <w:pPr>
        <w:pStyle w:val="Heading4"/>
      </w:pPr>
      <w:bookmarkStart w:id="44" w:name="section-19"/>
      <w:r>
        <w:t xml:space="preserve">성인 삽화편두통 환자에서 예방치료로 항우울제를 사용하는 것이 타약제, 위약 또는 치료하지 않는 것에 비해 두통의 완화에 효과적인가?</w:t>
      </w:r>
      <w:bookmarkEnd w:id="44"/>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5">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6" w:name="section-20"/>
      <w:r>
        <w:t xml:space="preserve">핵심질문 7.</w:t>
      </w:r>
      <w:bookmarkEnd w:id="46"/>
    </w:p>
    <w:p>
      <w:pPr>
        <w:pStyle w:val="Heading4"/>
      </w:pPr>
      <w:bookmarkStart w:id="47" w:name="section-21"/>
      <w:r>
        <w:t xml:space="preserve">성인 삽화편두통 환자에서 예방치료로 뇌전증약을 사용하는 것이 타약제, 위약 또는 치료하지 않는 것에 비해 두통의 완화에 효과적인가?</w:t>
      </w:r>
      <w:bookmarkEnd w:id="47"/>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8" w:name="appendix"/>
      <w:r>
        <w:t xml:space="preserve">Appendix</w:t>
      </w:r>
      <w:bookmarkEnd w:id="48"/>
    </w:p>
    <w:p>
      <w:pPr>
        <w:pStyle w:val="Heading1"/>
      </w:pPr>
      <w:bookmarkStart w:id="49" w:name="section-22"/>
      <w:r>
        <w:t xml:space="preserve">두통 일기</w:t>
      </w:r>
      <w:bookmarkEnd w:id="49"/>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50"/>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1" w:name="section-23"/>
      <w:r>
        <w:t xml:space="preserve">삽화편두통 예방약물의 용량, 부작용및 금기사항</w:t>
      </w:r>
      <w:bookmarkEnd w:id="51"/>
    </w:p>
    <w:p>
      <w:pPr>
        <w:pStyle w:val="Heading2"/>
      </w:pPr>
      <w:bookmarkStart w:id="52" w:name="section-24"/>
      <w:r>
        <w:t xml:space="preserve">일반적인 용량및 흔한 부작용</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25-100mg b.i.d.</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40-80mg b.i.d.</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27.5 - 150mg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3" w:name="section-25"/>
      <w:r>
        <w:t xml:space="preserve">금기사항</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4" w:name="section-26"/>
      <w:r>
        <w:t xml:space="preserve">편두통 진단기준</w:t>
      </w:r>
      <w:bookmarkEnd w:id="54"/>
    </w:p>
    <w:p>
      <w:pPr>
        <w:pStyle w:val="Heading3"/>
      </w:pPr>
      <w:bookmarkStart w:id="55" w:name="X22066c0a6513f4fd9c3b568f459b4ee1cdbe122"/>
      <w:r>
        <w:t xml:space="preserve">Korean Version of The International Classification of Headache Disorders, 3rd Edition</w:t>
      </w:r>
      <w:bookmarkEnd w:id="55"/>
    </w:p>
    <w:p>
      <w:pPr>
        <w:pStyle w:val="Heading2"/>
      </w:pPr>
      <w:bookmarkStart w:id="56" w:name="section-27"/>
      <w:r>
        <w:t xml:space="preserve">무조짐 편두통</w:t>
      </w:r>
      <w:bookmarkEnd w:id="56"/>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7" w:name="section-28"/>
      <w:r>
        <w:t xml:space="preserve">조짐 편두통</w:t>
      </w:r>
      <w:bookmarkEnd w:id="57"/>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8" w:name="section-29"/>
      <w:r>
        <w:t xml:space="preserve">개발그룹</w:t>
      </w:r>
      <w:bookmarkEnd w:id="58"/>
    </w:p>
    <w:p>
      <w:pPr>
        <w:pStyle w:val="Heading2"/>
      </w:pPr>
      <w:bookmarkStart w:id="59" w:name="section-30"/>
      <w:r>
        <w:t xml:space="preserve">운영위원회</w:t>
      </w:r>
      <w:bookmarkEnd w:id="59"/>
    </w:p>
    <w:p>
      <w:pPr>
        <w:pStyle w:val="Compact"/>
        <w:numPr>
          <w:numId w:val="1029"/>
          <w:ilvl w:val="0"/>
        </w:numPr>
      </w:pPr>
      <w:r>
        <w:t xml:space="preserve">위원장: 인제대학교 정재면</w:t>
      </w:r>
    </w:p>
    <w:p>
      <w:pPr>
        <w:pStyle w:val="Compact"/>
        <w:numPr>
          <w:numId w:val="1029"/>
          <w:ilvl w:val="0"/>
        </w:numPr>
      </w:pPr>
      <w:r>
        <w:t xml:space="preserve">간사: 중앙대학교 박광열</w:t>
      </w:r>
    </w:p>
    <w:p>
      <w:pPr>
        <w:pStyle w:val="Heading2"/>
      </w:pPr>
      <w:bookmarkStart w:id="60" w:name="section-31"/>
      <w:r>
        <w:t xml:space="preserve">자문위원회</w:t>
      </w:r>
      <w:bookmarkEnd w:id="60"/>
    </w:p>
    <w:p>
      <w:pPr>
        <w:pStyle w:val="Compact"/>
        <w:numPr>
          <w:numId w:val="1030"/>
          <w:ilvl w:val="0"/>
        </w:numPr>
      </w:pPr>
      <w:r>
        <w:t xml:space="preserve">을지대학교 김병건</w:t>
      </w:r>
    </w:p>
    <w:p>
      <w:pPr>
        <w:pStyle w:val="Compact"/>
        <w:numPr>
          <w:numId w:val="1030"/>
          <w:ilvl w:val="0"/>
        </w:numPr>
      </w:pPr>
      <w:r>
        <w:t xml:space="preserve">연세대학교 김원주</w:t>
      </w:r>
    </w:p>
    <w:p>
      <w:pPr>
        <w:pStyle w:val="Heading2"/>
      </w:pPr>
      <w:bookmarkStart w:id="61" w:name="section-32"/>
      <w:r>
        <w:t xml:space="preserve">외부자문그룹</w:t>
      </w:r>
      <w:bookmarkEnd w:id="61"/>
    </w:p>
    <w:p>
      <w:pPr>
        <w:pStyle w:val="Compact"/>
        <w:numPr>
          <w:numId w:val="1031"/>
          <w:ilvl w:val="0"/>
        </w:numPr>
      </w:pPr>
      <w:r>
        <w:t xml:space="preserve">순천향대학교 이유경</w:t>
      </w:r>
    </w:p>
    <w:p>
      <w:pPr>
        <w:pStyle w:val="Compact"/>
        <w:numPr>
          <w:numId w:val="1031"/>
          <w:ilvl w:val="0"/>
        </w:numPr>
      </w:pPr>
      <w:r>
        <w:t xml:space="preserve">NECA 박동아</w:t>
      </w:r>
    </w:p>
    <w:p>
      <w:pPr>
        <w:pStyle w:val="Heading2"/>
      </w:pPr>
      <w:bookmarkStart w:id="62" w:name="section-33"/>
      <w:r>
        <w:t xml:space="preserve">실무위원회및 근거평가그룹</w:t>
      </w:r>
      <w:bookmarkEnd w:id="62"/>
    </w:p>
    <w:p>
      <w:pPr>
        <w:pStyle w:val="Compact"/>
        <w:numPr>
          <w:numId w:val="1032"/>
          <w:ilvl w:val="0"/>
        </w:numPr>
      </w:pPr>
      <w:r>
        <w:t xml:space="preserve">분당제생병원 김병수</w:t>
      </w:r>
    </w:p>
    <w:p>
      <w:pPr>
        <w:pStyle w:val="Compact"/>
        <w:numPr>
          <w:numId w:val="1032"/>
          <w:ilvl w:val="0"/>
        </w:numPr>
      </w:pPr>
      <w:r>
        <w:t xml:space="preserve">경북대학교 서종근</w:t>
      </w:r>
    </w:p>
    <w:p>
      <w:pPr>
        <w:pStyle w:val="Compact"/>
        <w:numPr>
          <w:numId w:val="1032"/>
          <w:ilvl w:val="0"/>
        </w:numPr>
      </w:pPr>
      <w:r>
        <w:t xml:space="preserve">한림대학교 손종희</w:t>
      </w:r>
    </w:p>
    <w:p>
      <w:pPr>
        <w:pStyle w:val="Compact"/>
        <w:numPr>
          <w:numId w:val="1032"/>
          <w:ilvl w:val="0"/>
        </w:numPr>
      </w:pPr>
      <w:r>
        <w:t xml:space="preserve">이화여자대학교 송태진</w:t>
      </w:r>
    </w:p>
    <w:p>
      <w:pPr>
        <w:pStyle w:val="Compact"/>
        <w:numPr>
          <w:numId w:val="1032"/>
          <w:ilvl w:val="0"/>
        </w:numPr>
      </w:pPr>
      <w:r>
        <w:t xml:space="preserve">성균관대학교 이미지</w:t>
      </w:r>
    </w:p>
    <w:p>
      <w:pPr>
        <w:pStyle w:val="Compact"/>
        <w:numPr>
          <w:numId w:val="1032"/>
          <w:ilvl w:val="0"/>
        </w:numPr>
      </w:pPr>
      <w:r>
        <w:t xml:space="preserve">성균관대학교 정필욱</w:t>
      </w:r>
    </w:p>
    <w:p>
      <w:pPr>
        <w:pStyle w:val="Compact"/>
        <w:numPr>
          <w:numId w:val="1032"/>
          <w:ilvl w:val="0"/>
        </w:numPr>
      </w:pPr>
      <w:r>
        <w:t xml:space="preserve">NECA 최미영</w:t>
      </w:r>
    </w:p>
    <w:p>
      <w:pPr>
        <w:pStyle w:val="Compact"/>
        <w:numPr>
          <w:numId w:val="1032"/>
          <w:ilvl w:val="0"/>
        </w:numPr>
      </w:pPr>
      <w:r>
        <w:t xml:space="preserve">전주예수병원 최윤주</w:t>
      </w:r>
    </w:p>
    <w:p>
      <w:pPr>
        <w:pStyle w:val="Heading2"/>
      </w:pPr>
      <w:bookmarkStart w:id="63" w:name="section-34"/>
      <w:r>
        <w:t xml:space="preserve">이해관계 선언</w:t>
      </w:r>
      <w:bookmarkEnd w:id="63"/>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2"/>
      </w:pPr>
      <w:bookmarkStart w:id="64" w:name="section-35"/>
      <w:r>
        <w:t xml:space="preserve">운영</w:t>
      </w:r>
      <w:bookmarkEnd w:id="64"/>
    </w:p>
    <w:p>
      <w:pPr>
        <w:pStyle w:val="Heading3"/>
      </w:pPr>
      <w:bookmarkStart w:id="65" w:name="section-36"/>
      <w:r>
        <w:t xml:space="preserve">합의원칙의 결정</w:t>
      </w:r>
      <w:bookmarkEnd w:id="65"/>
    </w:p>
    <w:p>
      <w:pPr>
        <w:pStyle w:val="Compact"/>
        <w:numPr>
          <w:numId w:val="1033"/>
          <w:ilvl w:val="0"/>
        </w:numPr>
      </w:pPr>
      <w:r>
        <w:t xml:space="preserve">토론</w:t>
      </w:r>
    </w:p>
    <w:p>
      <w:pPr>
        <w:pStyle w:val="Heading3"/>
      </w:pPr>
      <w:bookmarkStart w:id="66" w:name="section-37"/>
      <w:r>
        <w:t xml:space="preserve">저자원칙의 결정</w:t>
      </w:r>
      <w:bookmarkEnd w:id="66"/>
    </w:p>
    <w:p>
      <w:pPr>
        <w:pStyle w:val="Compact"/>
        <w:numPr>
          <w:numId w:val="1034"/>
          <w:ilvl w:val="0"/>
        </w:numPr>
      </w:pPr>
      <w:r>
        <w:t xml:space="preserve">초안:</w:t>
      </w:r>
    </w:p>
    <w:p>
      <w:pPr>
        <w:pStyle w:val="Compact"/>
        <w:numPr>
          <w:numId w:val="1034"/>
          <w:ilvl w:val="0"/>
        </w:numPr>
      </w:pPr>
      <w:r>
        <w:t xml:space="preserve">최종보고서: 정재면</w:t>
      </w:r>
    </w:p>
    <w:p>
      <w:pPr>
        <w:pStyle w:val="Compact"/>
        <w:numPr>
          <w:numId w:val="1034"/>
          <w:ilvl w:val="0"/>
        </w:numPr>
      </w:pPr>
      <w:r>
        <w:t xml:space="preserve">저자포함: 개발그룹전체</w:t>
      </w:r>
    </w:p>
    <w:p>
      <w:pPr>
        <w:pStyle w:val="Heading3"/>
      </w:pPr>
      <w:bookmarkStart w:id="67" w:name="section-38"/>
      <w:r>
        <w:t xml:space="preserve">잠재적 승인기구</w:t>
      </w:r>
      <w:bookmarkEnd w:id="67"/>
    </w:p>
    <w:p>
      <w:pPr>
        <w:pStyle w:val="Compact"/>
        <w:numPr>
          <w:numId w:val="1035"/>
          <w:ilvl w:val="0"/>
        </w:numPr>
      </w:pPr>
      <w:r>
        <w:t xml:space="preserve">대한두통학회</w:t>
      </w:r>
    </w:p>
    <w:p>
      <w:pPr>
        <w:pStyle w:val="Compact"/>
        <w:numPr>
          <w:numId w:val="1035"/>
          <w:ilvl w:val="0"/>
        </w:numPr>
      </w:pPr>
      <w:r>
        <w:t xml:space="preserve">대한신경과학회</w:t>
      </w:r>
    </w:p>
    <w:p>
      <w:pPr>
        <w:pStyle w:val="Heading3"/>
      </w:pPr>
      <w:bookmarkStart w:id="68" w:name="section-39"/>
      <w:r>
        <w:t xml:space="preserve">보급전략</w:t>
      </w:r>
      <w:bookmarkEnd w:id="68"/>
    </w:p>
    <w:p>
      <w:pPr>
        <w:pStyle w:val="Compact"/>
        <w:numPr>
          <w:numId w:val="1036"/>
          <w:ilvl w:val="0"/>
        </w:numPr>
      </w:pPr>
      <w:r>
        <w:t xml:space="preserve">대한두통학회와 대한신경과학회 홈페이지 게시</w:t>
      </w:r>
    </w:p>
    <w:p>
      <w:pPr>
        <w:pStyle w:val="Compact"/>
        <w:numPr>
          <w:numId w:val="1036"/>
          <w:ilvl w:val="0"/>
        </w:numPr>
      </w:pPr>
      <w:r>
        <w:t xml:space="preserve">대한두통학회지와 대한신경과학회지에 게재</w:t>
      </w:r>
    </w:p>
    <w:p>
      <w:pPr>
        <w:pStyle w:val="Heading1"/>
      </w:pPr>
      <w:bookmarkStart w:id="69" w:name="section-40"/>
      <w:r>
        <w:t xml:space="preserve">개발 진행 과정</w:t>
      </w:r>
      <w:bookmarkEnd w:id="69"/>
    </w:p>
    <w:p>
      <w:pPr>
        <w:pStyle w:val="Heading2"/>
      </w:pPr>
      <w:bookmarkStart w:id="70" w:name="section-41"/>
      <w:r>
        <w:t xml:space="preserve">기존 진료지침 검색</w:t>
      </w:r>
      <w:bookmarkEnd w:id="70"/>
    </w:p>
    <w:p>
      <w:pPr>
        <w:numPr>
          <w:numId w:val="1037"/>
          <w:ilvl w:val="0"/>
        </w:numPr>
      </w:pPr>
      <w:r>
        <w:t xml:space="preserve">Selection criteria</w:t>
      </w:r>
    </w:p>
    <w:p>
      <w:pPr>
        <w:numPr>
          <w:numId w:val="1000"/>
          <w:ilvl w:val="0"/>
        </w:numPr>
      </w:pPr>
      <w:r>
        <w:t xml:space="preserve">– From 2012 to 2016</w:t>
      </w:r>
    </w:p>
    <w:p>
      <w:pPr>
        <w:numPr>
          <w:numId w:val="1000"/>
          <w:ilvl w:val="0"/>
        </w:numPr>
      </w:pPr>
      <w:r>
        <w:t xml:space="preserve">– Written in English or Korean</w:t>
      </w:r>
    </w:p>
    <w:p>
      <w:pPr>
        <w:numPr>
          <w:numId w:val="1000"/>
          <w:ilvl w:val="0"/>
        </w:numPr>
      </w:pPr>
      <w:r>
        <w:t xml:space="preserve">– By Multi-disciplinary team</w:t>
      </w:r>
    </w:p>
    <w:p>
      <w:pPr>
        <w:numPr>
          <w:numId w:val="1000"/>
          <w:ilvl w:val="0"/>
        </w:numPr>
      </w:pPr>
      <w:r>
        <w:t xml:space="preserve">– Evidence-based method</w:t>
      </w:r>
    </w:p>
    <w:p>
      <w:pPr>
        <w:numPr>
          <w:numId w:val="1037"/>
          <w:ilvl w:val="0"/>
        </w:numPr>
      </w:pPr>
      <w:r>
        <w:t xml:space="preserve">9개의 진료지침 검토</w:t>
      </w:r>
    </w:p>
    <w:p>
      <w:pPr>
        <w:numPr>
          <w:numId w:val="1000"/>
          <w:ilvl w:val="0"/>
        </w:numPr>
      </w:pPr>
      <w:r>
        <w:t xml:space="preserve">– 2012 AAN AHS guideline update for migraine prophylaxis Neurology (김병수, 정필욱)</w:t>
      </w:r>
    </w:p>
    <w:p>
      <w:pPr>
        <w:numPr>
          <w:numId w:val="1000"/>
          <w:ilvl w:val="0"/>
        </w:numPr>
      </w:pPr>
      <w:r>
        <w:t xml:space="preserve">– 2012 Canadian guideline for migraine prophylaxis Can J neurol sci (이미지, 손종희)</w:t>
      </w:r>
    </w:p>
    <w:p>
      <w:pPr>
        <w:numPr>
          <w:numId w:val="1000"/>
          <w:ilvl w:val="0"/>
        </w:numPr>
      </w:pPr>
      <w:r>
        <w:t xml:space="preserve">– 2012 Croatia guideline (송태진, 손종희)</w:t>
      </w:r>
    </w:p>
    <w:p>
      <w:pPr>
        <w:numPr>
          <w:numId w:val="1000"/>
          <w:ilvl w:val="0"/>
        </w:numPr>
      </w:pPr>
      <w:r>
        <w:t xml:space="preserve">– 2012 Danish Guidelines JHP (서종근, 최윤주)</w:t>
      </w:r>
    </w:p>
    <w:p>
      <w:pPr>
        <w:numPr>
          <w:numId w:val="1000"/>
          <w:ilvl w:val="0"/>
        </w:numPr>
      </w:pPr>
      <w:r>
        <w:t xml:space="preserve">– 2012 French guidelines revised JHP (정필욱, 김병수)</w:t>
      </w:r>
    </w:p>
    <w:p>
      <w:pPr>
        <w:numPr>
          <w:numId w:val="1000"/>
          <w:ilvl w:val="0"/>
        </w:numPr>
      </w:pPr>
      <w:r>
        <w:t xml:space="preserve">– 2012 Italian Guidelines revised version -JHP supple (최윤주, 서종근)</w:t>
      </w:r>
    </w:p>
    <w:p>
      <w:pPr>
        <w:numPr>
          <w:numId w:val="1000"/>
          <w:ilvl w:val="0"/>
        </w:numPr>
      </w:pPr>
      <w:r>
        <w:t xml:space="preserve">– ICSI guideline 2013 (original version, full-text) (송태진, 김병수)</w:t>
      </w:r>
    </w:p>
    <w:p>
      <w:pPr>
        <w:numPr>
          <w:numId w:val="1000"/>
          <w:ilvl w:val="0"/>
        </w:numPr>
      </w:pPr>
      <w:r>
        <w:t xml:space="preserve">– NICE guideline for headache in over 12s (2012) (2015 update) (이미지, 김병건)</w:t>
      </w:r>
    </w:p>
    <w:p>
      <w:pPr>
        <w:numPr>
          <w:numId w:val="1000"/>
          <w:ilvl w:val="0"/>
        </w:numPr>
      </w:pPr>
      <w:r>
        <w:t xml:space="preserve">– Practice guideline update summary fot Botulinum neurotoxin (AAN) 2016 neurology (이미지)</w:t>
      </w:r>
    </w:p>
    <w:p>
      <w:pPr>
        <w:pStyle w:val="Heading2"/>
      </w:pPr>
      <w:bookmarkStart w:id="71" w:name="section-42"/>
      <w:r>
        <w:t xml:space="preserve">개발방법</w:t>
      </w:r>
      <w:bookmarkEnd w:id="71"/>
    </w:p>
    <w:p>
      <w:pPr>
        <w:numPr>
          <w:numId w:val="1038"/>
          <w:ilvl w:val="0"/>
        </w:numPr>
      </w:pPr>
      <w:r>
        <w:t xml:space="preserve">Adaptation</w:t>
      </w:r>
    </w:p>
    <w:p>
      <w:pPr>
        <w:numPr>
          <w:numId w:val="1039"/>
          <w:ilvl w:val="1"/>
        </w:numPr>
      </w:pPr>
      <w:r>
        <w:t xml:space="preserve">2012년까지의 진료지침 + 2012년 이후 논문은 핵심질문별로 다시 검색</w:t>
      </w:r>
    </w:p>
    <w:p>
      <w:pPr>
        <w:numPr>
          <w:numId w:val="1039"/>
          <w:ilvl w:val="1"/>
        </w:numPr>
      </w:pPr>
      <w:r>
        <w:t xml:space="preserve">그외 수기로 논문 추가 조사 (논문의 참고문헌등)</w:t>
      </w:r>
    </w:p>
    <w:p>
      <w:pPr>
        <w:pStyle w:val="Heading2"/>
      </w:pPr>
      <w:bookmarkStart w:id="72" w:name="section-43"/>
      <w:r>
        <w:t xml:space="preserve">지침및 근거검색</w:t>
      </w:r>
      <w:bookmarkEnd w:id="72"/>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73"/>
                    <a:stretch>
                      <a:fillRect/>
                    </a:stretch>
                  </pic:blipFill>
                  <pic:spPr bwMode="auto">
                    <a:xfrm>
                      <a:off x="0" y="0"/>
                      <a:ext cx="5334000" cy="4178133"/>
                    </a:xfrm>
                    <a:prstGeom prst="rect">
                      <a:avLst/>
                    </a:prstGeom>
                    <a:noFill/>
                    <a:ln w="9525">
                      <a:noFill/>
                      <a:headEnd/>
                      <a:tailEnd/>
                    </a:ln>
                  </pic:spPr>
                </pic:pic>
              </a:graphicData>
            </a:graphic>
          </wp:inline>
        </w:drawing>
      </w:r>
    </w:p>
    <w:p>
      <w:pPr>
        <w:numPr>
          <w:numId w:val="1040"/>
          <w:ilvl w:val="0"/>
        </w:numPr>
      </w:pPr>
      <w:r>
        <w:t xml:space="preserve">지침검색</w:t>
      </w:r>
    </w:p>
    <w:p>
      <w:pPr>
        <w:pStyle w:val="Compact"/>
        <w:numPr>
          <w:numId w:val="1041"/>
          <w:ilvl w:val="1"/>
        </w:numPr>
      </w:pPr>
      <w:r>
        <w:t xml:space="preserve">National guideline clearinghouse</w:t>
      </w:r>
    </w:p>
    <w:p>
      <w:pPr>
        <w:pStyle w:val="Compact"/>
        <w:numPr>
          <w:numId w:val="1041"/>
          <w:ilvl w:val="1"/>
        </w:numPr>
      </w:pPr>
      <w:r>
        <w:t xml:space="preserve">Guideline international network</w:t>
      </w:r>
    </w:p>
    <w:p>
      <w:pPr>
        <w:pStyle w:val="Compact"/>
        <w:numPr>
          <w:numId w:val="1041"/>
          <w:ilvl w:val="1"/>
        </w:numPr>
      </w:pPr>
      <w:r>
        <w:t xml:space="preserve">Pubmed</w:t>
      </w:r>
    </w:p>
    <w:p>
      <w:pPr>
        <w:pStyle w:val="Compact"/>
        <w:numPr>
          <w:numId w:val="1041"/>
          <w:ilvl w:val="1"/>
        </w:numPr>
      </w:pPr>
      <w:r>
        <w:t xml:space="preserve">Google search</w:t>
      </w:r>
    </w:p>
    <w:p>
      <w:pPr>
        <w:pStyle w:val="Compact"/>
        <w:numPr>
          <w:numId w:val="1041"/>
          <w:ilvl w:val="1"/>
        </w:numPr>
      </w:pPr>
      <w:r>
        <w:t xml:space="preserve">KoMGI</w:t>
      </w:r>
    </w:p>
    <w:p>
      <w:pPr>
        <w:pStyle w:val="Compact"/>
        <w:numPr>
          <w:numId w:val="1041"/>
          <w:ilvl w:val="1"/>
        </w:numPr>
      </w:pPr>
      <w:r>
        <w:t xml:space="preserve">KoreaMed - KMBASE</w:t>
      </w:r>
    </w:p>
    <w:p>
      <w:pPr>
        <w:numPr>
          <w:numId w:val="1040"/>
          <w:ilvl w:val="0"/>
        </w:numPr>
      </w:pPr>
      <w:r>
        <w:t xml:space="preserve">근거검색</w:t>
      </w:r>
    </w:p>
    <w:p>
      <w:pPr>
        <w:pStyle w:val="Compact"/>
        <w:numPr>
          <w:numId w:val="1042"/>
          <w:ilvl w:val="1"/>
        </w:numPr>
      </w:pPr>
      <w:r>
        <w:t xml:space="preserve">전자문헌검색: 상기 + Ovid DB(MEDLINE/EMBASE) Cochrane library</w:t>
      </w:r>
    </w:p>
    <w:p>
      <w:pPr>
        <w:pStyle w:val="Compact"/>
        <w:numPr>
          <w:numId w:val="1042"/>
          <w:ilvl w:val="1"/>
        </w:numPr>
      </w:pPr>
      <w:r>
        <w:t xml:space="preserve">수기검색 (gray literature)</w:t>
      </w:r>
    </w:p>
    <w:p>
      <w:pPr>
        <w:pStyle w:val="Heading2"/>
      </w:pPr>
      <w:bookmarkStart w:id="74" w:name="section-44"/>
      <w:r>
        <w:t xml:space="preserve">지침 작성</w:t>
      </w:r>
      <w:bookmarkEnd w:id="74"/>
    </w:p>
    <w:p>
      <w:pPr>
        <w:pStyle w:val="Heading2"/>
      </w:pPr>
      <w:bookmarkStart w:id="75" w:name="section-45"/>
      <w:r>
        <w:t xml:space="preserve">외부 전문가 리뷰</w:t>
      </w:r>
      <w:bookmarkEnd w:id="75"/>
    </w:p>
    <w:p>
      <w:pPr>
        <w:pStyle w:val="Heading2"/>
      </w:pPr>
      <w:bookmarkStart w:id="76" w:name="section-46"/>
      <w:r>
        <w:t xml:space="preserve">지침 수정계획과 발표</w:t>
      </w:r>
      <w:bookmarkEnd w:id="76"/>
    </w:p>
    <w:p>
      <w:pPr>
        <w:pStyle w:val="Heading1"/>
      </w:pPr>
      <w:bookmarkStart w:id="77" w:name="section-47"/>
      <w:r>
        <w:t xml:space="preserve">범위결정과 핵심질문</w:t>
      </w:r>
      <w:bookmarkEnd w:id="77"/>
    </w:p>
    <w:p>
      <w:pPr>
        <w:pStyle w:val="Heading2"/>
      </w:pPr>
      <w:bookmarkStart w:id="78" w:name="section-48"/>
      <w:r>
        <w:t xml:space="preserve">범위결정</w:t>
      </w:r>
      <w:bookmarkEnd w:id="78"/>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9" w:name="key-questions"/>
      <w:r>
        <w:t xml:space="preserve">Key Questions</w:t>
      </w:r>
      <w:bookmarkEnd w:id="79"/>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7">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3">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4">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73" Target="media/rId73.png" /><Relationship Type="http://schemas.openxmlformats.org/officeDocument/2006/relationships/hyperlink" Id="rId45" Target="doi:10.1136/bmj.c5222" TargetMode="External" /></Relationships>
</file>

<file path=word/_rels/footnotes.xml.rels><?xml version="1.0" encoding="UTF-8"?>
<Relationships xmlns="http://schemas.openxmlformats.org/package/2006/relationships"><Relationship Type="http://schemas.openxmlformats.org/officeDocument/2006/relationships/hyperlink" Id="rId45" Target="doi:10.1136/bmj.c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2019-06-22T12:34:03Z</dcterms:created>
  <dcterms:modified xsi:type="dcterms:W3CDTF">2019-06-22T12:34:03Z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2019-06-22</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