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522EC2">
      <w:pPr>
        <w:pStyle w:val="Title"/>
        <w:jc w:val="right"/>
      </w:pPr>
      <w:r>
        <w:t>Solar Generation for Remote Borefields</w:t>
      </w:r>
      <w:fldSimple w:instr=" SUBJECT  \* MERGEFORMAT "/>
    </w:p>
    <w:p w:rsidR="00CB0362" w:rsidRDefault="00522EC2" w:rsidP="00CB0362">
      <w:pPr>
        <w:pStyle w:val="Title"/>
        <w:jc w:val="right"/>
      </w:pPr>
      <w:r>
        <w:t>Team 12</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CB0362" w:rsidRPr="00CB0362" w:rsidRDefault="00522EC2" w:rsidP="00CB0362">
      <w:pPr>
        <w:pStyle w:val="Title"/>
        <w:jc w:val="right"/>
        <w:rPr>
          <w:sz w:val="24"/>
          <w:szCs w:val="24"/>
        </w:rPr>
      </w:pPr>
      <w:r>
        <w:rPr>
          <w:sz w:val="24"/>
          <w:szCs w:val="24"/>
        </w:rPr>
        <w:t>Steven Bardzovski (21121998)</w:t>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522EC2" w:rsidP="00024784">
      <w:pPr>
        <w:pStyle w:val="Title"/>
        <w:jc w:val="right"/>
      </w:pPr>
      <w:r>
        <w:t xml:space="preserve">Individual Final Report </w:t>
      </w:r>
    </w:p>
    <w:p w:rsidR="00024784" w:rsidRDefault="00024784" w:rsidP="00024784">
      <w:pPr>
        <w:pStyle w:val="Title"/>
        <w:jc w:val="right"/>
      </w:pPr>
    </w:p>
    <w:p w:rsidR="00CB0362" w:rsidRDefault="00024784" w:rsidP="00CB0362">
      <w:pPr>
        <w:pStyle w:val="Title"/>
        <w:jc w:val="right"/>
        <w:rPr>
          <w:sz w:val="24"/>
          <w:szCs w:val="24"/>
        </w:rPr>
      </w:pPr>
      <w:r>
        <w:rPr>
          <w:sz w:val="24"/>
          <w:szCs w:val="24"/>
        </w:rPr>
        <w:t xml:space="preserve">Project Partners: </w:t>
      </w:r>
      <w:r w:rsidR="00522EC2">
        <w:rPr>
          <w:sz w:val="24"/>
          <w:szCs w:val="24"/>
        </w:rPr>
        <w:t>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Pr>
          <w:sz w:val="24"/>
          <w:szCs w:val="24"/>
        </w:rPr>
        <w:t xml:space="preserve">: </w:t>
      </w:r>
      <w:r w:rsidR="00E12DD5">
        <w:rPr>
          <w:sz w:val="24"/>
          <w:szCs w:val="24"/>
        </w:rPr>
        <w:t>Catherine Hatch</w:t>
      </w:r>
    </w:p>
    <w:p w:rsidR="00CB0362" w:rsidRPr="00CB0362" w:rsidRDefault="00CB0362" w:rsidP="00CB0362"/>
    <w:p w:rsidR="00CB0362" w:rsidRPr="00CB0362" w:rsidRDefault="00CB0362" w:rsidP="00CB0362"/>
    <w:p w:rsidR="00CB0362" w:rsidRDefault="00024784" w:rsidP="00CB0362">
      <w:pPr>
        <w:pStyle w:val="Title"/>
        <w:jc w:val="right"/>
        <w:rPr>
          <w:sz w:val="24"/>
          <w:szCs w:val="24"/>
        </w:rPr>
      </w:pPr>
      <w:r>
        <w:rPr>
          <w:sz w:val="24"/>
          <w:szCs w:val="24"/>
        </w:rPr>
        <w:t>Academic Supervisor</w:t>
      </w:r>
      <w:r w:rsidR="00CB0362">
        <w:rPr>
          <w:sz w:val="24"/>
          <w:szCs w:val="24"/>
        </w:rPr>
        <w:t>:</w:t>
      </w:r>
    </w:p>
    <w:p w:rsidR="00CB0362" w:rsidRDefault="00CB0362" w:rsidP="00CB0362">
      <w:pPr>
        <w:pStyle w:val="Title"/>
        <w:jc w:val="right"/>
        <w:rPr>
          <w:sz w:val="24"/>
          <w:szCs w:val="24"/>
        </w:rPr>
      </w:pPr>
      <w:r>
        <w:rPr>
          <w:sz w:val="24"/>
          <w:szCs w:val="24"/>
        </w:rPr>
        <w:t xml:space="preserve"> </w:t>
      </w:r>
      <w:r w:rsidR="00E12DD5">
        <w:rPr>
          <w:sz w:val="24"/>
          <w:szCs w:val="24"/>
        </w:rPr>
        <w:t>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E12DD5">
        <w:rPr>
          <w:sz w:val="24"/>
          <w:szCs w:val="24"/>
        </w:rPr>
        <w:t xml:space="preserve"> Friday 12 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613601">
        <w:rPr>
          <w:sz w:val="24"/>
          <w:szCs w:val="24"/>
        </w:rPr>
        <w:t xml:space="preserve"> 3,314</w:t>
      </w:r>
    </w:p>
    <w:p w:rsidR="00024784" w:rsidRDefault="00024784" w:rsidP="00024784"/>
    <w:p w:rsidR="00024784" w:rsidRDefault="00024784" w:rsidP="00024784">
      <w:pPr>
        <w:pStyle w:val="Title"/>
        <w:jc w:val="right"/>
        <w:rPr>
          <w:sz w:val="24"/>
          <w:szCs w:val="24"/>
        </w:rPr>
      </w:pPr>
      <w:r>
        <w:rPr>
          <w:sz w:val="24"/>
          <w:szCs w:val="24"/>
        </w:rPr>
        <w:t>Word Limit:</w:t>
      </w:r>
      <w:r w:rsidR="00D00156">
        <w:rPr>
          <w:sz w:val="24"/>
          <w:szCs w:val="24"/>
        </w:rPr>
        <w:t xml:space="preserve"> 3,500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D00156">
      <w:pPr>
        <w:pStyle w:val="Title"/>
        <w:jc w:val="right"/>
        <w:rPr>
          <w:sz w:val="28"/>
        </w:rPr>
      </w:pPr>
      <w:r>
        <w:rPr>
          <w:sz w:val="28"/>
        </w:rPr>
        <w:t>Version 1.4</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E12DD5" w:rsidP="00502488">
            <w:pPr>
              <w:pStyle w:val="Tabletext"/>
              <w:jc w:val="center"/>
            </w:pPr>
            <w:r>
              <w:t>12</w:t>
            </w:r>
            <w:r w:rsidR="003F2468">
              <w:t>/</w:t>
            </w:r>
            <w:r>
              <w:t>05</w:t>
            </w:r>
            <w:r w:rsidR="003F2468">
              <w:t>/</w:t>
            </w:r>
            <w:r>
              <w:t>2017</w:t>
            </w:r>
          </w:p>
        </w:tc>
        <w:tc>
          <w:tcPr>
            <w:tcW w:w="1152" w:type="dxa"/>
          </w:tcPr>
          <w:p w:rsidR="003F2468" w:rsidRDefault="00E12DD5" w:rsidP="00502488">
            <w:pPr>
              <w:pStyle w:val="Tabletext"/>
              <w:jc w:val="center"/>
            </w:pPr>
            <w:r>
              <w:t>1.0</w:t>
            </w:r>
          </w:p>
        </w:tc>
        <w:tc>
          <w:tcPr>
            <w:tcW w:w="3744" w:type="dxa"/>
          </w:tcPr>
          <w:p w:rsidR="003F2468" w:rsidRDefault="0053067B">
            <w:pPr>
              <w:pStyle w:val="Tabletext"/>
            </w:pPr>
            <w:r>
              <w:t>Initial format of document</w:t>
            </w:r>
          </w:p>
        </w:tc>
        <w:tc>
          <w:tcPr>
            <w:tcW w:w="2304" w:type="dxa"/>
          </w:tcPr>
          <w:p w:rsidR="003F2468" w:rsidRDefault="00E12DD5">
            <w:pPr>
              <w:pStyle w:val="Tabletext"/>
            </w:pPr>
            <w:r>
              <w:t xml:space="preserve">Steven Bardzovski </w:t>
            </w:r>
          </w:p>
        </w:tc>
      </w:tr>
      <w:tr w:rsidR="003F2468">
        <w:tc>
          <w:tcPr>
            <w:tcW w:w="2304" w:type="dxa"/>
          </w:tcPr>
          <w:p w:rsidR="003F2468" w:rsidRDefault="0053067B" w:rsidP="00502488">
            <w:pPr>
              <w:pStyle w:val="Tabletext"/>
              <w:jc w:val="center"/>
            </w:pPr>
            <w:r>
              <w:t>14/05/2017</w:t>
            </w:r>
          </w:p>
        </w:tc>
        <w:tc>
          <w:tcPr>
            <w:tcW w:w="1152" w:type="dxa"/>
          </w:tcPr>
          <w:p w:rsidR="003F2468" w:rsidRDefault="0053067B" w:rsidP="00502488">
            <w:pPr>
              <w:pStyle w:val="Tabletext"/>
              <w:jc w:val="center"/>
            </w:pPr>
            <w:r>
              <w:t>1.1</w:t>
            </w:r>
          </w:p>
        </w:tc>
        <w:tc>
          <w:tcPr>
            <w:tcW w:w="3744" w:type="dxa"/>
          </w:tcPr>
          <w:p w:rsidR="003F2468" w:rsidRDefault="005B42A8">
            <w:pPr>
              <w:pStyle w:val="Tabletext"/>
            </w:pPr>
            <w:r>
              <w:t>Draft introduction added</w:t>
            </w:r>
          </w:p>
        </w:tc>
        <w:tc>
          <w:tcPr>
            <w:tcW w:w="2304" w:type="dxa"/>
          </w:tcPr>
          <w:p w:rsidR="003F2468" w:rsidRDefault="0053067B">
            <w:pPr>
              <w:pStyle w:val="Tabletext"/>
            </w:pPr>
            <w:r>
              <w:t>Steven Bardzovski</w:t>
            </w:r>
          </w:p>
        </w:tc>
      </w:tr>
      <w:tr w:rsidR="003F2468">
        <w:tc>
          <w:tcPr>
            <w:tcW w:w="2304" w:type="dxa"/>
          </w:tcPr>
          <w:p w:rsidR="003F2468" w:rsidRDefault="00663D9C" w:rsidP="00502488">
            <w:pPr>
              <w:pStyle w:val="Tabletext"/>
              <w:jc w:val="center"/>
            </w:pPr>
            <w:r>
              <w:t>15/05/2017</w:t>
            </w:r>
          </w:p>
        </w:tc>
        <w:tc>
          <w:tcPr>
            <w:tcW w:w="1152" w:type="dxa"/>
          </w:tcPr>
          <w:p w:rsidR="003F2468" w:rsidRDefault="00663D9C" w:rsidP="00502488">
            <w:pPr>
              <w:pStyle w:val="Tabletext"/>
              <w:jc w:val="center"/>
            </w:pPr>
            <w:r>
              <w:t>1.2</w:t>
            </w:r>
          </w:p>
        </w:tc>
        <w:tc>
          <w:tcPr>
            <w:tcW w:w="3744" w:type="dxa"/>
          </w:tcPr>
          <w:p w:rsidR="003F2468" w:rsidRDefault="00D4512C">
            <w:pPr>
              <w:pStyle w:val="Tabletext"/>
            </w:pPr>
            <w:r>
              <w:t>Introduction and Contributions added</w:t>
            </w:r>
          </w:p>
        </w:tc>
        <w:tc>
          <w:tcPr>
            <w:tcW w:w="2304" w:type="dxa"/>
          </w:tcPr>
          <w:p w:rsidR="003F2468" w:rsidRDefault="00663D9C">
            <w:pPr>
              <w:pStyle w:val="Tabletext"/>
            </w:pPr>
            <w:r>
              <w:t xml:space="preserve">Steven Bardzovski </w:t>
            </w:r>
          </w:p>
        </w:tc>
      </w:tr>
      <w:tr w:rsidR="003F2468">
        <w:tc>
          <w:tcPr>
            <w:tcW w:w="2304" w:type="dxa"/>
          </w:tcPr>
          <w:p w:rsidR="003F2468" w:rsidRDefault="00EF136F" w:rsidP="00502488">
            <w:pPr>
              <w:pStyle w:val="Tabletext"/>
              <w:jc w:val="center"/>
            </w:pPr>
            <w:r>
              <w:t>16/05/2017</w:t>
            </w:r>
          </w:p>
        </w:tc>
        <w:tc>
          <w:tcPr>
            <w:tcW w:w="1152" w:type="dxa"/>
          </w:tcPr>
          <w:p w:rsidR="003F2468" w:rsidRDefault="00EF136F" w:rsidP="00502488">
            <w:pPr>
              <w:pStyle w:val="Tabletext"/>
              <w:jc w:val="center"/>
            </w:pPr>
            <w:r>
              <w:t>1.3</w:t>
            </w:r>
          </w:p>
        </w:tc>
        <w:tc>
          <w:tcPr>
            <w:tcW w:w="3744" w:type="dxa"/>
          </w:tcPr>
          <w:p w:rsidR="003F2468" w:rsidRDefault="004B3D60">
            <w:pPr>
              <w:pStyle w:val="Tabletext"/>
            </w:pPr>
            <w:r>
              <w:t>Hybrid section added</w:t>
            </w:r>
          </w:p>
        </w:tc>
        <w:tc>
          <w:tcPr>
            <w:tcW w:w="2304" w:type="dxa"/>
          </w:tcPr>
          <w:p w:rsidR="003F2468" w:rsidRDefault="00EF136F">
            <w:pPr>
              <w:pStyle w:val="Tabletext"/>
            </w:pPr>
            <w:r>
              <w:t>Steven Bardzovski</w:t>
            </w:r>
          </w:p>
        </w:tc>
      </w:tr>
      <w:tr w:rsidR="00680468">
        <w:tc>
          <w:tcPr>
            <w:tcW w:w="2304" w:type="dxa"/>
          </w:tcPr>
          <w:p w:rsidR="00680468" w:rsidRDefault="00680468" w:rsidP="00502488">
            <w:pPr>
              <w:pStyle w:val="Tabletext"/>
              <w:jc w:val="center"/>
            </w:pPr>
            <w:r>
              <w:t>17/05/2017</w:t>
            </w:r>
          </w:p>
        </w:tc>
        <w:tc>
          <w:tcPr>
            <w:tcW w:w="1152" w:type="dxa"/>
          </w:tcPr>
          <w:p w:rsidR="00680468" w:rsidRDefault="00680468" w:rsidP="00502488">
            <w:pPr>
              <w:pStyle w:val="Tabletext"/>
              <w:jc w:val="center"/>
            </w:pPr>
            <w:r>
              <w:t>1.4</w:t>
            </w:r>
          </w:p>
        </w:tc>
        <w:tc>
          <w:tcPr>
            <w:tcW w:w="3744" w:type="dxa"/>
          </w:tcPr>
          <w:p w:rsidR="00680468" w:rsidRDefault="00613601">
            <w:pPr>
              <w:pStyle w:val="Tabletext"/>
            </w:pPr>
            <w:r>
              <w:t xml:space="preserve">Final Edit </w:t>
            </w:r>
          </w:p>
        </w:tc>
        <w:tc>
          <w:tcPr>
            <w:tcW w:w="2304" w:type="dxa"/>
          </w:tcPr>
          <w:p w:rsidR="00680468" w:rsidRDefault="00680468">
            <w:pPr>
              <w:pStyle w:val="Tabletext"/>
            </w:pPr>
            <w:r>
              <w:t>Steven Bardzovski</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2A5AE6"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bookmarkStart w:id="0" w:name="_GoBack"/>
      <w:bookmarkEnd w:id="0"/>
      <w:r w:rsidR="002A5AE6">
        <w:rPr>
          <w:noProof/>
        </w:rPr>
        <w:t>1.</w:t>
      </w:r>
      <w:r w:rsidR="002A5AE6">
        <w:rPr>
          <w:rFonts w:asciiTheme="minorHAnsi" w:eastAsiaTheme="minorEastAsia" w:hAnsiTheme="minorHAnsi" w:cstheme="minorBidi"/>
          <w:noProof/>
          <w:sz w:val="22"/>
          <w:szCs w:val="22"/>
          <w:lang w:val="en-AU" w:eastAsia="en-AU"/>
        </w:rPr>
        <w:tab/>
      </w:r>
      <w:r w:rsidR="002A5AE6">
        <w:rPr>
          <w:noProof/>
        </w:rPr>
        <w:t>Introduction</w:t>
      </w:r>
      <w:r w:rsidR="002A5AE6">
        <w:rPr>
          <w:noProof/>
        </w:rPr>
        <w:tab/>
      </w:r>
      <w:r w:rsidR="002A5AE6">
        <w:rPr>
          <w:noProof/>
        </w:rPr>
        <w:fldChar w:fldCharType="begin"/>
      </w:r>
      <w:r w:rsidR="002A5AE6">
        <w:rPr>
          <w:noProof/>
        </w:rPr>
        <w:instrText xml:space="preserve"> PAGEREF _Toc482779620 \h </w:instrText>
      </w:r>
      <w:r w:rsidR="002A5AE6">
        <w:rPr>
          <w:noProof/>
        </w:rPr>
      </w:r>
      <w:r w:rsidR="002A5AE6">
        <w:rPr>
          <w:noProof/>
        </w:rPr>
        <w:fldChar w:fldCharType="separate"/>
      </w:r>
      <w:r w:rsidR="002A5AE6">
        <w:rPr>
          <w:noProof/>
        </w:rPr>
        <w:t>4</w:t>
      </w:r>
      <w:r w:rsidR="002A5AE6">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_Toc482779621 \h </w:instrText>
      </w:r>
      <w:r>
        <w:rPr>
          <w:noProof/>
        </w:rPr>
      </w:r>
      <w:r>
        <w:rPr>
          <w:noProof/>
        </w:rPr>
        <w:fldChar w:fldCharType="separate"/>
      </w:r>
      <w:r>
        <w:rPr>
          <w:noProof/>
        </w:rPr>
        <w:t>4</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_Toc482779622 \h </w:instrText>
      </w:r>
      <w:r>
        <w:rPr>
          <w:noProof/>
        </w:rPr>
      </w:r>
      <w:r>
        <w:rPr>
          <w:noProof/>
        </w:rPr>
        <w:fldChar w:fldCharType="separate"/>
      </w:r>
      <w:r>
        <w:rPr>
          <w:noProof/>
        </w:rPr>
        <w:t>4</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_Toc482779623 \h </w:instrText>
      </w:r>
      <w:r>
        <w:rPr>
          <w:noProof/>
        </w:rPr>
      </w:r>
      <w:r>
        <w:rPr>
          <w:noProof/>
        </w:rPr>
        <w:fldChar w:fldCharType="separate"/>
      </w:r>
      <w:r>
        <w:rPr>
          <w:noProof/>
        </w:rPr>
        <w:t>4</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References</w:t>
      </w:r>
      <w:r>
        <w:rPr>
          <w:noProof/>
        </w:rPr>
        <w:tab/>
      </w:r>
      <w:r>
        <w:rPr>
          <w:noProof/>
        </w:rPr>
        <w:fldChar w:fldCharType="begin"/>
      </w:r>
      <w:r>
        <w:rPr>
          <w:noProof/>
        </w:rPr>
        <w:instrText xml:space="preserve"> PAGEREF _Toc482779624 \h </w:instrText>
      </w:r>
      <w:r>
        <w:rPr>
          <w:noProof/>
        </w:rPr>
      </w:r>
      <w:r>
        <w:rPr>
          <w:noProof/>
        </w:rPr>
        <w:fldChar w:fldCharType="separate"/>
      </w:r>
      <w:r>
        <w:rPr>
          <w:noProof/>
        </w:rPr>
        <w:t>4</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Updated Requirements</w:t>
      </w:r>
      <w:r>
        <w:rPr>
          <w:noProof/>
        </w:rPr>
        <w:tab/>
      </w:r>
      <w:r>
        <w:rPr>
          <w:noProof/>
        </w:rPr>
        <w:fldChar w:fldCharType="begin"/>
      </w:r>
      <w:r>
        <w:rPr>
          <w:noProof/>
        </w:rPr>
        <w:instrText xml:space="preserve"> PAGEREF _Toc482779625 \h </w:instrText>
      </w:r>
      <w:r>
        <w:rPr>
          <w:noProof/>
        </w:rPr>
      </w:r>
      <w:r>
        <w:rPr>
          <w:noProof/>
        </w:rPr>
        <w:fldChar w:fldCharType="separate"/>
      </w:r>
      <w:r>
        <w:rPr>
          <w:noProof/>
        </w:rPr>
        <w:t>5</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_Toc482779626 \h </w:instrText>
      </w:r>
      <w:r>
        <w:rPr>
          <w:noProof/>
        </w:rPr>
      </w:r>
      <w:r>
        <w:rPr>
          <w:noProof/>
        </w:rPr>
        <w:fldChar w:fldCharType="separate"/>
      </w:r>
      <w:r>
        <w:rPr>
          <w:noProof/>
        </w:rPr>
        <w:t>5</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Hybrid – PV, Battery and Diesel Generator</w:t>
      </w:r>
      <w:r>
        <w:rPr>
          <w:noProof/>
        </w:rPr>
        <w:tab/>
      </w:r>
      <w:r>
        <w:rPr>
          <w:noProof/>
        </w:rPr>
        <w:fldChar w:fldCharType="begin"/>
      </w:r>
      <w:r>
        <w:rPr>
          <w:noProof/>
        </w:rPr>
        <w:instrText xml:space="preserve"> PAGEREF _Toc482779627 \h </w:instrText>
      </w:r>
      <w:r>
        <w:rPr>
          <w:noProof/>
        </w:rPr>
      </w:r>
      <w:r>
        <w:rPr>
          <w:noProof/>
        </w:rPr>
        <w:fldChar w:fldCharType="separate"/>
      </w:r>
      <w:r>
        <w:rPr>
          <w:noProof/>
        </w:rPr>
        <w:t>5</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Elements</w:t>
      </w:r>
      <w:r>
        <w:rPr>
          <w:noProof/>
        </w:rPr>
        <w:tab/>
      </w:r>
      <w:r>
        <w:rPr>
          <w:noProof/>
        </w:rPr>
        <w:fldChar w:fldCharType="begin"/>
      </w:r>
      <w:r>
        <w:rPr>
          <w:noProof/>
        </w:rPr>
        <w:instrText xml:space="preserve"> PAGEREF _Toc482779628 \h </w:instrText>
      </w:r>
      <w:r>
        <w:rPr>
          <w:noProof/>
        </w:rPr>
      </w:r>
      <w:r>
        <w:rPr>
          <w:noProof/>
        </w:rPr>
        <w:fldChar w:fldCharType="separate"/>
      </w:r>
      <w:r>
        <w:rPr>
          <w:noProof/>
        </w:rPr>
        <w:t>5</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Methodology</w:t>
      </w:r>
      <w:r>
        <w:rPr>
          <w:noProof/>
        </w:rPr>
        <w:tab/>
      </w:r>
      <w:r>
        <w:rPr>
          <w:noProof/>
        </w:rPr>
        <w:fldChar w:fldCharType="begin"/>
      </w:r>
      <w:r>
        <w:rPr>
          <w:noProof/>
        </w:rPr>
        <w:instrText xml:space="preserve"> PAGEREF _Toc482779629 \h </w:instrText>
      </w:r>
      <w:r>
        <w:rPr>
          <w:noProof/>
        </w:rPr>
      </w:r>
      <w:r>
        <w:rPr>
          <w:noProof/>
        </w:rPr>
        <w:fldChar w:fldCharType="separate"/>
      </w:r>
      <w:r>
        <w:rPr>
          <w:noProof/>
        </w:rPr>
        <w:t>6</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Results</w:t>
      </w:r>
      <w:r>
        <w:rPr>
          <w:noProof/>
        </w:rPr>
        <w:tab/>
      </w:r>
      <w:r>
        <w:rPr>
          <w:noProof/>
        </w:rPr>
        <w:fldChar w:fldCharType="begin"/>
      </w:r>
      <w:r>
        <w:rPr>
          <w:noProof/>
        </w:rPr>
        <w:instrText xml:space="preserve"> PAGEREF _Toc482779630 \h </w:instrText>
      </w:r>
      <w:r>
        <w:rPr>
          <w:noProof/>
        </w:rPr>
      </w:r>
      <w:r>
        <w:rPr>
          <w:noProof/>
        </w:rPr>
        <w:fldChar w:fldCharType="separate"/>
      </w:r>
      <w:r>
        <w:rPr>
          <w:noProof/>
        </w:rPr>
        <w:t>8</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Individual Learning</w:t>
      </w:r>
      <w:r>
        <w:rPr>
          <w:noProof/>
        </w:rPr>
        <w:tab/>
      </w:r>
      <w:r>
        <w:rPr>
          <w:noProof/>
        </w:rPr>
        <w:fldChar w:fldCharType="begin"/>
      </w:r>
      <w:r>
        <w:rPr>
          <w:noProof/>
        </w:rPr>
        <w:instrText xml:space="preserve"> PAGEREF _Toc482779631 \h </w:instrText>
      </w:r>
      <w:r>
        <w:rPr>
          <w:noProof/>
        </w:rPr>
      </w:r>
      <w:r>
        <w:rPr>
          <w:noProof/>
        </w:rPr>
        <w:fldChar w:fldCharType="separate"/>
      </w:r>
      <w:r>
        <w:rPr>
          <w:noProof/>
        </w:rPr>
        <w:t>9</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Contribution</w:t>
      </w:r>
      <w:r>
        <w:rPr>
          <w:noProof/>
        </w:rPr>
        <w:tab/>
      </w:r>
      <w:r>
        <w:rPr>
          <w:noProof/>
        </w:rPr>
        <w:fldChar w:fldCharType="begin"/>
      </w:r>
      <w:r>
        <w:rPr>
          <w:noProof/>
        </w:rPr>
        <w:instrText xml:space="preserve"> PAGEREF _Toc482779632 \h </w:instrText>
      </w:r>
      <w:r>
        <w:rPr>
          <w:noProof/>
        </w:rPr>
      </w:r>
      <w:r>
        <w:rPr>
          <w:noProof/>
        </w:rPr>
        <w:fldChar w:fldCharType="separate"/>
      </w:r>
      <w:r>
        <w:rPr>
          <w:noProof/>
        </w:rPr>
        <w:t>9</w:t>
      </w:r>
      <w:r>
        <w:rPr>
          <w:noProof/>
        </w:rPr>
        <w:fldChar w:fldCharType="end"/>
      </w:r>
    </w:p>
    <w:p w:rsidR="002A5AE6" w:rsidRDefault="002A5AE6">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Appendices</w:t>
      </w:r>
      <w:r>
        <w:rPr>
          <w:noProof/>
        </w:rPr>
        <w:tab/>
      </w:r>
      <w:r>
        <w:rPr>
          <w:noProof/>
        </w:rPr>
        <w:fldChar w:fldCharType="begin"/>
      </w:r>
      <w:r>
        <w:rPr>
          <w:noProof/>
        </w:rPr>
        <w:instrText xml:space="preserve"> PAGEREF _Toc482779633 \h </w:instrText>
      </w:r>
      <w:r>
        <w:rPr>
          <w:noProof/>
        </w:rPr>
      </w:r>
      <w:r>
        <w:rPr>
          <w:noProof/>
        </w:rPr>
        <w:fldChar w:fldCharType="separate"/>
      </w:r>
      <w:r>
        <w:rPr>
          <w:noProof/>
        </w:rPr>
        <w:t>11</w:t>
      </w:r>
      <w:r>
        <w:rPr>
          <w:noProof/>
        </w:rPr>
        <w:fldChar w:fldCharType="end"/>
      </w:r>
    </w:p>
    <w:p w:rsidR="002A5AE6" w:rsidRDefault="002A5AE6">
      <w:pPr>
        <w:pStyle w:val="TOC2"/>
        <w:tabs>
          <w:tab w:val="left" w:pos="1000"/>
        </w:tabs>
        <w:rPr>
          <w:rFonts w:asciiTheme="minorHAnsi" w:eastAsiaTheme="minorEastAsia" w:hAnsiTheme="minorHAnsi" w:cstheme="minorBidi"/>
          <w:noProof/>
          <w:sz w:val="22"/>
          <w:szCs w:val="22"/>
          <w:lang w:val="en-AU" w:eastAsia="en-AU"/>
        </w:rPr>
      </w:pPr>
      <w:r w:rsidRPr="000B30A2">
        <w:rPr>
          <w:rFonts w:eastAsia="Calibri"/>
          <w:noProof/>
        </w:rPr>
        <w:t>7.1</w:t>
      </w:r>
      <w:r>
        <w:rPr>
          <w:rFonts w:asciiTheme="minorHAnsi" w:eastAsiaTheme="minorEastAsia" w:hAnsiTheme="minorHAnsi" w:cstheme="minorBidi"/>
          <w:noProof/>
          <w:sz w:val="22"/>
          <w:szCs w:val="22"/>
          <w:lang w:val="en-AU" w:eastAsia="en-AU"/>
        </w:rPr>
        <w:tab/>
      </w:r>
      <w:r w:rsidRPr="000B30A2">
        <w:rPr>
          <w:rFonts w:eastAsia="Calibri"/>
          <w:noProof/>
        </w:rPr>
        <w:t>Appendix A – Requirements Analysis</w:t>
      </w:r>
      <w:r>
        <w:rPr>
          <w:noProof/>
        </w:rPr>
        <w:tab/>
      </w:r>
      <w:r>
        <w:rPr>
          <w:noProof/>
        </w:rPr>
        <w:fldChar w:fldCharType="begin"/>
      </w:r>
      <w:r>
        <w:rPr>
          <w:noProof/>
        </w:rPr>
        <w:instrText xml:space="preserve"> PAGEREF _Toc482779634 \h </w:instrText>
      </w:r>
      <w:r>
        <w:rPr>
          <w:noProof/>
        </w:rPr>
      </w:r>
      <w:r>
        <w:rPr>
          <w:noProof/>
        </w:rPr>
        <w:fldChar w:fldCharType="separate"/>
      </w:r>
      <w:r>
        <w:rPr>
          <w:noProof/>
        </w:rPr>
        <w:t>11</w:t>
      </w:r>
      <w:r>
        <w:rPr>
          <w:noProof/>
        </w:rPr>
        <w:fldChar w:fldCharType="end"/>
      </w:r>
    </w:p>
    <w:p w:rsidR="00E12DD5" w:rsidRDefault="003F2468" w:rsidP="00E12DD5">
      <w:pPr>
        <w:pStyle w:val="Title"/>
        <w:jc w:val="left"/>
      </w:pPr>
      <w:r>
        <w:fldChar w:fldCharType="end"/>
      </w:r>
    </w:p>
    <w:p w:rsidR="002B3C30" w:rsidRPr="00E12DD5" w:rsidRDefault="002B3C30" w:rsidP="00E12DD5">
      <w:pPr>
        <w:rPr>
          <w:sz w:val="36"/>
        </w:rPr>
      </w:pPr>
    </w:p>
    <w:p w:rsidR="00746E0A" w:rsidRPr="00E06C98" w:rsidRDefault="00746E0A" w:rsidP="00E06C98"/>
    <w:p w:rsidR="003F2468" w:rsidRDefault="00E12DD5">
      <w:pPr>
        <w:pStyle w:val="Heading1"/>
        <w:keepNext w:val="0"/>
      </w:pPr>
      <w:bookmarkStart w:id="1" w:name="_Toc456598586"/>
      <w:bookmarkStart w:id="2" w:name="_Toc456600917"/>
      <w:r>
        <w:br w:type="page"/>
      </w:r>
      <w:bookmarkStart w:id="3" w:name="_Toc482779620"/>
      <w:r w:rsidR="003F2468">
        <w:lastRenderedPageBreak/>
        <w:t>Introduction</w:t>
      </w:r>
      <w:bookmarkEnd w:id="1"/>
      <w:bookmarkEnd w:id="2"/>
      <w:bookmarkEnd w:id="3"/>
    </w:p>
    <w:p w:rsidR="002B3C30" w:rsidRPr="00840A42" w:rsidRDefault="002B3C30" w:rsidP="00840A42"/>
    <w:p w:rsidR="003F2468" w:rsidRDefault="003F2468">
      <w:pPr>
        <w:pStyle w:val="Heading2"/>
        <w:keepNext w:val="0"/>
      </w:pPr>
      <w:bookmarkStart w:id="4" w:name="_Toc456598587"/>
      <w:bookmarkStart w:id="5" w:name="_Toc456600918"/>
      <w:bookmarkStart w:id="6" w:name="_Toc482779621"/>
      <w:r>
        <w:t>Purpose</w:t>
      </w:r>
      <w:bookmarkEnd w:id="4"/>
      <w:bookmarkEnd w:id="5"/>
      <w:bookmarkEnd w:id="6"/>
      <w:r w:rsidR="00375ED8">
        <w:t xml:space="preserve"> </w:t>
      </w:r>
    </w:p>
    <w:p w:rsidR="00375ED8" w:rsidRPr="00375ED8" w:rsidRDefault="0053067B" w:rsidP="004750F4">
      <w:pPr>
        <w:jc w:val="both"/>
      </w:pPr>
      <w:r>
        <w:t>The previous documents, Requirements Analysis (RA) and Design Analysis (DA), have outlined the requirements of the projects ranking them in order of priority and importance to the successfully completion of the p</w:t>
      </w:r>
      <w:r w:rsidR="004F3767">
        <w:t>roject and the outlined possible design solutions including proposed testing and costing analyses of each solution.</w:t>
      </w:r>
      <w:r w:rsidR="00E7628C">
        <w:t xml:space="preserve"> The purpose of the Final Design report (FD), is to outline in the detail all the elements, including inputs, outputs, costs and safety of the proposed design solutions outlined in the DA. The FD also </w:t>
      </w:r>
      <w:r w:rsidR="00800236">
        <w:t xml:space="preserve">includes a justification of the optimal proposed solution. The Individual Final Design (IFD), this report, will outline the sections of the FD that were undertaken by Steven Bardzovski along with the authors contributions to the FD and contributions within the team. </w:t>
      </w:r>
    </w:p>
    <w:p w:rsidR="003F2468" w:rsidRDefault="003F2468">
      <w:pPr>
        <w:pStyle w:val="Heading2"/>
        <w:keepNext w:val="0"/>
      </w:pPr>
      <w:bookmarkStart w:id="7" w:name="_Toc456598588"/>
      <w:bookmarkStart w:id="8" w:name="_Toc456600919"/>
      <w:bookmarkStart w:id="9" w:name="_Toc482779622"/>
      <w:r>
        <w:t>Scope</w:t>
      </w:r>
      <w:bookmarkEnd w:id="7"/>
      <w:bookmarkEnd w:id="8"/>
      <w:bookmarkEnd w:id="9"/>
      <w:r w:rsidR="009F48C4">
        <w:t xml:space="preserve"> </w:t>
      </w:r>
    </w:p>
    <w:p w:rsidR="00375ED8" w:rsidRDefault="00F16AB4" w:rsidP="004750F4">
      <w:pPr>
        <w:jc w:val="both"/>
      </w:pPr>
      <w:r>
        <w:t xml:space="preserve">The scope of the </w:t>
      </w:r>
      <w:r w:rsidR="001A5A29">
        <w:t xml:space="preserve">group Finial Design report consists of all of the elements involved with each proposed solution including the base case. The FD will outline the voltage and current </w:t>
      </w:r>
      <w:r w:rsidR="008E1B22">
        <w:t>characteristics</w:t>
      </w:r>
      <w:r w:rsidR="001A5A29">
        <w:t xml:space="preserve"> for each transmission</w:t>
      </w:r>
      <w:r w:rsidR="008E1B22">
        <w:t xml:space="preserve"> line including safety features such as circuit breaker</w:t>
      </w:r>
      <w:r w:rsidR="00D00156">
        <w:t>s</w:t>
      </w:r>
      <w:r w:rsidR="008E1B22">
        <w:t xml:space="preserve"> and isolators at different points of the system. An extensive cost analysis will also be presented in the FD including values such as capital costs, operation and maintenance (O</w:t>
      </w:r>
      <w:r w:rsidR="004750F4">
        <w:t xml:space="preserve">&amp;M) costs, repair costs and NPV. </w:t>
      </w:r>
      <w:r w:rsidR="00CC7E8B">
        <w:t xml:space="preserve">After discussing the elements and costs of each proposed system one will be chosen as the system to be implemented and a justification of this will be outlined. </w:t>
      </w:r>
    </w:p>
    <w:p w:rsidR="00E36157" w:rsidRDefault="00E36157" w:rsidP="004750F4">
      <w:pPr>
        <w:jc w:val="both"/>
      </w:pPr>
    </w:p>
    <w:p w:rsidR="00E36157" w:rsidRPr="00375ED8" w:rsidRDefault="00E36157" w:rsidP="004750F4">
      <w:pPr>
        <w:jc w:val="both"/>
      </w:pPr>
      <w:r>
        <w:t xml:space="preserve">The scope of this IFD </w:t>
      </w:r>
      <w:r w:rsidR="00D00156">
        <w:t xml:space="preserve">report </w:t>
      </w:r>
      <w:r>
        <w:t>however will only contain a portion of th</w:t>
      </w:r>
      <w:r w:rsidR="007A0C39">
        <w:t>e content of the group FD</w:t>
      </w:r>
      <w:r w:rsidR="00CD20A1">
        <w:t xml:space="preserve"> report</w:t>
      </w:r>
      <w:r w:rsidR="007A0C39">
        <w:t>, in particular the portion of the FD written by Steven</w:t>
      </w:r>
      <w:r w:rsidR="002D42F6">
        <w:t xml:space="preserve"> Bar</w:t>
      </w:r>
      <w:r w:rsidR="00D96516">
        <w:t>dzovski. The hybrid</w:t>
      </w:r>
      <w:r w:rsidR="002D42F6">
        <w:t xml:space="preserve"> proposed systems will be discussed in detail in the following report</w:t>
      </w:r>
      <w:r w:rsidR="00CD20A1">
        <w:t xml:space="preserve">. This includes all assumptions, calculations and simulations for sizing each piece of technology for the two systems. Naturally after sizing each system appropriate transmission cables and safety features such as isolators and circuit breakers must be chosen, along with a cost analysis of each system. However, this IFD report will not cover these sections, rather they will be covered in the group FD report. </w:t>
      </w:r>
    </w:p>
    <w:p w:rsidR="003F2468" w:rsidRDefault="003F2468">
      <w:pPr>
        <w:pStyle w:val="Heading2"/>
        <w:keepNext w:val="0"/>
      </w:pPr>
      <w:bookmarkStart w:id="10" w:name="_Toc456598589"/>
      <w:bookmarkStart w:id="11" w:name="_Toc456600920"/>
      <w:bookmarkStart w:id="12" w:name="_Toc482779623"/>
      <w:r>
        <w:t>Definitions, Acronyms, and Abbreviations</w:t>
      </w:r>
      <w:bookmarkEnd w:id="10"/>
      <w:bookmarkEnd w:id="11"/>
      <w:bookmarkEnd w:id="12"/>
    </w:p>
    <w:p w:rsidR="002A5AE6" w:rsidRPr="002A5AE6" w:rsidRDefault="002A5AE6" w:rsidP="002A5AE6"/>
    <w:tbl>
      <w:tblPr>
        <w:tblStyle w:val="TableGrid"/>
        <w:tblW w:w="0" w:type="auto"/>
        <w:tblLook w:val="04A0" w:firstRow="1" w:lastRow="0" w:firstColumn="1" w:lastColumn="0" w:noHBand="0" w:noVBand="1"/>
      </w:tblPr>
      <w:tblGrid>
        <w:gridCol w:w="4675"/>
        <w:gridCol w:w="4675"/>
      </w:tblGrid>
      <w:tr w:rsidR="00D00156" w:rsidTr="00D00156">
        <w:tc>
          <w:tcPr>
            <w:tcW w:w="4675" w:type="dxa"/>
          </w:tcPr>
          <w:p w:rsidR="00D00156" w:rsidRDefault="00D00156" w:rsidP="00D00156">
            <w:pPr>
              <w:jc w:val="center"/>
            </w:pPr>
            <w:r>
              <w:t>Acronym</w:t>
            </w:r>
          </w:p>
        </w:tc>
        <w:tc>
          <w:tcPr>
            <w:tcW w:w="4675" w:type="dxa"/>
          </w:tcPr>
          <w:p w:rsidR="00D00156" w:rsidRDefault="00D00156" w:rsidP="00D00156">
            <w:pPr>
              <w:jc w:val="center"/>
            </w:pPr>
            <w:r>
              <w:t xml:space="preserve">Definition </w:t>
            </w:r>
          </w:p>
        </w:tc>
      </w:tr>
      <w:tr w:rsidR="002A5AE6" w:rsidTr="00D00156">
        <w:tc>
          <w:tcPr>
            <w:tcW w:w="4675" w:type="dxa"/>
          </w:tcPr>
          <w:p w:rsidR="002A5AE6" w:rsidRDefault="002A5AE6" w:rsidP="002A5AE6">
            <w:pPr>
              <w:jc w:val="center"/>
            </w:pPr>
            <w:r>
              <w:t>DA</w:t>
            </w:r>
          </w:p>
        </w:tc>
        <w:tc>
          <w:tcPr>
            <w:tcW w:w="4675" w:type="dxa"/>
          </w:tcPr>
          <w:p w:rsidR="002A5AE6" w:rsidRDefault="002A5AE6" w:rsidP="002A5AE6">
            <w:r>
              <w:t xml:space="preserve">Design Approach </w:t>
            </w:r>
          </w:p>
        </w:tc>
      </w:tr>
      <w:tr w:rsidR="002A5AE6" w:rsidTr="00D00156">
        <w:tc>
          <w:tcPr>
            <w:tcW w:w="4675" w:type="dxa"/>
          </w:tcPr>
          <w:p w:rsidR="002A5AE6" w:rsidRDefault="002A5AE6" w:rsidP="002A5AE6">
            <w:pPr>
              <w:jc w:val="center"/>
            </w:pPr>
            <w:r>
              <w:t>FD</w:t>
            </w:r>
          </w:p>
        </w:tc>
        <w:tc>
          <w:tcPr>
            <w:tcW w:w="4675" w:type="dxa"/>
          </w:tcPr>
          <w:p w:rsidR="002A5AE6" w:rsidRDefault="002A5AE6" w:rsidP="002A5AE6">
            <w:r>
              <w:t>Final Design</w:t>
            </w:r>
          </w:p>
        </w:tc>
      </w:tr>
      <w:tr w:rsidR="002A5AE6" w:rsidTr="00D00156">
        <w:tc>
          <w:tcPr>
            <w:tcW w:w="4675" w:type="dxa"/>
          </w:tcPr>
          <w:p w:rsidR="002A5AE6" w:rsidRDefault="002A5AE6" w:rsidP="002A5AE6">
            <w:pPr>
              <w:jc w:val="center"/>
            </w:pPr>
            <w:r>
              <w:t>HOMER</w:t>
            </w:r>
          </w:p>
        </w:tc>
        <w:tc>
          <w:tcPr>
            <w:tcW w:w="4675" w:type="dxa"/>
          </w:tcPr>
          <w:p w:rsidR="002A5AE6" w:rsidRDefault="002A5AE6" w:rsidP="002A5AE6">
            <w:r>
              <w:t>H</w:t>
            </w:r>
            <w:r w:rsidRPr="00027C63">
              <w:t xml:space="preserve">ybrid </w:t>
            </w:r>
            <w:r>
              <w:t>Optimization Model for Electric R</w:t>
            </w:r>
            <w:r w:rsidRPr="00027C63">
              <w:t>enewables</w:t>
            </w:r>
          </w:p>
        </w:tc>
      </w:tr>
      <w:tr w:rsidR="002A5AE6" w:rsidTr="00D00156">
        <w:tc>
          <w:tcPr>
            <w:tcW w:w="4675" w:type="dxa"/>
          </w:tcPr>
          <w:p w:rsidR="002A5AE6" w:rsidRDefault="002A5AE6" w:rsidP="002A5AE6">
            <w:pPr>
              <w:jc w:val="center"/>
            </w:pPr>
            <w:r>
              <w:t>IFD</w:t>
            </w:r>
          </w:p>
        </w:tc>
        <w:tc>
          <w:tcPr>
            <w:tcW w:w="4675" w:type="dxa"/>
          </w:tcPr>
          <w:p w:rsidR="002A5AE6" w:rsidRDefault="002A5AE6" w:rsidP="002A5AE6">
            <w:r>
              <w:t>Individual Final Design</w:t>
            </w:r>
          </w:p>
        </w:tc>
      </w:tr>
      <w:tr w:rsidR="002A5AE6" w:rsidTr="00D00156">
        <w:tc>
          <w:tcPr>
            <w:tcW w:w="4675" w:type="dxa"/>
          </w:tcPr>
          <w:p w:rsidR="002A5AE6" w:rsidRDefault="002A5AE6" w:rsidP="002A5AE6">
            <w:pPr>
              <w:jc w:val="center"/>
            </w:pPr>
            <w:r>
              <w:t>RA</w:t>
            </w:r>
          </w:p>
        </w:tc>
        <w:tc>
          <w:tcPr>
            <w:tcW w:w="4675" w:type="dxa"/>
          </w:tcPr>
          <w:p w:rsidR="002A5AE6" w:rsidRDefault="002A5AE6" w:rsidP="002A5AE6">
            <w:r>
              <w:t>Requirements Analysis</w:t>
            </w:r>
          </w:p>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2779624"/>
      <w:r>
        <w:t>References</w:t>
      </w:r>
      <w:bookmarkEnd w:id="13"/>
      <w:bookmarkEnd w:id="14"/>
      <w:bookmarkEnd w:id="15"/>
      <w:r w:rsidR="00840A42">
        <w:t xml:space="preserve"> </w:t>
      </w:r>
    </w:p>
    <w:p w:rsidR="00375ED8" w:rsidRPr="00375ED8" w:rsidRDefault="00375ED8" w:rsidP="00375ED8"/>
    <w:p w:rsidR="000D1FF7" w:rsidRPr="000D1FF7" w:rsidRDefault="005F1607" w:rsidP="000D1FF7">
      <w:pPr>
        <w:pStyle w:val="EndNoteBibliography"/>
        <w:ind w:left="720" w:hanging="720"/>
      </w:pPr>
      <w:r>
        <w:fldChar w:fldCharType="begin"/>
      </w:r>
      <w:r>
        <w:instrText xml:space="preserve"> ADDIN EN.REFLIST </w:instrText>
      </w:r>
      <w:r>
        <w:fldChar w:fldCharType="separate"/>
      </w:r>
      <w:r w:rsidR="000D1FF7" w:rsidRPr="000D1FF7">
        <w:t>[1]</w:t>
      </w:r>
      <w:r w:rsidR="000D1FF7" w:rsidRPr="000D1FF7">
        <w:tab/>
        <w:t xml:space="preserve">Landcorp, "Part 3 Newman," in </w:t>
      </w:r>
      <w:r w:rsidR="000D1FF7" w:rsidRPr="000D1FF7">
        <w:rPr>
          <w:i/>
        </w:rPr>
        <w:t>Pilbara Vernacular Handbook</w:t>
      </w:r>
      <w:r w:rsidR="000D1FF7" w:rsidRPr="000D1FF7">
        <w:t>, ed Australia, 2015.</w:t>
      </w:r>
    </w:p>
    <w:p w:rsidR="000D1FF7" w:rsidRPr="000D1FF7" w:rsidRDefault="000D1FF7" w:rsidP="000D1FF7">
      <w:pPr>
        <w:pStyle w:val="EndNoteBibliography"/>
        <w:ind w:left="720" w:hanging="720"/>
      </w:pPr>
      <w:r w:rsidRPr="000D1FF7">
        <w:t>[2]</w:t>
      </w:r>
      <w:r w:rsidRPr="000D1FF7">
        <w:tab/>
        <w:t xml:space="preserve">J. F. Manwell and J. F. Q. J. F. Manwell, </w:t>
      </w:r>
      <w:r w:rsidRPr="000D1FF7">
        <w:rPr>
          <w:i/>
        </w:rPr>
        <w:t>Wind Energy Explained Theory, Design and Application</w:t>
      </w:r>
      <w:r w:rsidRPr="000D1FF7">
        <w:t>, 2nd ed. ed. Hoboken: Wiley, 2010.</w:t>
      </w:r>
    </w:p>
    <w:p w:rsidR="000D1FF7" w:rsidRPr="000D1FF7" w:rsidRDefault="000D1FF7" w:rsidP="000D1FF7">
      <w:pPr>
        <w:pStyle w:val="EndNoteBibliography"/>
        <w:ind w:left="720" w:hanging="720"/>
      </w:pPr>
      <w:r w:rsidRPr="000D1FF7">
        <w:t>[3]</w:t>
      </w:r>
      <w:r w:rsidRPr="000D1FF7">
        <w:tab/>
        <w:t xml:space="preserve">X. Wang, P. Adelmann, T. Reindl, X. Wang, P. Adelmann, and T. Reindl, "Use of LiFePO4 Batteries in Stand-Alone Solar System," </w:t>
      </w:r>
      <w:r w:rsidRPr="000D1FF7">
        <w:rPr>
          <w:i/>
        </w:rPr>
        <w:t xml:space="preserve">Energy Procedia, </w:t>
      </w:r>
      <w:r w:rsidRPr="000D1FF7">
        <w:t>vol. 25, pp. 135-140, 2012.</w:t>
      </w:r>
    </w:p>
    <w:p w:rsidR="00840A42" w:rsidRDefault="005F1607" w:rsidP="005F1607">
      <w:r>
        <w:fldChar w:fldCharType="end"/>
      </w:r>
    </w:p>
    <w:p w:rsidR="002B3C30" w:rsidRPr="00840A42" w:rsidRDefault="002B3C30" w:rsidP="00840A42"/>
    <w:p w:rsidR="00B3181F" w:rsidRDefault="00B3181F">
      <w:pPr>
        <w:widowControl/>
        <w:spacing w:line="240" w:lineRule="auto"/>
        <w:rPr>
          <w:rFonts w:ascii="Arial" w:hAnsi="Arial"/>
          <w:b/>
          <w:sz w:val="24"/>
        </w:rPr>
      </w:pPr>
      <w:r>
        <w:br w:type="page"/>
      </w:r>
    </w:p>
    <w:p w:rsidR="00D00156" w:rsidRDefault="00D00156">
      <w:pPr>
        <w:pStyle w:val="Heading1"/>
        <w:keepNext w:val="0"/>
      </w:pPr>
      <w:bookmarkStart w:id="16" w:name="_Toc482779625"/>
      <w:r>
        <w:lastRenderedPageBreak/>
        <w:t>Updated Requirements</w:t>
      </w:r>
      <w:bookmarkEnd w:id="16"/>
    </w:p>
    <w:p w:rsidR="00D00156" w:rsidRDefault="00D00156" w:rsidP="00D00156"/>
    <w:p w:rsidR="002B3C30" w:rsidRDefault="00B3181F" w:rsidP="00840A42">
      <w:r>
        <w:t xml:space="preserve">After completing the RA, confusion about the nomenclature of some of the requirements were brought to the attention of Team Power. An updated copy of the requirements including their priority, description, classification, and origin can be found in Appendix A. Requirements (1), (2), and (3), previously named 24/7, 90 kW and Newman, respectively have been changed to avoid confusion about what the requirement is stating and using the name of the requirement when not referring to the requirement itself. For example, requirement (3) was previously named Newman, which caused confusion when mentioning the location of the borefields.  </w:t>
      </w:r>
      <w:r w:rsidR="00785552">
        <w:t xml:space="preserve"> </w:t>
      </w:r>
      <w:r w:rsidR="00840A42">
        <w:t xml:space="preserve"> </w:t>
      </w:r>
    </w:p>
    <w:p w:rsidR="002B3C30" w:rsidRPr="00840A42" w:rsidRDefault="002B3C30" w:rsidP="00840A42"/>
    <w:p w:rsidR="003F2468" w:rsidRDefault="00900D94">
      <w:pPr>
        <w:pStyle w:val="Heading1"/>
        <w:keepNext w:val="0"/>
      </w:pPr>
      <w:bookmarkStart w:id="17" w:name="_Toc482779626"/>
      <w:r>
        <w:t xml:space="preserve">Design </w:t>
      </w:r>
      <w:r w:rsidR="00D87AA8">
        <w:t>Philosophy</w:t>
      </w:r>
      <w:bookmarkEnd w:id="17"/>
      <w:r w:rsidR="00D87AA8">
        <w:t xml:space="preserve"> </w:t>
      </w:r>
    </w:p>
    <w:p w:rsidR="00A73A95" w:rsidRDefault="00A73A95" w:rsidP="00A73A95"/>
    <w:p w:rsidR="00A73A95" w:rsidRDefault="00A73A95" w:rsidP="00414B74">
      <w:pPr>
        <w:jc w:val="both"/>
      </w:pPr>
      <w:r>
        <w:t xml:space="preserve">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w:t>
      </w:r>
      <w:r w:rsidR="00E26110">
        <w:t xml:space="preserve">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 </w:t>
      </w:r>
    </w:p>
    <w:p w:rsidR="00D22953" w:rsidRDefault="00D22953" w:rsidP="00A73A95"/>
    <w:p w:rsidR="00E26110" w:rsidRDefault="00D22953" w:rsidP="00414B74">
      <w:pPr>
        <w:jc w:val="both"/>
      </w:pPr>
      <w:r>
        <w:t>After further research into the weather conditions at the location of the borefields (Newman, Western Australia) it was discovered that the average morning wind speed was 9.1 km/h (2.5 m/s) and the average afternoon wind speed was 9.4 km/h (2.6 m/s)</w:t>
      </w:r>
      <w:r>
        <w:rPr>
          <w:lang w:eastAsia="en-AU"/>
        </w:rPr>
        <w:t xml:space="preserve"> </w:t>
      </w:r>
      <w:r>
        <w:rPr>
          <w:lang w:eastAsia="en-AU"/>
        </w:rPr>
        <w:fldChar w:fldCharType="begin"/>
      </w:r>
      <w:r w:rsidR="005F1607">
        <w:rPr>
          <w:lang w:eastAsia="en-AU"/>
        </w:rPr>
        <w:instrText xml:space="preserve"> ADDIN EN.CITE &lt;EndNote&gt;&lt;Cite&gt;&lt;Author&gt;Landcorp&lt;/Author&gt;&lt;Year&gt;2015&lt;/Year&gt;&lt;RecNum&gt;1&lt;/RecNum&gt;&lt;DisplayText&gt;[1]&lt;/DisplayText&gt;&lt;record&gt;&lt;rec-number&gt;1&lt;/rec-number&gt;&lt;foreign-keys&gt;&lt;key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Pr>
          <w:lang w:eastAsia="en-AU"/>
        </w:rPr>
        <w:fldChar w:fldCharType="separate"/>
      </w:r>
      <w:r w:rsidR="005F1607">
        <w:rPr>
          <w:noProof/>
          <w:lang w:eastAsia="en-AU"/>
        </w:rPr>
        <w:t>[1]</w:t>
      </w:r>
      <w:r>
        <w:rPr>
          <w:lang w:eastAsia="en-AU"/>
        </w:rPr>
        <w:fldChar w:fldCharType="end"/>
      </w:r>
      <w:r w:rsidR="005F1607">
        <w:rPr>
          <w:lang w:eastAsia="en-AU"/>
        </w:rPr>
        <w:t>.</w:t>
      </w:r>
      <w:r w:rsidR="00E22C3B">
        <w:rPr>
          <w:lang w:eastAsia="en-AU"/>
        </w:rPr>
        <w:t xml:space="preserve"> The cut-in wind speed of a turbine is the minimum</w:t>
      </w:r>
      <w:r w:rsidR="00E11A6A">
        <w:rPr>
          <w:lang w:eastAsia="en-AU"/>
        </w:rPr>
        <w:t xml:space="preserve"> wind speed required for the turbine to overcome internal frictions and produce useful power, this is usually around 4-5 m/s but varies based on the wind turbine </w:t>
      </w:r>
      <w:r w:rsidR="00E11A6A">
        <w:rPr>
          <w:lang w:eastAsia="en-AU"/>
        </w:rPr>
        <w:fldChar w:fldCharType="begin"/>
      </w:r>
      <w:r w:rsidR="00E11A6A">
        <w:rPr>
          <w:lang w:eastAsia="en-AU"/>
        </w:rPr>
        <w:instrText xml:space="preserve"> ADDIN EN.CITE &lt;EndNote&gt;&lt;Cite&gt;&lt;Author&gt;Manwell&lt;/Author&gt;&lt;Year&gt;2010&lt;/Year&gt;&lt;RecNum&gt;29&lt;/RecNum&gt;&lt;DisplayText&gt;[2]&lt;/DisplayText&gt;&lt;record&gt;&lt;rec-number&gt;29&lt;/rec-number&gt;&lt;foreign-keys&gt;&lt;key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11A6A">
        <w:rPr>
          <w:lang w:eastAsia="en-AU"/>
        </w:rPr>
        <w:fldChar w:fldCharType="separate"/>
      </w:r>
      <w:r w:rsidR="00E11A6A">
        <w:rPr>
          <w:noProof/>
          <w:lang w:eastAsia="en-AU"/>
        </w:rPr>
        <w:t>[2]</w:t>
      </w:r>
      <w:r w:rsidR="00E11A6A">
        <w:rPr>
          <w:lang w:eastAsia="en-AU"/>
        </w:rPr>
        <w:fldChar w:fldCharType="end"/>
      </w:r>
      <w:r w:rsidR="00E11A6A">
        <w:rPr>
          <w:lang w:eastAsia="en-AU"/>
        </w:rPr>
        <w:t xml:space="preserve">. The average wind speeds in Newman were lower than the average cut-in </w:t>
      </w:r>
      <w:r w:rsidR="004D30B1">
        <w:rPr>
          <w:lang w:eastAsia="en-AU"/>
        </w:rPr>
        <w:t>speeds of wind turbines and hence the use</w:t>
      </w:r>
      <w:r w:rsidR="005B5957">
        <w:rPr>
          <w:lang w:eastAsia="en-AU"/>
        </w:rPr>
        <w:t xml:space="preserve"> of wind turbines would be inefficient for the successful completion of the project. It was therefore decided by Team Power to remove Hybrid 2 as a possible solution for the project</w:t>
      </w:r>
      <w:r w:rsidR="003D0AB6">
        <w:rPr>
          <w:lang w:eastAsia="en-AU"/>
        </w:rPr>
        <w:t xml:space="preserve"> and the wind turbines from the purely renewable solution be removed from the design. This left the purely renewable system consisting of only PV and battery storage</w:t>
      </w:r>
      <w:r w:rsidR="00414B74">
        <w:rPr>
          <w:lang w:eastAsia="en-AU"/>
        </w:rPr>
        <w:t xml:space="preserve"> however the Team decided that this system would not be reliable as a standalone system and therefore it was removed as a possible solution. After revisiting the </w:t>
      </w:r>
      <w:r w:rsidR="0069418C">
        <w:rPr>
          <w:lang w:eastAsia="en-AU"/>
        </w:rPr>
        <w:t>requirements,</w:t>
      </w:r>
      <w:r w:rsidR="00414B74">
        <w:rPr>
          <w:lang w:eastAsia="en-AU"/>
        </w:rPr>
        <w:t xml:space="preserve"> it was noted that being environmentally friendly was a low requirement </w:t>
      </w:r>
      <w:r w:rsidR="00D00156">
        <w:rPr>
          <w:lang w:eastAsia="en-AU"/>
        </w:rPr>
        <w:t xml:space="preserve">(9) </w:t>
      </w:r>
      <w:r w:rsidR="00414B74">
        <w:rPr>
          <w:lang w:eastAsia="en-AU"/>
        </w:rPr>
        <w:t>for the project and that econo</w:t>
      </w:r>
      <w:r w:rsidR="002268AC">
        <w:rPr>
          <w:lang w:eastAsia="en-AU"/>
        </w:rPr>
        <w:t>mics was a higher requirement</w:t>
      </w:r>
      <w:r w:rsidR="00D00156">
        <w:rPr>
          <w:lang w:eastAsia="en-AU"/>
        </w:rPr>
        <w:t xml:space="preserve"> (5)</w:t>
      </w:r>
      <w:r w:rsidR="002268AC">
        <w:rPr>
          <w:lang w:eastAsia="en-AU"/>
        </w:rPr>
        <w:t xml:space="preserve">. This lead Team Power to propose a purely diesel generator system as the second solution for powering the remote borefields. </w:t>
      </w:r>
    </w:p>
    <w:p w:rsidR="002B3C30" w:rsidRDefault="002B3C30" w:rsidP="005B7BE2">
      <w:pPr>
        <w:pStyle w:val="BodyText"/>
        <w:ind w:left="0"/>
        <w:rPr>
          <w:rFonts w:ascii="Arial" w:hAnsi="Arial" w:cs="Arial"/>
          <w:b/>
        </w:rPr>
      </w:pPr>
    </w:p>
    <w:p w:rsidR="00746E0A" w:rsidRPr="009828AC" w:rsidRDefault="00944318" w:rsidP="00E06C98">
      <w:pPr>
        <w:pStyle w:val="Heading1"/>
        <w:keepLines/>
        <w:widowControl/>
      </w:pPr>
      <w:bookmarkStart w:id="18" w:name="_Toc482779627"/>
      <w:r>
        <w:t xml:space="preserve">Hybrid – PV, </w:t>
      </w:r>
      <w:r w:rsidR="002066A5">
        <w:t>Battery and Diesel Generator</w:t>
      </w:r>
      <w:bookmarkEnd w:id="18"/>
      <w:r w:rsidR="002066A5">
        <w:t xml:space="preserve"> </w:t>
      </w:r>
    </w:p>
    <w:p w:rsidR="00746E0A" w:rsidRPr="00746E0A" w:rsidRDefault="00746E0A" w:rsidP="00E06C98">
      <w:pPr>
        <w:rPr>
          <w:color w:val="0070C0"/>
        </w:rPr>
      </w:pPr>
      <w:r w:rsidRPr="00746E0A">
        <w:rPr>
          <w:color w:val="0070C0"/>
        </w:rPr>
        <w:t xml:space="preserve"> </w:t>
      </w:r>
    </w:p>
    <w:p w:rsidR="001575AC" w:rsidRDefault="00F20D4C" w:rsidP="001575AC">
      <w:pPr>
        <w:pStyle w:val="Heading2"/>
      </w:pPr>
      <w:bookmarkStart w:id="19" w:name="_Toc482779628"/>
      <w:r>
        <w:t>Elements</w:t>
      </w:r>
      <w:bookmarkEnd w:id="19"/>
    </w:p>
    <w:p w:rsidR="002A5AE6" w:rsidRPr="002A5AE6" w:rsidRDefault="002A5AE6" w:rsidP="002A5AE6"/>
    <w:p w:rsidR="001575AC" w:rsidRPr="001575AC" w:rsidRDefault="001575AC" w:rsidP="00D96516">
      <w:pPr>
        <w:jc w:val="both"/>
      </w:pPr>
      <w:r>
        <w:t xml:space="preserve">The main elements of the hybrid system </w:t>
      </w:r>
      <w:r w:rsidR="00324FA3">
        <w:t xml:space="preserve">include, solar panels, batteries, </w:t>
      </w:r>
      <w:r w:rsidR="00F74D26">
        <w:t>boost converters, inverters, diesel generator,</w:t>
      </w:r>
      <w:r w:rsidR="00C634DA">
        <w:t xml:space="preserve"> and regulators.</w:t>
      </w:r>
      <w:r w:rsidR="00D96516">
        <w:t xml:space="preserve">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w:t>
      </w:r>
      <w:r w:rsidR="007B1F73">
        <w:t xml:space="preserve"> and relay information to the mine site. Fencing and shelter must be implemented to protect the system from external factors such as animals and harsh weather conditions. </w:t>
      </w:r>
    </w:p>
    <w:p w:rsidR="00E06C98" w:rsidRDefault="00E06C98" w:rsidP="00E06C98"/>
    <w:p w:rsidR="002A5AE6" w:rsidRDefault="002A5AE6" w:rsidP="00E06C98"/>
    <w:p w:rsidR="00613601" w:rsidRPr="00E06C98" w:rsidRDefault="00613601" w:rsidP="00E06C98"/>
    <w:p w:rsidR="00CD76BC" w:rsidRDefault="002066A5" w:rsidP="00CD76BC">
      <w:pPr>
        <w:pStyle w:val="Heading2"/>
      </w:pPr>
      <w:bookmarkStart w:id="20" w:name="_Toc482779629"/>
      <w:r>
        <w:lastRenderedPageBreak/>
        <w:t>Methodology</w:t>
      </w:r>
      <w:bookmarkEnd w:id="20"/>
      <w:r>
        <w:t xml:space="preserve"> </w:t>
      </w:r>
    </w:p>
    <w:p w:rsidR="002A5AE6" w:rsidRPr="002A5AE6" w:rsidRDefault="002A5AE6" w:rsidP="002A5AE6"/>
    <w:p w:rsidR="00E06C98" w:rsidRDefault="00C95DAC" w:rsidP="00C95DAC">
      <w:pPr>
        <w:jc w:val="both"/>
      </w:pPr>
      <w:r>
        <w:t>The following sections outlines the steps that were involved in sizing the PV, battery storage and diesel generator, including assumptions. This section will be structured to accommodate rapid re-calculation of specifi</w:t>
      </w:r>
      <w:r w:rsidR="00CB03D5">
        <w:t>c value</w:t>
      </w:r>
      <w:r w:rsidR="001420EB">
        <w:t>s</w:t>
      </w:r>
      <w:r w:rsidR="00CB03D5">
        <w:t xml:space="preserve"> when </w:t>
      </w:r>
      <w:r w:rsidR="001420EB">
        <w:t>changes in the requirements arise during later stages of the pr</w:t>
      </w:r>
      <w:r w:rsidR="0092310B">
        <w:t xml:space="preserve">oject lifetime. </w:t>
      </w:r>
      <w:r w:rsidR="0084445B">
        <w:fldChar w:fldCharType="begin"/>
      </w:r>
      <w:r w:rsidR="0084445B">
        <w:instrText xml:space="preserve"> REF _Ref482651104 \h </w:instrText>
      </w:r>
      <w:r w:rsidR="0084445B">
        <w:fldChar w:fldCharType="separate"/>
      </w:r>
      <w:r w:rsidR="0084445B">
        <w:t xml:space="preserve">Figure </w:t>
      </w:r>
      <w:r w:rsidR="0084445B">
        <w:rPr>
          <w:noProof/>
        </w:rPr>
        <w:t>1</w:t>
      </w:r>
      <w:r w:rsidR="0084445B">
        <w:fldChar w:fldCharType="end"/>
      </w:r>
      <w:r w:rsidR="0084445B">
        <w:t xml:space="preserve"> </w:t>
      </w:r>
      <w:r w:rsidR="001420EB">
        <w:t>is block</w:t>
      </w:r>
      <w:r w:rsidR="0092310B">
        <w:t xml:space="preserve"> diagram representation of the electrical </w:t>
      </w:r>
      <w:r w:rsidR="001539A1">
        <w:t>flow of the system and not a spatial</w:t>
      </w:r>
      <w:r w:rsidR="0092310B">
        <w:t xml:space="preserve"> representation of the components in the system. The Load represents the three bore pumps each of 30 kW</w:t>
      </w:r>
      <w:r w:rsidR="0084445B">
        <w:t xml:space="preserve"> alternate current (AC)</w:t>
      </w:r>
      <w:r w:rsidR="0092310B">
        <w:t xml:space="preserve"> power rating and the telemetry system of 100 W power rating. </w:t>
      </w:r>
      <w:r w:rsidR="0084445B">
        <w:t>The PV array produces direct current (DC) power and hence an inverter was added to convert the DC to AC. The DC/DC boost converter was added to allow for a lowe</w:t>
      </w:r>
      <w:r w:rsidR="001708D7">
        <w:t xml:space="preserve">r PV array and battery output voltage to power the load. </w:t>
      </w:r>
      <w:r w:rsidR="0084445B">
        <w:t xml:space="preserve"> </w:t>
      </w:r>
    </w:p>
    <w:p w:rsidR="001420EB" w:rsidRDefault="001420EB" w:rsidP="00C95DAC">
      <w:pPr>
        <w:jc w:val="both"/>
      </w:pPr>
    </w:p>
    <w:p w:rsidR="0092310B" w:rsidRDefault="0092310B" w:rsidP="0092310B">
      <w:pPr>
        <w:keepNext/>
        <w:jc w:val="center"/>
      </w:pPr>
      <w:r>
        <w:rPr>
          <w:noProof/>
          <w:lang w:val="en-AU" w:eastAsia="en-AU"/>
        </w:rPr>
        <w:drawing>
          <wp:inline distT="0" distB="0" distL="0" distR="0">
            <wp:extent cx="5943600" cy="1439545"/>
            <wp:effectExtent l="0" t="0" r="0" b="825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0C1D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92310B" w:rsidRDefault="0092310B" w:rsidP="0092310B">
      <w:pPr>
        <w:pStyle w:val="Caption"/>
        <w:jc w:val="center"/>
      </w:pPr>
      <w:bookmarkStart w:id="21" w:name="_Ref482651104"/>
      <w:r>
        <w:t xml:space="preserve">Figure </w:t>
      </w:r>
      <w:r>
        <w:fldChar w:fldCharType="begin"/>
      </w:r>
      <w:r>
        <w:instrText xml:space="preserve"> SEQ Figure \* ARABIC </w:instrText>
      </w:r>
      <w:r>
        <w:fldChar w:fldCharType="separate"/>
      </w:r>
      <w:r w:rsidR="00496891">
        <w:rPr>
          <w:noProof/>
        </w:rPr>
        <w:t>1</w:t>
      </w:r>
      <w:r>
        <w:fldChar w:fldCharType="end"/>
      </w:r>
      <w:bookmarkEnd w:id="21"/>
      <w:r>
        <w:t>:</w:t>
      </w:r>
      <w:r w:rsidR="0084445B">
        <w:t xml:space="preserve"> </w:t>
      </w:r>
      <w:r w:rsidR="008C7B03">
        <w:t>Block diagram of electrical flow of system</w:t>
      </w:r>
    </w:p>
    <w:p w:rsidR="00915DF0" w:rsidRDefault="00915DF0" w:rsidP="00E037CF">
      <w:pPr>
        <w:jc w:val="both"/>
      </w:pPr>
    </w:p>
    <w:p w:rsidR="00915DF0" w:rsidRDefault="00915DF0" w:rsidP="00E037CF">
      <w:pPr>
        <w:jc w:val="both"/>
      </w:pPr>
    </w:p>
    <w:p w:rsidR="00E037CF" w:rsidRDefault="00E037CF" w:rsidP="00E037CF">
      <w:pPr>
        <w:jc w:val="both"/>
      </w:pPr>
      <w:r>
        <w:t>The requirements analysis (Appendix A) completed by Team Power in RA report had prioritised cheaper solutions (requirement (5)) over environmentally friendly solutions (requirement (9)) however the Team d</w:t>
      </w:r>
      <w:r w:rsidR="000C30EF">
        <w:t>ecided to optimise</w:t>
      </w:r>
      <w:r w:rsidR="00CD04E2">
        <w:t xml:space="preserve"> the solutions green factor as a</w:t>
      </w:r>
      <w:r w:rsidR="000C30EF">
        <w:t>n innovative incentive f</w:t>
      </w:r>
      <w:r w:rsidR="00915DF0">
        <w:t>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w:t>
      </w:r>
      <w:r w:rsidR="00616289">
        <w:t xml:space="preserve"> ability to completely charge</w:t>
      </w:r>
      <w:r w:rsidR="00915DF0">
        <w:t xml:space="preserve"> the battery bank during the day.</w:t>
      </w:r>
      <w:r w:rsidR="00CD04E2">
        <w:t xml:space="preserve"> This would mean that the renewable portion of the system would power the pumps for 58 % of the day. </w:t>
      </w:r>
      <w:r w:rsidR="00915DF0">
        <w:t xml:space="preserve"> </w:t>
      </w:r>
    </w:p>
    <w:p w:rsidR="00616289" w:rsidRDefault="00616289" w:rsidP="00E037CF">
      <w:pPr>
        <w:jc w:val="both"/>
      </w:pPr>
    </w:p>
    <w:p w:rsidR="00915DF0" w:rsidRDefault="00616289" w:rsidP="00E037CF">
      <w:pPr>
        <w:jc w:val="both"/>
      </w:pPr>
      <w:r>
        <w:t>Team Power considered two possible connection for the renewable portion of the hybrid system. The first consisted of one inverter, one boost converter</w:t>
      </w:r>
      <w:r w:rsidR="001539A1">
        <w:t xml:space="preserve">, one battery bank and one PV array to power the entire 90 kW load </w:t>
      </w:r>
      <w:r w:rsidR="005E48A8">
        <w:t xml:space="preserve">similar to the block diagram depicted in </w:t>
      </w:r>
      <w:r w:rsidR="005E48A8">
        <w:fldChar w:fldCharType="begin"/>
      </w:r>
      <w:r w:rsidR="005E48A8">
        <w:instrText xml:space="preserve"> REF _Ref482651104 \h </w:instrText>
      </w:r>
      <w:r w:rsidR="005E48A8">
        <w:fldChar w:fldCharType="separate"/>
      </w:r>
      <w:r w:rsidR="005E48A8">
        <w:t xml:space="preserve">Figure </w:t>
      </w:r>
      <w:r w:rsidR="005E48A8">
        <w:rPr>
          <w:noProof/>
        </w:rPr>
        <w:t>1</w:t>
      </w:r>
      <w:r w:rsidR="005E48A8">
        <w:fldChar w:fldCharType="end"/>
      </w:r>
      <w:r w:rsidR="005E48A8">
        <w:t>. However, when connecting batteries in parallel variability in the string voltages could cause discharge problems</w:t>
      </w:r>
      <w:r w:rsidR="00306673">
        <w:t xml:space="preserve"> throughout the battery bank</w:t>
      </w:r>
      <w:r w:rsidR="005E48A8">
        <w:t xml:space="preserve"> and therefore the amount of strings</w:t>
      </w:r>
      <w:r w:rsidR="00306673">
        <w:t xml:space="preserve"> should be kept to a minimum. This connection also left the system with a higher probability of failure, for example, if the inverter were to fail the renewable portion of the system would not be able to supply power to the load.</w:t>
      </w:r>
      <w:r w:rsidR="00D83781">
        <w:t xml:space="preserve"> </w:t>
      </w:r>
      <w:r w:rsidR="0004502E">
        <w:t xml:space="preserve">Team Power, therefore, decided on a connection that consisted of an inverter, boost converter, battery bank and PV array per pump as depicted in </w:t>
      </w:r>
      <w:r w:rsidR="00496891">
        <w:fldChar w:fldCharType="begin"/>
      </w:r>
      <w:r w:rsidR="00496891">
        <w:instrText xml:space="preserve"> REF _Ref482732215 \h </w:instrText>
      </w:r>
      <w:r w:rsidR="00496891">
        <w:fldChar w:fldCharType="separate"/>
      </w:r>
      <w:r w:rsidR="00496891">
        <w:t xml:space="preserve">Figure </w:t>
      </w:r>
      <w:r w:rsidR="00496891">
        <w:rPr>
          <w:noProof/>
        </w:rPr>
        <w:t>2</w:t>
      </w:r>
      <w:r w:rsidR="00496891">
        <w:fldChar w:fldCharType="end"/>
      </w:r>
      <w:r w:rsidR="00496891">
        <w:t>. The layout of this system allows the use of smaller inverters, boost converters and fewer battery strings</w:t>
      </w:r>
      <w:r w:rsidR="003A568B">
        <w:t xml:space="preserve"> and therefore an overall more reliable system. Although each pump is connected to its own inverter, booster, battery bank and PV array, spatially these components will be located very close to one another. </w:t>
      </w:r>
    </w:p>
    <w:p w:rsidR="008C7B03" w:rsidRDefault="008C7B03" w:rsidP="00E037CF">
      <w:pPr>
        <w:jc w:val="both"/>
      </w:pPr>
    </w:p>
    <w:p w:rsidR="00496891" w:rsidRDefault="00496891" w:rsidP="00496891">
      <w:pPr>
        <w:keepNext/>
        <w:jc w:val="center"/>
      </w:pPr>
      <w:r>
        <w:rPr>
          <w:noProof/>
          <w:lang w:val="en-AU" w:eastAsia="en-AU"/>
        </w:rPr>
        <w:lastRenderedPageBreak/>
        <w:drawing>
          <wp:inline distT="0" distB="0" distL="0" distR="0">
            <wp:extent cx="3389923" cy="2370773"/>
            <wp:effectExtent l="0" t="0" r="127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4909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6935" cy="2375677"/>
                    </a:xfrm>
                    <a:prstGeom prst="rect">
                      <a:avLst/>
                    </a:prstGeom>
                  </pic:spPr>
                </pic:pic>
              </a:graphicData>
            </a:graphic>
          </wp:inline>
        </w:drawing>
      </w:r>
    </w:p>
    <w:p w:rsidR="008C7B03" w:rsidRDefault="00496891" w:rsidP="00496891">
      <w:pPr>
        <w:pStyle w:val="Caption"/>
        <w:jc w:val="center"/>
      </w:pPr>
      <w:bookmarkStart w:id="22" w:name="_Ref482732215"/>
      <w:r>
        <w:t xml:space="preserve">Figure </w:t>
      </w:r>
      <w:r>
        <w:fldChar w:fldCharType="begin"/>
      </w:r>
      <w:r>
        <w:instrText xml:space="preserve"> SEQ Figure \* ARABIC </w:instrText>
      </w:r>
      <w:r>
        <w:fldChar w:fldCharType="separate"/>
      </w:r>
      <w:r>
        <w:rPr>
          <w:noProof/>
        </w:rPr>
        <w:t>2</w:t>
      </w:r>
      <w:r>
        <w:fldChar w:fldCharType="end"/>
      </w:r>
      <w:bookmarkEnd w:id="22"/>
      <w:r>
        <w:t>: Block diagram of proposed system</w:t>
      </w:r>
    </w:p>
    <w:p w:rsidR="003A568B" w:rsidRDefault="003A568B" w:rsidP="003A568B">
      <w:pPr>
        <w:jc w:val="both"/>
      </w:pPr>
      <w:r>
        <w:t xml:space="preserve">The pumps specified by the client were the </w:t>
      </w:r>
      <w:proofErr w:type="spellStart"/>
      <w:r>
        <w:t>Grundfos</w:t>
      </w:r>
      <w:proofErr w:type="spellEnd"/>
      <w:r>
        <w:t xml:space="preserve"> MMS6000 30 kW </w:t>
      </w:r>
      <w:r w:rsidR="005C6061">
        <w:t xml:space="preserve">submersible pumps and therefore the output power from the inverter was required to be 30 kW 3 phase power. </w:t>
      </w:r>
      <w:r>
        <w:t xml:space="preserve"> </w:t>
      </w:r>
      <w:r w:rsidR="00536B8A">
        <w:t>Assuming a</w:t>
      </w:r>
      <w:r w:rsidR="00724FB8">
        <w:t>n</w:t>
      </w:r>
      <w:r w:rsidR="00536B8A">
        <w:t xml:space="preserve"> ampli</w:t>
      </w:r>
      <w:r w:rsidR="00724FB8">
        <w:t>tude modulation ration m</w:t>
      </w:r>
      <w:r w:rsidR="00724FB8">
        <w:rPr>
          <w:vertAlign w:val="subscript"/>
        </w:rPr>
        <w:t>a</w:t>
      </w:r>
      <w:r w:rsidR="00724FB8">
        <w:t xml:space="preserve"> of 0.85 the required input voltage for the inverter can be calculated using the following equation where V</w:t>
      </w:r>
      <w:r w:rsidR="00724FB8">
        <w:rPr>
          <w:vertAlign w:val="subscript"/>
        </w:rPr>
        <w:t>LL</w:t>
      </w:r>
      <w:r w:rsidR="00724FB8">
        <w:t xml:space="preserve"> represents the line to line voltage of the output (415 V for the pumps). The inverter was assumed to have 85% efficiency. </w:t>
      </w:r>
    </w:p>
    <w:p w:rsidR="00724FB8" w:rsidRDefault="00724FB8" w:rsidP="003A568B">
      <w:pPr>
        <w:jc w:val="both"/>
      </w:pPr>
    </w:p>
    <w:p w:rsidR="00724FB8" w:rsidRPr="00724FB8" w:rsidRDefault="00D00156" w:rsidP="003A568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724FB8" w:rsidRDefault="00724FB8" w:rsidP="00E037CF">
      <w:pPr>
        <w:jc w:val="both"/>
      </w:pPr>
    </w:p>
    <w:p w:rsidR="00915DF0" w:rsidRDefault="00724FB8" w:rsidP="00E037CF">
      <w:pPr>
        <w:jc w:val="both"/>
      </w:pPr>
      <w:r>
        <w:t xml:space="preserve">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w:t>
      </w:r>
      <w:r w:rsidR="000D1FF7">
        <w:t>The efficacy of the boost converter was assumed to be 100%.</w:t>
      </w:r>
    </w:p>
    <w:p w:rsidR="00724FB8" w:rsidRDefault="00724FB8" w:rsidP="00E037CF">
      <w:pPr>
        <w:jc w:val="both"/>
      </w:pPr>
    </w:p>
    <w:p w:rsidR="00724FB8" w:rsidRPr="000D1FF7" w:rsidRDefault="00D00156" w:rsidP="00E037CF">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D1FF7" w:rsidRDefault="000D1FF7" w:rsidP="00E037CF">
      <w:pPr>
        <w:jc w:val="both"/>
      </w:pPr>
    </w:p>
    <w:p w:rsidR="00B6090A" w:rsidRDefault="000D1FF7" w:rsidP="00E037CF">
      <w:pPr>
        <w:jc w:val="both"/>
      </w:pPr>
      <w:r>
        <w:t>The batteries chosen for the system were 12 V</w:t>
      </w:r>
      <w:r w:rsidR="00D11D2D">
        <w:t xml:space="preserve"> at</w:t>
      </w:r>
      <w:r w:rsidR="00A97AD4">
        <w:t xml:space="preserve"> 100 Ah</w:t>
      </w:r>
      <w:r>
        <w:t xml:space="preserve">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Pr>
          <w:noProof/>
        </w:rPr>
        <w:t>[3]</w:t>
      </w:r>
      <w:r>
        <w:fldChar w:fldCharType="end"/>
      </w:r>
      <w:r>
        <w:t xml:space="preserve">. </w:t>
      </w:r>
      <w:r w:rsidR="00B6090A">
        <w:t>Assuming 80% depth of discharge of the batteries the number of batteries in series and number of strings can be determined using the equations listed below</w:t>
      </w:r>
      <w:r w:rsidR="009051B4">
        <w:t>, where it was assumed the batteries would have the capability to power the pump for 8 hours.</w:t>
      </w:r>
      <w:r w:rsidR="00B6090A">
        <w:t xml:space="preserve"> </w:t>
      </w:r>
    </w:p>
    <w:p w:rsidR="00B6090A" w:rsidRDefault="00B6090A" w:rsidP="00E037CF">
      <w:pPr>
        <w:jc w:val="both"/>
      </w:pPr>
    </w:p>
    <w:p w:rsidR="009051B4" w:rsidRPr="009051B4" w:rsidRDefault="009051B4" w:rsidP="00E037CF">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9051B4" w:rsidRPr="00963AF2" w:rsidRDefault="009051B4" w:rsidP="00E037CF">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E85AB1" w:rsidRDefault="00E85AB1" w:rsidP="00E037CF">
      <w:pPr>
        <w:jc w:val="both"/>
      </w:pPr>
    </w:p>
    <w:p w:rsidR="000D1FF7" w:rsidRDefault="00E85AB1" w:rsidP="00E037CF">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w:t>
      </w:r>
      <w:r w:rsidR="00F96686">
        <w:t xml:space="preserve"> of 6.1 kW/m</w:t>
      </w:r>
      <w:r w:rsidR="00F96686">
        <w:rPr>
          <w:vertAlign w:val="superscript"/>
        </w:rPr>
        <w:t>2</w:t>
      </w:r>
      <w:r>
        <w:t xml:space="preserve"> for Newman was </w:t>
      </w:r>
      <w:r w:rsidR="00F96686">
        <w:t>obtained from the Bureau of Meteorology (BOM) which is equivalent to 6.1 hours at peak sun (1 kW/m</w:t>
      </w:r>
      <w:r w:rsidR="00F96686">
        <w:rPr>
          <w:vertAlign w:val="superscript"/>
        </w:rPr>
        <w:t>2</w:t>
      </w:r>
      <w:r w:rsidR="00F96686">
        <w:t>). Using this information and the equations below the number of panels in series and number of strings in the PV array were determined. A derating factor of 0.8 was assumed for the PV array due to dust.</w:t>
      </w:r>
    </w:p>
    <w:p w:rsidR="00F96686" w:rsidRDefault="00F96686" w:rsidP="00E037CF">
      <w:pPr>
        <w:jc w:val="both"/>
      </w:pPr>
    </w:p>
    <w:p w:rsidR="00F96686" w:rsidRPr="009051B4" w:rsidRDefault="00F96686" w:rsidP="00F96686">
      <w:pPr>
        <w:jc w:val="both"/>
      </w:pPr>
      <m:oMathPara>
        <m:oMath>
          <m:r>
            <w:rPr>
              <w:rFonts w:ascii="Cambria Math" w:hAnsi="Cambria Math"/>
            </w:rPr>
            <w:lastRenderedPageBreak/>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F96686" w:rsidRPr="00D96516" w:rsidRDefault="00F96686" w:rsidP="00F96686">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derating factor</m:t>
              </m:r>
            </m:den>
          </m:f>
        </m:oMath>
      </m:oMathPara>
    </w:p>
    <w:p w:rsidR="00D96516" w:rsidRDefault="00D96516" w:rsidP="00F96686">
      <w:pPr>
        <w:jc w:val="both"/>
      </w:pPr>
    </w:p>
    <w:p w:rsidR="00F96686" w:rsidRDefault="00027C63" w:rsidP="00E037CF">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w:t>
      </w:r>
      <w:r w:rsidR="008063A8">
        <w:t>Input variables added to the simulation included the diesel generator, PV array, converter, and battery bank. Each input had a variable range of values that HOMER would use to optimise the overall system.</w:t>
      </w:r>
      <w:r w:rsidR="001438BD">
        <w:t xml:space="preserve"> Although HOMER is capable of determining the optimum size of each technology in the Hybrid system</w:t>
      </w:r>
      <w:r w:rsidR="000676C4">
        <w:t>, it</w:t>
      </w:r>
      <w:r w:rsidR="001438BD">
        <w:t xml:space="preserve"> does not output the voltage and current relationships for e</w:t>
      </w:r>
      <w:r w:rsidR="000676C4">
        <w:t xml:space="preserve">ach technology, hence these would need to calculated manually. </w:t>
      </w:r>
    </w:p>
    <w:p w:rsidR="00AE4B74" w:rsidRDefault="00AE4B74" w:rsidP="00E037CF">
      <w:pPr>
        <w:jc w:val="both"/>
      </w:pPr>
    </w:p>
    <w:p w:rsidR="00E06C98" w:rsidRDefault="002066A5" w:rsidP="00E06C98">
      <w:pPr>
        <w:pStyle w:val="Heading2"/>
      </w:pPr>
      <w:bookmarkStart w:id="23" w:name="_Toc482779630"/>
      <w:r>
        <w:t>Results</w:t>
      </w:r>
      <w:bookmarkEnd w:id="23"/>
    </w:p>
    <w:p w:rsidR="002A5AE6" w:rsidRPr="002A5AE6" w:rsidRDefault="002A5AE6" w:rsidP="002A5AE6"/>
    <w:p w:rsidR="00950989" w:rsidRDefault="00AA38F8" w:rsidP="001964E4">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w:t>
      </w:r>
      <w:r w:rsidR="00D406FE">
        <w:t xml:space="preserve">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24" w:name="_Ref482740427"/>
      <w:r w:rsidR="00075CB7">
        <w:t xml:space="preserve">The diesel generator would be required during periods </w:t>
      </w:r>
      <w:r w:rsidR="00750856">
        <w:t xml:space="preserve">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1964E4" w:rsidRDefault="001964E4" w:rsidP="001964E4">
      <w:pPr>
        <w:pStyle w:val="BodyText"/>
        <w:ind w:left="0"/>
        <w:jc w:val="both"/>
      </w:pPr>
    </w:p>
    <w:p w:rsidR="001A0EEE" w:rsidRDefault="001A0EEE" w:rsidP="001A0EEE">
      <w:pPr>
        <w:pStyle w:val="Caption"/>
        <w:keepNext/>
      </w:pPr>
      <w:r>
        <w:t xml:space="preserve">Table </w:t>
      </w:r>
      <w:r>
        <w:fldChar w:fldCharType="begin"/>
      </w:r>
      <w:r>
        <w:instrText xml:space="preserve"> SEQ Table \* ARABIC </w:instrText>
      </w:r>
      <w:r>
        <w:fldChar w:fldCharType="separate"/>
      </w:r>
      <w:r w:rsidR="000676C4">
        <w:rPr>
          <w:noProof/>
        </w:rPr>
        <w:t>1</w:t>
      </w:r>
      <w:r>
        <w:fldChar w:fldCharType="end"/>
      </w:r>
      <w:bookmarkEnd w:id="24"/>
      <w:r>
        <w:t>: Summary of input and output values of renewable portion of the system</w:t>
      </w:r>
    </w:p>
    <w:tbl>
      <w:tblPr>
        <w:tblStyle w:val="TableGrid"/>
        <w:tblW w:w="0" w:type="auto"/>
        <w:tblLook w:val="04A0" w:firstRow="1" w:lastRow="0" w:firstColumn="1" w:lastColumn="0" w:noHBand="0" w:noVBand="1"/>
      </w:tblPr>
      <w:tblGrid>
        <w:gridCol w:w="1304"/>
        <w:gridCol w:w="1357"/>
        <w:gridCol w:w="1363"/>
        <w:gridCol w:w="1357"/>
        <w:gridCol w:w="1357"/>
        <w:gridCol w:w="1306"/>
        <w:gridCol w:w="1306"/>
      </w:tblGrid>
      <w:tr w:rsidR="001A0EEE" w:rsidTr="001A0EEE">
        <w:tc>
          <w:tcPr>
            <w:tcW w:w="1304" w:type="dxa"/>
          </w:tcPr>
          <w:p w:rsidR="001A0EEE" w:rsidRDefault="001A0EEE" w:rsidP="00E06C98">
            <w:pPr>
              <w:pStyle w:val="BodyText"/>
              <w:ind w:left="0"/>
            </w:pPr>
          </w:p>
        </w:tc>
        <w:tc>
          <w:tcPr>
            <w:tcW w:w="1357" w:type="dxa"/>
          </w:tcPr>
          <w:p w:rsidR="001A0EEE" w:rsidRPr="001A0EEE" w:rsidRDefault="001A0EEE" w:rsidP="001A0EEE">
            <w:pPr>
              <w:pStyle w:val="BodyText"/>
              <w:ind w:left="0"/>
              <w:jc w:val="center"/>
            </w:pPr>
            <w:r>
              <w:t>V</w:t>
            </w:r>
            <w:r>
              <w:rPr>
                <w:vertAlign w:val="subscript"/>
              </w:rPr>
              <w:t>in</w:t>
            </w:r>
            <w:r>
              <w:t xml:space="preserve"> (V)</w:t>
            </w:r>
          </w:p>
        </w:tc>
        <w:tc>
          <w:tcPr>
            <w:tcW w:w="1363" w:type="dxa"/>
          </w:tcPr>
          <w:p w:rsidR="001A0EEE" w:rsidRPr="001A0EEE" w:rsidRDefault="001A0EEE" w:rsidP="001A0EEE">
            <w:pPr>
              <w:pStyle w:val="BodyText"/>
              <w:ind w:left="0"/>
              <w:jc w:val="center"/>
            </w:pPr>
            <w:proofErr w:type="spellStart"/>
            <w:r>
              <w:t>V</w:t>
            </w:r>
            <w:r>
              <w:rPr>
                <w:vertAlign w:val="subscript"/>
              </w:rPr>
              <w:t>out</w:t>
            </w:r>
            <w:proofErr w:type="spellEnd"/>
            <w:r>
              <w:t xml:space="preserve"> (V)</w:t>
            </w:r>
          </w:p>
        </w:tc>
        <w:tc>
          <w:tcPr>
            <w:tcW w:w="1357" w:type="dxa"/>
          </w:tcPr>
          <w:p w:rsidR="001A0EEE" w:rsidRPr="001A0EEE" w:rsidRDefault="001A0EEE" w:rsidP="001A0EEE">
            <w:pPr>
              <w:pStyle w:val="BodyText"/>
              <w:ind w:left="0"/>
              <w:jc w:val="center"/>
            </w:pPr>
            <w:proofErr w:type="spellStart"/>
            <w:r>
              <w:t>I</w:t>
            </w:r>
            <w:r>
              <w:rPr>
                <w:vertAlign w:val="subscript"/>
              </w:rPr>
              <w:t>in</w:t>
            </w:r>
            <w:proofErr w:type="spellEnd"/>
            <w:r>
              <w:t xml:space="preserve"> (A)</w:t>
            </w:r>
          </w:p>
        </w:tc>
        <w:tc>
          <w:tcPr>
            <w:tcW w:w="1357" w:type="dxa"/>
          </w:tcPr>
          <w:p w:rsidR="001A0EEE" w:rsidRPr="001A0EEE" w:rsidRDefault="001A0EEE" w:rsidP="001A0EEE">
            <w:pPr>
              <w:pStyle w:val="BodyText"/>
              <w:ind w:left="0"/>
              <w:jc w:val="center"/>
            </w:pPr>
            <w:proofErr w:type="spellStart"/>
            <w:r>
              <w:t>I</w:t>
            </w:r>
            <w:r>
              <w:rPr>
                <w:vertAlign w:val="subscript"/>
              </w:rPr>
              <w:t>out</w:t>
            </w:r>
            <w:proofErr w:type="spellEnd"/>
            <w:r>
              <w:t xml:space="preserve"> (A)</w:t>
            </w:r>
          </w:p>
        </w:tc>
        <w:tc>
          <w:tcPr>
            <w:tcW w:w="1306" w:type="dxa"/>
          </w:tcPr>
          <w:p w:rsidR="001A0EEE" w:rsidRPr="001A0EEE" w:rsidRDefault="001A0EEE" w:rsidP="001A0EEE">
            <w:pPr>
              <w:pStyle w:val="BodyText"/>
              <w:ind w:left="0"/>
              <w:jc w:val="center"/>
            </w:pPr>
            <w:r>
              <w:t>P</w:t>
            </w:r>
            <w:r>
              <w:rPr>
                <w:vertAlign w:val="subscript"/>
              </w:rPr>
              <w:t>in</w:t>
            </w:r>
            <w:r>
              <w:t xml:space="preserve"> (kW)</w:t>
            </w:r>
          </w:p>
        </w:tc>
        <w:tc>
          <w:tcPr>
            <w:tcW w:w="1306" w:type="dxa"/>
          </w:tcPr>
          <w:p w:rsidR="001A0EEE" w:rsidRPr="001A0EEE" w:rsidRDefault="001A0EEE" w:rsidP="001A0EEE">
            <w:pPr>
              <w:pStyle w:val="BodyText"/>
              <w:ind w:left="0"/>
              <w:jc w:val="center"/>
            </w:pPr>
            <w:r>
              <w:t>P</w:t>
            </w:r>
            <w:r>
              <w:rPr>
                <w:vertAlign w:val="subscript"/>
              </w:rPr>
              <w:t>out</w:t>
            </w:r>
            <w:r>
              <w:t xml:space="preserve"> (kW)</w:t>
            </w:r>
          </w:p>
        </w:tc>
      </w:tr>
      <w:tr w:rsidR="001A0EEE" w:rsidTr="001A0EEE">
        <w:tc>
          <w:tcPr>
            <w:tcW w:w="1304" w:type="dxa"/>
          </w:tcPr>
          <w:p w:rsidR="001A0EEE" w:rsidRDefault="001A0EEE" w:rsidP="00E06C98">
            <w:pPr>
              <w:pStyle w:val="BodyText"/>
              <w:ind w:left="0"/>
            </w:pPr>
            <w:r>
              <w:t>Inverter</w:t>
            </w:r>
          </w:p>
        </w:tc>
        <w:tc>
          <w:tcPr>
            <w:tcW w:w="1357" w:type="dxa"/>
          </w:tcPr>
          <w:p w:rsidR="001A0EEE" w:rsidRDefault="001A0EEE" w:rsidP="001A0EEE">
            <w:pPr>
              <w:pStyle w:val="BodyText"/>
              <w:ind w:left="0"/>
              <w:jc w:val="center"/>
            </w:pPr>
            <w:r>
              <w:t>800</w:t>
            </w:r>
          </w:p>
        </w:tc>
        <w:tc>
          <w:tcPr>
            <w:tcW w:w="1363" w:type="dxa"/>
          </w:tcPr>
          <w:p w:rsidR="001A0EEE" w:rsidRDefault="001A0EEE" w:rsidP="001A0EEE">
            <w:pPr>
              <w:pStyle w:val="BodyText"/>
              <w:ind w:left="0"/>
              <w:jc w:val="center"/>
            </w:pPr>
            <w:r>
              <w:t>415</w:t>
            </w:r>
          </w:p>
        </w:tc>
        <w:tc>
          <w:tcPr>
            <w:tcW w:w="1357" w:type="dxa"/>
          </w:tcPr>
          <w:p w:rsidR="001A0EEE" w:rsidRDefault="001A0EEE" w:rsidP="001A0EEE">
            <w:pPr>
              <w:pStyle w:val="BodyText"/>
              <w:ind w:left="0"/>
              <w:jc w:val="center"/>
            </w:pPr>
            <w:r>
              <w:t>44</w:t>
            </w:r>
          </w:p>
        </w:tc>
        <w:tc>
          <w:tcPr>
            <w:tcW w:w="1357" w:type="dxa"/>
          </w:tcPr>
          <w:p w:rsidR="001A0EEE" w:rsidRDefault="0086756E" w:rsidP="001A0EEE">
            <w:pPr>
              <w:pStyle w:val="BodyText"/>
              <w:ind w:left="0"/>
              <w:jc w:val="center"/>
            </w:pPr>
            <w:r>
              <w:t xml:space="preserve">63 </w:t>
            </w:r>
          </w:p>
        </w:tc>
        <w:tc>
          <w:tcPr>
            <w:tcW w:w="1306" w:type="dxa"/>
          </w:tcPr>
          <w:p w:rsidR="001A0EEE" w:rsidRDefault="001A0EEE" w:rsidP="001A0EEE">
            <w:pPr>
              <w:pStyle w:val="BodyText"/>
              <w:ind w:left="0"/>
              <w:jc w:val="center"/>
            </w:pPr>
            <w:r>
              <w:t>35</w:t>
            </w:r>
          </w:p>
        </w:tc>
        <w:tc>
          <w:tcPr>
            <w:tcW w:w="1306" w:type="dxa"/>
          </w:tcPr>
          <w:p w:rsidR="001A0EEE" w:rsidRDefault="001A0EEE" w:rsidP="001A0EEE">
            <w:pPr>
              <w:pStyle w:val="BodyText"/>
              <w:ind w:left="0"/>
              <w:jc w:val="center"/>
            </w:pPr>
            <w:r>
              <w:t>30</w:t>
            </w:r>
          </w:p>
        </w:tc>
      </w:tr>
      <w:tr w:rsidR="001A0EEE" w:rsidTr="001A0EEE">
        <w:tc>
          <w:tcPr>
            <w:tcW w:w="1304" w:type="dxa"/>
          </w:tcPr>
          <w:p w:rsidR="001A0EEE" w:rsidRDefault="001A0EEE" w:rsidP="00E06C98">
            <w:pPr>
              <w:pStyle w:val="BodyText"/>
              <w:ind w:left="0"/>
            </w:pPr>
            <w:r>
              <w:t>Boost</w:t>
            </w:r>
          </w:p>
        </w:tc>
        <w:tc>
          <w:tcPr>
            <w:tcW w:w="1357" w:type="dxa"/>
          </w:tcPr>
          <w:p w:rsidR="001A0EEE" w:rsidRDefault="001A0EEE" w:rsidP="001A0EEE">
            <w:pPr>
              <w:pStyle w:val="BodyText"/>
              <w:ind w:left="0"/>
              <w:jc w:val="center"/>
            </w:pPr>
            <w:r>
              <w:t>400</w:t>
            </w:r>
          </w:p>
        </w:tc>
        <w:tc>
          <w:tcPr>
            <w:tcW w:w="1363" w:type="dxa"/>
          </w:tcPr>
          <w:p w:rsidR="001A0EEE" w:rsidRDefault="001A0EEE" w:rsidP="001A0EEE">
            <w:pPr>
              <w:pStyle w:val="BodyText"/>
              <w:ind w:left="0"/>
              <w:jc w:val="center"/>
            </w:pPr>
            <w:r>
              <w:t>800</w:t>
            </w:r>
          </w:p>
        </w:tc>
        <w:tc>
          <w:tcPr>
            <w:tcW w:w="1357" w:type="dxa"/>
          </w:tcPr>
          <w:p w:rsidR="001A0EEE" w:rsidRDefault="001A0EEE" w:rsidP="001A0EEE">
            <w:pPr>
              <w:pStyle w:val="BodyText"/>
              <w:ind w:left="0"/>
              <w:jc w:val="center"/>
            </w:pPr>
            <w:r>
              <w:t>88</w:t>
            </w:r>
          </w:p>
        </w:tc>
        <w:tc>
          <w:tcPr>
            <w:tcW w:w="1357" w:type="dxa"/>
          </w:tcPr>
          <w:p w:rsidR="001A0EEE" w:rsidRDefault="001A0EEE" w:rsidP="001A0EEE">
            <w:pPr>
              <w:pStyle w:val="BodyText"/>
              <w:ind w:left="0"/>
              <w:jc w:val="center"/>
            </w:pPr>
            <w:r>
              <w:t>44</w:t>
            </w:r>
          </w:p>
        </w:tc>
        <w:tc>
          <w:tcPr>
            <w:tcW w:w="1306" w:type="dxa"/>
          </w:tcPr>
          <w:p w:rsidR="001A0EEE" w:rsidRDefault="001A0EEE" w:rsidP="001A0EEE">
            <w:pPr>
              <w:pStyle w:val="BodyText"/>
              <w:ind w:left="0"/>
              <w:jc w:val="center"/>
            </w:pPr>
            <w:r>
              <w:t>35</w:t>
            </w:r>
          </w:p>
        </w:tc>
        <w:tc>
          <w:tcPr>
            <w:tcW w:w="1306" w:type="dxa"/>
          </w:tcPr>
          <w:p w:rsidR="001A0EEE" w:rsidRDefault="001A0EEE" w:rsidP="001A0EEE">
            <w:pPr>
              <w:pStyle w:val="BodyText"/>
              <w:ind w:left="0"/>
              <w:jc w:val="center"/>
            </w:pPr>
            <w:r>
              <w:t>35</w:t>
            </w:r>
          </w:p>
        </w:tc>
      </w:tr>
      <w:tr w:rsidR="001A0EEE" w:rsidTr="001A0EEE">
        <w:tc>
          <w:tcPr>
            <w:tcW w:w="1304" w:type="dxa"/>
          </w:tcPr>
          <w:p w:rsidR="001A0EEE" w:rsidRDefault="001A0EEE" w:rsidP="00E06C98">
            <w:pPr>
              <w:pStyle w:val="BodyText"/>
              <w:ind w:left="0"/>
            </w:pPr>
            <w:r>
              <w:t>Battery</w:t>
            </w:r>
          </w:p>
        </w:tc>
        <w:tc>
          <w:tcPr>
            <w:tcW w:w="1357" w:type="dxa"/>
          </w:tcPr>
          <w:p w:rsidR="001A0EEE" w:rsidRDefault="001A0EEE" w:rsidP="001A0EEE">
            <w:pPr>
              <w:pStyle w:val="BodyText"/>
              <w:ind w:left="0"/>
              <w:jc w:val="center"/>
            </w:pPr>
            <w:r>
              <w:t>400</w:t>
            </w:r>
          </w:p>
        </w:tc>
        <w:tc>
          <w:tcPr>
            <w:tcW w:w="1363" w:type="dxa"/>
          </w:tcPr>
          <w:p w:rsidR="001A0EEE" w:rsidRDefault="001A0EEE" w:rsidP="001A0EEE">
            <w:pPr>
              <w:pStyle w:val="BodyText"/>
              <w:ind w:left="0"/>
              <w:jc w:val="center"/>
            </w:pPr>
            <w:r>
              <w:t>400</w:t>
            </w:r>
          </w:p>
        </w:tc>
        <w:tc>
          <w:tcPr>
            <w:tcW w:w="1357" w:type="dxa"/>
          </w:tcPr>
          <w:p w:rsidR="001A0EEE" w:rsidRDefault="001A0EEE" w:rsidP="001A0EEE">
            <w:pPr>
              <w:pStyle w:val="BodyText"/>
              <w:ind w:left="0"/>
              <w:jc w:val="center"/>
            </w:pPr>
            <w:r>
              <w:t>88</w:t>
            </w:r>
          </w:p>
        </w:tc>
        <w:tc>
          <w:tcPr>
            <w:tcW w:w="1357" w:type="dxa"/>
          </w:tcPr>
          <w:p w:rsidR="001A0EEE" w:rsidRDefault="001A0EEE" w:rsidP="001A0EEE">
            <w:pPr>
              <w:pStyle w:val="BodyText"/>
              <w:ind w:left="0"/>
              <w:jc w:val="center"/>
            </w:pPr>
            <w:r>
              <w:t>88</w:t>
            </w:r>
          </w:p>
        </w:tc>
        <w:tc>
          <w:tcPr>
            <w:tcW w:w="1306" w:type="dxa"/>
          </w:tcPr>
          <w:p w:rsidR="001A0EEE" w:rsidRDefault="001A0EEE" w:rsidP="001A0EEE">
            <w:pPr>
              <w:pStyle w:val="BodyText"/>
              <w:ind w:left="0"/>
              <w:jc w:val="center"/>
            </w:pPr>
            <w:r>
              <w:t>35</w:t>
            </w:r>
          </w:p>
        </w:tc>
        <w:tc>
          <w:tcPr>
            <w:tcW w:w="1306" w:type="dxa"/>
          </w:tcPr>
          <w:p w:rsidR="001A0EEE" w:rsidRDefault="001A0EEE" w:rsidP="001A0EEE">
            <w:pPr>
              <w:pStyle w:val="BodyText"/>
              <w:ind w:left="0"/>
              <w:jc w:val="center"/>
            </w:pPr>
            <w:r>
              <w:t>35</w:t>
            </w:r>
          </w:p>
        </w:tc>
      </w:tr>
      <w:tr w:rsidR="001A0EEE" w:rsidTr="001A0EEE">
        <w:tc>
          <w:tcPr>
            <w:tcW w:w="1304" w:type="dxa"/>
          </w:tcPr>
          <w:p w:rsidR="001A0EEE" w:rsidRDefault="001A0EEE" w:rsidP="00E06C98">
            <w:pPr>
              <w:pStyle w:val="BodyText"/>
              <w:ind w:left="0"/>
            </w:pPr>
            <w:r>
              <w:t>PV</w:t>
            </w:r>
          </w:p>
        </w:tc>
        <w:tc>
          <w:tcPr>
            <w:tcW w:w="1357" w:type="dxa"/>
          </w:tcPr>
          <w:p w:rsidR="001A0EEE" w:rsidRDefault="001A0EEE" w:rsidP="001A0EEE">
            <w:pPr>
              <w:pStyle w:val="BodyText"/>
              <w:ind w:left="0"/>
              <w:jc w:val="center"/>
            </w:pPr>
            <w:r>
              <w:t>-</w:t>
            </w:r>
          </w:p>
        </w:tc>
        <w:tc>
          <w:tcPr>
            <w:tcW w:w="1363" w:type="dxa"/>
          </w:tcPr>
          <w:p w:rsidR="001A0EEE" w:rsidRDefault="001A0EEE" w:rsidP="001A0EEE">
            <w:pPr>
              <w:pStyle w:val="BodyText"/>
              <w:ind w:left="0"/>
              <w:jc w:val="center"/>
            </w:pPr>
            <w:r>
              <w:t>400</w:t>
            </w:r>
          </w:p>
        </w:tc>
        <w:tc>
          <w:tcPr>
            <w:tcW w:w="1357" w:type="dxa"/>
          </w:tcPr>
          <w:p w:rsidR="001A0EEE" w:rsidRDefault="001A0EEE" w:rsidP="001A0EEE">
            <w:pPr>
              <w:pStyle w:val="BodyText"/>
              <w:ind w:left="0"/>
              <w:jc w:val="center"/>
            </w:pPr>
            <w:r>
              <w:t>-</w:t>
            </w:r>
          </w:p>
        </w:tc>
        <w:tc>
          <w:tcPr>
            <w:tcW w:w="1357" w:type="dxa"/>
          </w:tcPr>
          <w:p w:rsidR="001A0EEE" w:rsidRDefault="001A0EEE" w:rsidP="001A0EEE">
            <w:pPr>
              <w:pStyle w:val="BodyText"/>
              <w:ind w:left="0"/>
              <w:jc w:val="center"/>
            </w:pPr>
            <w:r>
              <w:t>88</w:t>
            </w:r>
          </w:p>
        </w:tc>
        <w:tc>
          <w:tcPr>
            <w:tcW w:w="1306" w:type="dxa"/>
          </w:tcPr>
          <w:p w:rsidR="001A0EEE" w:rsidRDefault="001A0EEE" w:rsidP="001A0EEE">
            <w:pPr>
              <w:pStyle w:val="BodyText"/>
              <w:ind w:left="0"/>
              <w:jc w:val="center"/>
            </w:pPr>
            <w:r>
              <w:t>-</w:t>
            </w:r>
          </w:p>
        </w:tc>
        <w:tc>
          <w:tcPr>
            <w:tcW w:w="1306" w:type="dxa"/>
          </w:tcPr>
          <w:p w:rsidR="001A0EEE" w:rsidRDefault="001A0EEE" w:rsidP="001A0EEE">
            <w:pPr>
              <w:pStyle w:val="BodyText"/>
              <w:ind w:left="0"/>
              <w:jc w:val="center"/>
            </w:pPr>
            <w:r>
              <w:t>35</w:t>
            </w:r>
          </w:p>
        </w:tc>
      </w:tr>
    </w:tbl>
    <w:p w:rsidR="00D406FE" w:rsidRDefault="00D406FE" w:rsidP="00E06C98">
      <w:pPr>
        <w:pStyle w:val="BodyText"/>
        <w:ind w:left="0"/>
      </w:pPr>
    </w:p>
    <w:p w:rsidR="00AA38F8" w:rsidRDefault="00AA38F8" w:rsidP="00AA38F8">
      <w:pPr>
        <w:pStyle w:val="Caption"/>
        <w:keepNext/>
      </w:pPr>
      <w:bookmarkStart w:id="25" w:name="_Ref482740701"/>
      <w:r>
        <w:t xml:space="preserve">Table </w:t>
      </w:r>
      <w:r>
        <w:fldChar w:fldCharType="begin"/>
      </w:r>
      <w:r>
        <w:instrText xml:space="preserve"> SEQ Table \* ARABIC </w:instrText>
      </w:r>
      <w:r>
        <w:fldChar w:fldCharType="separate"/>
      </w:r>
      <w:r w:rsidR="000676C4">
        <w:rPr>
          <w:noProof/>
        </w:rPr>
        <w:t>2</w:t>
      </w:r>
      <w:r>
        <w:fldChar w:fldCharType="end"/>
      </w:r>
      <w:bookmarkEnd w:id="25"/>
      <w:r>
        <w:t>: Battery and PV size</w:t>
      </w:r>
    </w:p>
    <w:tbl>
      <w:tblPr>
        <w:tblStyle w:val="TableGrid"/>
        <w:tblW w:w="0" w:type="auto"/>
        <w:tblLook w:val="04A0" w:firstRow="1" w:lastRow="0" w:firstColumn="1" w:lastColumn="0" w:noHBand="0" w:noVBand="1"/>
      </w:tblPr>
      <w:tblGrid>
        <w:gridCol w:w="2337"/>
        <w:gridCol w:w="2337"/>
        <w:gridCol w:w="2338"/>
        <w:gridCol w:w="2338"/>
      </w:tblGrid>
      <w:tr w:rsidR="007D3246" w:rsidTr="007D3246">
        <w:tc>
          <w:tcPr>
            <w:tcW w:w="2337" w:type="dxa"/>
          </w:tcPr>
          <w:p w:rsidR="007D3246" w:rsidRDefault="007D3246" w:rsidP="00E06C98">
            <w:pPr>
              <w:pStyle w:val="BodyText"/>
              <w:ind w:left="0"/>
            </w:pPr>
          </w:p>
        </w:tc>
        <w:tc>
          <w:tcPr>
            <w:tcW w:w="2337" w:type="dxa"/>
          </w:tcPr>
          <w:p w:rsidR="007D3246" w:rsidRDefault="007D3246" w:rsidP="007D3246">
            <w:pPr>
              <w:pStyle w:val="BodyText"/>
              <w:ind w:left="0"/>
              <w:jc w:val="center"/>
            </w:pPr>
            <w:r>
              <w:t xml:space="preserve">Number of elements in series </w:t>
            </w:r>
          </w:p>
        </w:tc>
        <w:tc>
          <w:tcPr>
            <w:tcW w:w="2338" w:type="dxa"/>
          </w:tcPr>
          <w:p w:rsidR="007D3246" w:rsidRDefault="007D3246" w:rsidP="007D3246">
            <w:pPr>
              <w:pStyle w:val="BodyText"/>
              <w:ind w:left="0"/>
              <w:jc w:val="center"/>
            </w:pPr>
            <w:r>
              <w:t>Number of strings</w:t>
            </w:r>
          </w:p>
        </w:tc>
        <w:tc>
          <w:tcPr>
            <w:tcW w:w="2338" w:type="dxa"/>
          </w:tcPr>
          <w:p w:rsidR="007D3246" w:rsidRDefault="007D3246" w:rsidP="007D3246">
            <w:pPr>
              <w:pStyle w:val="BodyText"/>
              <w:ind w:left="0"/>
              <w:jc w:val="center"/>
            </w:pPr>
            <w:r>
              <w:t>Total number of elements</w:t>
            </w:r>
          </w:p>
        </w:tc>
      </w:tr>
      <w:tr w:rsidR="007D3246" w:rsidTr="007D3246">
        <w:tc>
          <w:tcPr>
            <w:tcW w:w="2337" w:type="dxa"/>
          </w:tcPr>
          <w:p w:rsidR="007D3246" w:rsidRDefault="007D3246" w:rsidP="007D3246">
            <w:pPr>
              <w:pStyle w:val="BodyText"/>
              <w:ind w:left="0"/>
              <w:jc w:val="center"/>
            </w:pPr>
            <w:r>
              <w:t>Battery</w:t>
            </w:r>
          </w:p>
        </w:tc>
        <w:tc>
          <w:tcPr>
            <w:tcW w:w="2337" w:type="dxa"/>
          </w:tcPr>
          <w:p w:rsidR="007D3246" w:rsidRDefault="007D3246" w:rsidP="007D3246">
            <w:pPr>
              <w:pStyle w:val="BodyText"/>
              <w:ind w:left="0"/>
              <w:jc w:val="center"/>
            </w:pPr>
            <w:r>
              <w:t>34</w:t>
            </w:r>
          </w:p>
        </w:tc>
        <w:tc>
          <w:tcPr>
            <w:tcW w:w="2338" w:type="dxa"/>
          </w:tcPr>
          <w:p w:rsidR="007D3246" w:rsidRDefault="007D3246" w:rsidP="007D3246">
            <w:pPr>
              <w:pStyle w:val="BodyText"/>
              <w:ind w:left="0"/>
              <w:jc w:val="center"/>
            </w:pPr>
            <w:r>
              <w:t>9</w:t>
            </w:r>
          </w:p>
        </w:tc>
        <w:tc>
          <w:tcPr>
            <w:tcW w:w="2338" w:type="dxa"/>
          </w:tcPr>
          <w:p w:rsidR="007D3246" w:rsidRDefault="00AA38F8" w:rsidP="00AA38F8">
            <w:pPr>
              <w:pStyle w:val="BodyText"/>
              <w:ind w:left="0"/>
              <w:jc w:val="center"/>
            </w:pPr>
            <w:r>
              <w:t>918</w:t>
            </w:r>
          </w:p>
        </w:tc>
      </w:tr>
      <w:tr w:rsidR="007D3246" w:rsidTr="007D3246">
        <w:tc>
          <w:tcPr>
            <w:tcW w:w="2337" w:type="dxa"/>
          </w:tcPr>
          <w:p w:rsidR="007D3246" w:rsidRDefault="007D3246" w:rsidP="007D3246">
            <w:pPr>
              <w:pStyle w:val="BodyText"/>
              <w:ind w:left="0"/>
              <w:jc w:val="center"/>
            </w:pPr>
            <w:r>
              <w:t>PV</w:t>
            </w:r>
          </w:p>
        </w:tc>
        <w:tc>
          <w:tcPr>
            <w:tcW w:w="2337" w:type="dxa"/>
          </w:tcPr>
          <w:p w:rsidR="007D3246" w:rsidRDefault="00AA38F8" w:rsidP="007D3246">
            <w:pPr>
              <w:pStyle w:val="BodyText"/>
              <w:ind w:left="0"/>
              <w:jc w:val="center"/>
            </w:pPr>
            <w:r>
              <w:t>13</w:t>
            </w:r>
          </w:p>
        </w:tc>
        <w:tc>
          <w:tcPr>
            <w:tcW w:w="2338" w:type="dxa"/>
          </w:tcPr>
          <w:p w:rsidR="007D3246" w:rsidRDefault="00AA38F8" w:rsidP="007D3246">
            <w:pPr>
              <w:pStyle w:val="BodyText"/>
              <w:ind w:left="0"/>
              <w:jc w:val="center"/>
            </w:pPr>
            <w:r>
              <w:t>27</w:t>
            </w:r>
          </w:p>
        </w:tc>
        <w:tc>
          <w:tcPr>
            <w:tcW w:w="2338" w:type="dxa"/>
          </w:tcPr>
          <w:p w:rsidR="007D3246" w:rsidRDefault="00AA38F8" w:rsidP="00AA38F8">
            <w:pPr>
              <w:pStyle w:val="BodyText"/>
              <w:ind w:left="0"/>
              <w:jc w:val="center"/>
            </w:pPr>
            <w:r>
              <w:t>1053</w:t>
            </w:r>
          </w:p>
        </w:tc>
      </w:tr>
    </w:tbl>
    <w:p w:rsidR="002B3C30" w:rsidRDefault="002B3C30" w:rsidP="00E06C98">
      <w:pPr>
        <w:pStyle w:val="BodyText"/>
        <w:ind w:left="0"/>
      </w:pPr>
    </w:p>
    <w:p w:rsidR="000676C4" w:rsidRDefault="000676C4" w:rsidP="00E06C98">
      <w:pPr>
        <w:pStyle w:val="BodyText"/>
        <w:ind w:left="0"/>
      </w:pPr>
    </w:p>
    <w:p w:rsidR="000676C4" w:rsidRDefault="000676C4" w:rsidP="00E06C98">
      <w:pPr>
        <w:pStyle w:val="BodyText"/>
        <w:ind w:left="0"/>
      </w:pPr>
    </w:p>
    <w:p w:rsidR="000676C4" w:rsidRDefault="000676C4" w:rsidP="000676C4">
      <w:pPr>
        <w:pStyle w:val="BodyText"/>
        <w:ind w:left="0"/>
        <w:jc w:val="both"/>
      </w:pPr>
      <w:r>
        <w:lastRenderedPageBreak/>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w:t>
      </w:r>
      <w:r w:rsidR="00366EDB">
        <w:t xml:space="preserve">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w:t>
      </w:r>
      <w:r w:rsidR="00E17C66">
        <w:t xml:space="preserve">If, for example, the NPCs of the two methods were </w:t>
      </w:r>
      <w:r w:rsidR="002B7281">
        <w:t xml:space="preserve">almost equal the client could be excited into </w:t>
      </w:r>
      <w:r w:rsidR="008F5D92">
        <w:t>implementing the more innovative (renewable) system.</w:t>
      </w:r>
    </w:p>
    <w:p w:rsidR="000676C4" w:rsidRDefault="000676C4" w:rsidP="000676C4">
      <w:pPr>
        <w:pStyle w:val="Caption"/>
        <w:keepNext/>
      </w:pPr>
      <w:bookmarkStart w:id="26" w:name="_Ref482777676"/>
      <w:r>
        <w:t xml:space="preserve">Table </w:t>
      </w:r>
      <w:r>
        <w:fldChar w:fldCharType="begin"/>
      </w:r>
      <w:r>
        <w:instrText xml:space="preserve"> SEQ Table \* ARABIC </w:instrText>
      </w:r>
      <w:r>
        <w:fldChar w:fldCharType="separate"/>
      </w:r>
      <w:r>
        <w:rPr>
          <w:noProof/>
        </w:rPr>
        <w:t>3</w:t>
      </w:r>
      <w:r>
        <w:fldChar w:fldCharType="end"/>
      </w:r>
      <w:bookmarkEnd w:id="26"/>
      <w:r>
        <w:t>: Size of technologies using HOMER simulation</w:t>
      </w:r>
    </w:p>
    <w:tbl>
      <w:tblPr>
        <w:tblStyle w:val="TableGrid"/>
        <w:tblW w:w="0" w:type="auto"/>
        <w:tblLook w:val="04A0" w:firstRow="1" w:lastRow="0" w:firstColumn="1" w:lastColumn="0" w:noHBand="0" w:noVBand="1"/>
      </w:tblPr>
      <w:tblGrid>
        <w:gridCol w:w="3256"/>
        <w:gridCol w:w="2050"/>
      </w:tblGrid>
      <w:tr w:rsidR="000676C4" w:rsidTr="000676C4">
        <w:trPr>
          <w:trHeight w:val="244"/>
        </w:trPr>
        <w:tc>
          <w:tcPr>
            <w:tcW w:w="3256" w:type="dxa"/>
            <w:vAlign w:val="bottom"/>
          </w:tcPr>
          <w:p w:rsidR="000676C4" w:rsidRDefault="000676C4" w:rsidP="000676C4">
            <w:pPr>
              <w:rPr>
                <w:lang w:val="en-AU" w:eastAsia="en-AU"/>
              </w:rPr>
            </w:pPr>
            <w:r>
              <w:t>PV (kW)</w:t>
            </w:r>
          </w:p>
        </w:tc>
        <w:tc>
          <w:tcPr>
            <w:tcW w:w="2050" w:type="dxa"/>
            <w:vAlign w:val="bottom"/>
          </w:tcPr>
          <w:p w:rsidR="000676C4" w:rsidRDefault="000676C4" w:rsidP="000676C4">
            <w:r>
              <w:t>175</w:t>
            </w:r>
          </w:p>
        </w:tc>
      </w:tr>
      <w:tr w:rsidR="000676C4" w:rsidTr="000676C4">
        <w:trPr>
          <w:trHeight w:val="252"/>
        </w:trPr>
        <w:tc>
          <w:tcPr>
            <w:tcW w:w="3256" w:type="dxa"/>
            <w:vAlign w:val="bottom"/>
          </w:tcPr>
          <w:p w:rsidR="000676C4" w:rsidRDefault="000676C4" w:rsidP="000676C4">
            <w:r>
              <w:t>Diesel Generator (kW)</w:t>
            </w:r>
          </w:p>
        </w:tc>
        <w:tc>
          <w:tcPr>
            <w:tcW w:w="2050" w:type="dxa"/>
            <w:vAlign w:val="bottom"/>
          </w:tcPr>
          <w:p w:rsidR="000676C4" w:rsidRDefault="000676C4" w:rsidP="000676C4">
            <w:r>
              <w:t>110</w:t>
            </w:r>
          </w:p>
        </w:tc>
      </w:tr>
      <w:tr w:rsidR="000676C4" w:rsidTr="000676C4">
        <w:trPr>
          <w:trHeight w:val="244"/>
        </w:trPr>
        <w:tc>
          <w:tcPr>
            <w:tcW w:w="3256" w:type="dxa"/>
            <w:vAlign w:val="bottom"/>
          </w:tcPr>
          <w:p w:rsidR="000676C4" w:rsidRDefault="000676C4" w:rsidP="000676C4">
            <w:r>
              <w:t>Lithium Ion Batteries</w:t>
            </w:r>
          </w:p>
        </w:tc>
        <w:tc>
          <w:tcPr>
            <w:tcW w:w="2050" w:type="dxa"/>
            <w:vAlign w:val="bottom"/>
          </w:tcPr>
          <w:p w:rsidR="000676C4" w:rsidRDefault="000676C4" w:rsidP="000676C4">
            <w:r>
              <w:t>400</w:t>
            </w:r>
          </w:p>
        </w:tc>
      </w:tr>
    </w:tbl>
    <w:p w:rsidR="000676C4" w:rsidRDefault="000676C4" w:rsidP="00E06C98">
      <w:pPr>
        <w:pStyle w:val="BodyText"/>
        <w:ind w:left="0"/>
      </w:pPr>
    </w:p>
    <w:p w:rsidR="008F5D92" w:rsidRDefault="008F5D92" w:rsidP="00F823B3">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w:t>
      </w:r>
      <w:r w:rsidR="0061014E">
        <w:t xml:space="preserve">(3) and </w:t>
      </w:r>
      <w:r>
        <w:t>(4) allowing t</w:t>
      </w:r>
      <w:r w:rsidR="00F823B3">
        <w:t xml:space="preserve">he system to operate as safely as possible in the desired location. However, overall safety procedure will need to be determined for the system as a whole. </w:t>
      </w:r>
    </w:p>
    <w:p w:rsidR="002A5AE6" w:rsidRPr="005B7BE2" w:rsidRDefault="002A5AE6" w:rsidP="00F823B3">
      <w:pPr>
        <w:pStyle w:val="BodyText"/>
        <w:ind w:left="0"/>
        <w:jc w:val="both"/>
      </w:pPr>
    </w:p>
    <w:p w:rsidR="007363FB" w:rsidRDefault="007363FB">
      <w:pPr>
        <w:pStyle w:val="Heading1"/>
      </w:pPr>
      <w:bookmarkStart w:id="27" w:name="_Toc482779631"/>
      <w:r>
        <w:t>Individual Learning</w:t>
      </w:r>
      <w:bookmarkEnd w:id="27"/>
      <w:r>
        <w:t xml:space="preserve"> </w:t>
      </w:r>
    </w:p>
    <w:p w:rsidR="007363FB" w:rsidRDefault="007363FB" w:rsidP="007363FB">
      <w:pPr>
        <w:pStyle w:val="Heading1"/>
        <w:numPr>
          <w:ilvl w:val="0"/>
          <w:numId w:val="0"/>
        </w:numPr>
      </w:pPr>
    </w:p>
    <w:p w:rsidR="00746E0A" w:rsidRDefault="007363FB" w:rsidP="008F5D92">
      <w:pPr>
        <w:jc w:val="both"/>
      </w:pPr>
      <w:r>
        <w:t xml:space="preserve">The most significant learning outcome Steven Bardzovski has achieved in the </w:t>
      </w:r>
      <w:r w:rsidR="00170373">
        <w:t xml:space="preserve">lifetime of the project design </w:t>
      </w:r>
      <w:r w:rsidR="00E07879">
        <w:t>is being able to apply technical knowledge and problem solving skills to achieve a desired outcome that satisfies the requirements. Steven has demonstrated this through the sizing of the Hybrid system (this report) and the purely generator system (FD report)</w:t>
      </w:r>
      <w:r w:rsidR="007D3246">
        <w:t>. The use of prior knowledge in circuit theory, renewable energy, and power electroni</w:t>
      </w:r>
      <w:r w:rsidR="00D406FE">
        <w:t xml:space="preserve">cs has allowed Steven to complete this task. </w:t>
      </w:r>
      <w:r w:rsidR="00107E54">
        <w:t>Steven applied logical reasoning acquired from previous studies to guide his methodology and</w:t>
      </w:r>
      <w:r w:rsidR="008F5D92">
        <w:t xml:space="preserve"> critically analysis of the</w:t>
      </w:r>
      <w:r w:rsidR="00107E54">
        <w:t xml:space="preserve"> final results. </w:t>
      </w:r>
      <w:r w:rsidR="00D406FE">
        <w:t xml:space="preserve"> </w:t>
      </w:r>
    </w:p>
    <w:p w:rsidR="002B3C30" w:rsidRPr="00CD76BC" w:rsidRDefault="00746E0A" w:rsidP="00746E0A">
      <w:r>
        <w:t xml:space="preserve"> </w:t>
      </w:r>
    </w:p>
    <w:p w:rsidR="003F2468" w:rsidRDefault="00F20D4C">
      <w:pPr>
        <w:pStyle w:val="Heading1"/>
      </w:pPr>
      <w:bookmarkStart w:id="28" w:name="_Toc482779632"/>
      <w:r>
        <w:t>Contribution</w:t>
      </w:r>
      <w:bookmarkEnd w:id="28"/>
    </w:p>
    <w:p w:rsidR="00E06C98" w:rsidRDefault="00E06C98" w:rsidP="00E06C98">
      <w:pPr>
        <w:rPr>
          <w:rFonts w:eastAsia="Calibri"/>
        </w:rPr>
      </w:pPr>
    </w:p>
    <w:p w:rsidR="00E06C98" w:rsidRDefault="004D6422" w:rsidP="00F84A84">
      <w:pPr>
        <w:pStyle w:val="BodyText"/>
        <w:ind w:left="0"/>
        <w:jc w:val="both"/>
      </w:pPr>
      <w:r>
        <w:t>The requirements of the group FD were listed and delegated equally to the six members of Team Power</w:t>
      </w:r>
      <w:r w:rsidR="00883EDC">
        <w:t xml:space="preserve">, based on hours required to complete each task. Steven Bardzovski was given the task of sizing the two proposed solutions, the hybrid and solely diesel generation systems. This included the inverters and converters required in the transmission of the generated power. Steven’s background in mathematics was one of the reasons why he was given this section of the report. Although, these calculations were completed by Steven, after every set of calculations the Team was consulted on the </w:t>
      </w:r>
      <w:r w:rsidR="00286D8E">
        <w:t xml:space="preserve">accuracy of the results. Steven was also responsible for the simulations of the system on the HOMER Energy software, as he was one of the only members familiar with the program and therefore it would optimise the Teams efficiency to have Steven complete this task. </w:t>
      </w:r>
      <w:r w:rsidR="0019613E">
        <w:t xml:space="preserve">Although the above were Steven’s primary responsibilities he has also consulted with other members in the group as elements in his tasks are crucial in the elements of other tasks. </w:t>
      </w:r>
    </w:p>
    <w:p w:rsidR="0019613E" w:rsidRDefault="00F55A5A" w:rsidP="00F84A84">
      <w:pPr>
        <w:pStyle w:val="BodyText"/>
        <w:ind w:left="0"/>
        <w:jc w:val="both"/>
      </w:pPr>
      <w:r>
        <w:lastRenderedPageBreak/>
        <w:t>Steven’s knowledge on renewable energy</w:t>
      </w:r>
      <w:r w:rsidR="00F84A84">
        <w:t xml:space="preserve"> has been crucial in the successful completion of the project and this knowledge has become particular useful in the completion of the IFD and FD reports. Practical questions involving the tilt and arrangement </w:t>
      </w:r>
      <w:r w:rsidR="00154594">
        <w:t xml:space="preserve">of solar panels </w:t>
      </w:r>
      <w:r w:rsidR="003E6C43">
        <w:t xml:space="preserve">were quickly resolved and calculations for sizing renewable systems were easier to complete due to Steven’s knowledge. As mentioned in previous reports, Steven had volunteered to </w:t>
      </w:r>
      <w:r w:rsidR="008753D7">
        <w:t>regulate</w:t>
      </w:r>
      <w:r w:rsidR="003E6C43">
        <w:t xml:space="preserve"> the file sharing platform and version control</w:t>
      </w:r>
      <w:r w:rsidR="008753D7">
        <w:t xml:space="preserve"> using the online software GitHub</w:t>
      </w:r>
      <w:r w:rsidR="001B755B">
        <w:t xml:space="preserve"> and Google Drive</w:t>
      </w:r>
      <w:r w:rsidR="008753D7">
        <w:t>.</w:t>
      </w:r>
      <w:r w:rsidR="00950989">
        <w:t xml:space="preserve"> </w:t>
      </w:r>
      <w:r w:rsidR="001951A0">
        <w:t xml:space="preserve">Although team members were allocated separate tasks to complete, all members required interfacing with each other to refer to other sections of the system in their individual submissions. Successful interfacing could only be achieved by having a well organised file sharing platform.  </w:t>
      </w:r>
    </w:p>
    <w:p w:rsidR="00E037CF" w:rsidRDefault="00E037CF">
      <w:pPr>
        <w:widowControl/>
        <w:spacing w:line="240" w:lineRule="auto"/>
        <w:rPr>
          <w:rFonts w:ascii="Arial" w:hAnsi="Arial"/>
          <w:b/>
          <w:sz w:val="24"/>
        </w:rPr>
      </w:pPr>
      <w:r>
        <w:br w:type="page"/>
      </w:r>
    </w:p>
    <w:p w:rsidR="00E06C98" w:rsidRDefault="00785552" w:rsidP="00E06C98">
      <w:pPr>
        <w:pStyle w:val="Heading1"/>
      </w:pPr>
      <w:bookmarkStart w:id="29" w:name="_Toc482779633"/>
      <w:r>
        <w:lastRenderedPageBreak/>
        <w:t>Appendices</w:t>
      </w:r>
      <w:bookmarkEnd w:id="29"/>
    </w:p>
    <w:p w:rsidR="00746E0A" w:rsidRPr="00E06C98" w:rsidRDefault="00746E0A" w:rsidP="00E06C98"/>
    <w:p w:rsidR="00E06C98" w:rsidRDefault="00785552" w:rsidP="006A0FA9">
      <w:pPr>
        <w:pStyle w:val="Heading2"/>
        <w:rPr>
          <w:rFonts w:eastAsia="Calibri"/>
        </w:rPr>
      </w:pPr>
      <w:bookmarkStart w:id="30" w:name="_Toc482779634"/>
      <w:r>
        <w:rPr>
          <w:rFonts w:eastAsia="Calibri"/>
        </w:rPr>
        <w:t>Appendix A</w:t>
      </w:r>
      <w:r w:rsidR="006A0FA9">
        <w:rPr>
          <w:rFonts w:eastAsia="Calibri"/>
        </w:rPr>
        <w:t xml:space="preserve"> </w:t>
      </w:r>
      <w:r w:rsidR="00E037CF">
        <w:rPr>
          <w:rFonts w:eastAsia="Calibri"/>
        </w:rPr>
        <w:t>– Requirements Analysis</w:t>
      </w:r>
      <w:bookmarkEnd w:id="30"/>
    </w:p>
    <w:p w:rsidR="00E037CF" w:rsidRPr="00E037CF" w:rsidRDefault="00E037CF" w:rsidP="00E037CF">
      <w:pPr>
        <w:widowControl/>
        <w:spacing w:line="240" w:lineRule="auto"/>
        <w:rPr>
          <w:sz w:val="24"/>
          <w:szCs w:val="24"/>
          <w:lang w:val="en-AU" w:eastAsia="en-AU"/>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493"/>
        <w:gridCol w:w="4030"/>
        <w:gridCol w:w="1361"/>
        <w:gridCol w:w="1624"/>
      </w:tblGrid>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Priority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Description of 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Origin</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Operate continuously (24/7)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power generation system is required to operate for 24 hours a day, 7 days a week, 365 days a year.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Design brief</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At least 90kW of power available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Initial meeting with Jacobs</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Operate in desired location.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power generation system must operate in Newman. This includes tolerating the harsh conditions and remote environment.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Design Brief</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Safety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system must run safely. Any safety equipment that requires power must also be supplied.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 UNS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Standards, code of practice, expectations and ethics</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Economy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Maximise the economy of the proposed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Design brief and the initial meeting with Jacobs</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Telemetry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system requires telemetry and communications equipment, and these will also require power.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Initial meeting with Jacobs</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Maintainable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system must be maintainable.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UNS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Standards and code of practice</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10-year life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system must last for at least ten years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SPO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Initial meeting</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Environment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proposed solution should minimise harm to the environment.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EXC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Ethics</w:t>
            </w:r>
          </w:p>
        </w:tc>
      </w:tr>
      <w:tr w:rsidR="00E037CF" w:rsidRPr="00E037CF" w:rsidTr="00E037C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The proposed solution should take a minimum amount of time to construct.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EXP, EXC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037CF" w:rsidRPr="00E037CF" w:rsidRDefault="00E037CF" w:rsidP="00E037CF">
            <w:pPr>
              <w:widowControl/>
              <w:spacing w:line="240" w:lineRule="auto"/>
              <w:rPr>
                <w:sz w:val="24"/>
                <w:szCs w:val="24"/>
                <w:lang w:val="en-AU" w:eastAsia="en-AU"/>
              </w:rPr>
            </w:pPr>
            <w:r w:rsidRPr="00E037CF">
              <w:rPr>
                <w:color w:val="000000"/>
                <w:lang w:val="en-AU" w:eastAsia="en-AU"/>
              </w:rPr>
              <w:t>Arises from requirement 5 (economy)</w:t>
            </w:r>
          </w:p>
        </w:tc>
      </w:tr>
    </w:tbl>
    <w:p w:rsidR="006A0FA9" w:rsidRPr="006A0FA9" w:rsidRDefault="006A0FA9" w:rsidP="006A0FA9">
      <w:pPr>
        <w:rPr>
          <w:rFonts w:eastAsia="Calibri"/>
        </w:rPr>
      </w:pPr>
    </w:p>
    <w:p w:rsidR="006A0FA9" w:rsidRPr="006A0FA9" w:rsidRDefault="006A0FA9" w:rsidP="006A0FA9">
      <w:pPr>
        <w:rPr>
          <w:rFonts w:eastAsia="Calibri"/>
        </w:rPr>
      </w:pPr>
    </w:p>
    <w:p w:rsidR="00127957" w:rsidRDefault="00127957" w:rsidP="00127957"/>
    <w:p w:rsidR="005F1607" w:rsidRDefault="005F1607" w:rsidP="00127957"/>
    <w:p w:rsidR="005F1607" w:rsidRDefault="005F1607" w:rsidP="00127957"/>
    <w:p w:rsidR="006010E2" w:rsidRDefault="006010E2" w:rsidP="00127957"/>
    <w:sectPr w:rsidR="006010E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CE" w:rsidRDefault="00C118CE">
      <w:pPr>
        <w:spacing w:line="240" w:lineRule="auto"/>
      </w:pPr>
      <w:r>
        <w:separator/>
      </w:r>
    </w:p>
    <w:p w:rsidR="00C118CE" w:rsidRDefault="00C118CE"/>
  </w:endnote>
  <w:endnote w:type="continuationSeparator" w:id="0">
    <w:p w:rsidR="00C118CE" w:rsidRDefault="00C118CE">
      <w:pPr>
        <w:spacing w:line="240" w:lineRule="auto"/>
      </w:pPr>
      <w:r>
        <w:continuationSeparator/>
      </w:r>
    </w:p>
    <w:p w:rsidR="00C118CE" w:rsidRDefault="00C11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66" w:rsidRDefault="00E17C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7C66" w:rsidRDefault="00E17C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7C66">
      <w:tc>
        <w:tcPr>
          <w:tcW w:w="3162" w:type="dxa"/>
          <w:tcBorders>
            <w:top w:val="nil"/>
            <w:left w:val="nil"/>
            <w:bottom w:val="nil"/>
            <w:right w:val="nil"/>
          </w:tcBorders>
        </w:tcPr>
        <w:p w:rsidR="00E17C66" w:rsidRDefault="00E17C66">
          <w:pPr>
            <w:ind w:right="360"/>
          </w:pPr>
        </w:p>
      </w:tc>
      <w:tc>
        <w:tcPr>
          <w:tcW w:w="3162" w:type="dxa"/>
          <w:tcBorders>
            <w:top w:val="nil"/>
            <w:left w:val="nil"/>
            <w:bottom w:val="nil"/>
            <w:right w:val="nil"/>
          </w:tcBorders>
        </w:tcPr>
        <w:p w:rsidR="00E17C66" w:rsidRPr="00BA1D0E" w:rsidRDefault="00E17C66"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E17C66" w:rsidRDefault="00E17C66" w:rsidP="00BE3950">
          <w:r>
            <w:t xml:space="preserve">                      Page </w:t>
          </w:r>
          <w:r>
            <w:rPr>
              <w:rStyle w:val="PageNumber"/>
            </w:rPr>
            <w:fldChar w:fldCharType="begin"/>
          </w:r>
          <w:r>
            <w:rPr>
              <w:rStyle w:val="PageNumber"/>
            </w:rPr>
            <w:instrText xml:space="preserve"> PAGE </w:instrText>
          </w:r>
          <w:r>
            <w:rPr>
              <w:rStyle w:val="PageNumber"/>
            </w:rPr>
            <w:fldChar w:fldCharType="separate"/>
          </w:r>
          <w:r w:rsidR="00DD020D">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D020D">
            <w:rPr>
              <w:rStyle w:val="PageNumber"/>
              <w:noProof/>
            </w:rPr>
            <w:t>11</w:t>
          </w:r>
          <w:r>
            <w:rPr>
              <w:rStyle w:val="PageNumber"/>
            </w:rPr>
            <w:fldChar w:fldCharType="end"/>
          </w:r>
        </w:p>
      </w:tc>
    </w:tr>
  </w:tbl>
  <w:p w:rsidR="00E17C66" w:rsidRDefault="00E17C66">
    <w:pPr>
      <w:pStyle w:val="Footer"/>
    </w:pPr>
  </w:p>
  <w:p w:rsidR="00E17C66" w:rsidRDefault="00E17C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66" w:rsidRDefault="00E1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CE" w:rsidRDefault="00C118CE">
      <w:pPr>
        <w:spacing w:line="240" w:lineRule="auto"/>
      </w:pPr>
      <w:r>
        <w:separator/>
      </w:r>
    </w:p>
    <w:p w:rsidR="00C118CE" w:rsidRDefault="00C118CE"/>
  </w:footnote>
  <w:footnote w:type="continuationSeparator" w:id="0">
    <w:p w:rsidR="00C118CE" w:rsidRDefault="00C118CE">
      <w:pPr>
        <w:spacing w:line="240" w:lineRule="auto"/>
      </w:pPr>
      <w:r>
        <w:continuationSeparator/>
      </w:r>
    </w:p>
    <w:p w:rsidR="00C118CE" w:rsidRDefault="00C11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66" w:rsidRDefault="00E17C66">
    <w:pPr>
      <w:rPr>
        <w:sz w:val="24"/>
      </w:rPr>
    </w:pPr>
  </w:p>
  <w:p w:rsidR="00E17C66" w:rsidRDefault="00E17C66">
    <w:pPr>
      <w:pBdr>
        <w:top w:val="single" w:sz="6" w:space="1" w:color="auto"/>
      </w:pBdr>
      <w:rPr>
        <w:sz w:val="24"/>
      </w:rPr>
    </w:pPr>
  </w:p>
  <w:p w:rsidR="00E17C66" w:rsidRPr="005A7B66" w:rsidRDefault="00E17C66">
    <w:pPr>
      <w:pBdr>
        <w:bottom w:val="single" w:sz="6" w:space="1" w:color="auto"/>
      </w:pBdr>
      <w:jc w:val="right"/>
      <w:rPr>
        <w:rFonts w:ascii="Arial" w:hAnsi="Arial"/>
        <w:b/>
        <w:color w:val="C00000"/>
        <w:sz w:val="36"/>
      </w:rPr>
    </w:pPr>
    <w:r>
      <w:rPr>
        <w:rFonts w:ascii="Arial" w:hAnsi="Arial"/>
        <w:b/>
        <w:color w:val="C00000"/>
        <w:sz w:val="36"/>
      </w:rPr>
      <w:t>UWA ELEC5551</w:t>
    </w:r>
  </w:p>
  <w:p w:rsidR="00E17C66" w:rsidRDefault="00E17C66">
    <w:pPr>
      <w:pBdr>
        <w:bottom w:val="single" w:sz="6" w:space="1" w:color="auto"/>
      </w:pBdr>
      <w:jc w:val="right"/>
      <w:rPr>
        <w:sz w:val="24"/>
      </w:rPr>
    </w:pPr>
  </w:p>
  <w:p w:rsidR="00E17C66" w:rsidRDefault="00E17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E17C66" w:rsidTr="00E52FEA">
      <w:tc>
        <w:tcPr>
          <w:tcW w:w="6345" w:type="dxa"/>
        </w:tcPr>
        <w:p w:rsidR="00E17C66" w:rsidRDefault="00E17C66">
          <w:r>
            <w:t>Solar Generation for Remote Borefields</w:t>
          </w:r>
        </w:p>
      </w:tc>
      <w:tc>
        <w:tcPr>
          <w:tcW w:w="3213" w:type="dxa"/>
        </w:tcPr>
        <w:p w:rsidR="00E17C66" w:rsidRDefault="00E17C66">
          <w:pPr>
            <w:tabs>
              <w:tab w:val="left" w:pos="1135"/>
            </w:tabs>
            <w:spacing w:before="40"/>
            <w:ind w:right="68"/>
          </w:pPr>
          <w:r>
            <w:t xml:space="preserve">  Version:           1.4</w:t>
          </w:r>
        </w:p>
      </w:tc>
    </w:tr>
    <w:tr w:rsidR="00E17C66" w:rsidTr="00E52FEA">
      <w:tc>
        <w:tcPr>
          <w:tcW w:w="6345" w:type="dxa"/>
        </w:tcPr>
        <w:p w:rsidR="00E17C66" w:rsidRDefault="00E17C66" w:rsidP="00CB0362">
          <w:r>
            <w:t>Individual Final Report</w:t>
          </w:r>
        </w:p>
      </w:tc>
      <w:tc>
        <w:tcPr>
          <w:tcW w:w="3213" w:type="dxa"/>
        </w:tcPr>
        <w:p w:rsidR="00E17C66" w:rsidRDefault="00E17C66">
          <w:r>
            <w:t xml:space="preserve">  Date:  17/05/2017</w:t>
          </w:r>
        </w:p>
      </w:tc>
    </w:tr>
    <w:tr w:rsidR="00E17C66" w:rsidTr="00E52FEA">
      <w:tc>
        <w:tcPr>
          <w:tcW w:w="6345" w:type="dxa"/>
        </w:tcPr>
        <w:p w:rsidR="00E17C66" w:rsidRDefault="00E17C66">
          <w:r>
            <w:t>&lt;document identifier&gt;</w:t>
          </w:r>
        </w:p>
      </w:tc>
      <w:tc>
        <w:tcPr>
          <w:tcW w:w="3213" w:type="dxa"/>
        </w:tcPr>
        <w:p w:rsidR="00E17C66" w:rsidRDefault="00E17C66">
          <w:r>
            <w:t xml:space="preserve">  (BMS source: COR 003 TPL)</w:t>
          </w:r>
        </w:p>
      </w:tc>
    </w:tr>
  </w:tbl>
  <w:p w:rsidR="00E17C66" w:rsidRDefault="00E17C66">
    <w:pPr>
      <w:pStyle w:val="Header"/>
    </w:pPr>
  </w:p>
  <w:p w:rsidR="00E17C66" w:rsidRDefault="00E17C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C66" w:rsidRDefault="00E17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4"/>
  </w:num>
  <w:num w:numId="5">
    <w:abstractNumId w:val="19"/>
  </w:num>
  <w:num w:numId="6">
    <w:abstractNumId w:val="18"/>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3"/>
  </w:num>
  <w:num w:numId="10">
    <w:abstractNumId w:val="5"/>
  </w:num>
  <w:num w:numId="11">
    <w:abstractNumId w:val="14"/>
  </w:num>
  <w:num w:numId="12">
    <w:abstractNumId w:val="12"/>
  </w:num>
  <w:num w:numId="13">
    <w:abstractNumId w:val="22"/>
  </w:num>
  <w:num w:numId="14">
    <w:abstractNumId w:val="11"/>
  </w:num>
  <w:num w:numId="15">
    <w:abstractNumId w:val="6"/>
  </w:num>
  <w:num w:numId="16">
    <w:abstractNumId w:val="21"/>
  </w:num>
  <w:num w:numId="17">
    <w:abstractNumId w:val="17"/>
  </w:num>
  <w:num w:numId="18">
    <w:abstractNumId w:val="7"/>
  </w:num>
  <w:num w:numId="19">
    <w:abstractNumId w:val="16"/>
  </w:num>
  <w:num w:numId="20">
    <w:abstractNumId w:val="9"/>
  </w:num>
  <w:num w:numId="21">
    <w:abstractNumId w:val="20"/>
  </w:num>
  <w:num w:numId="22">
    <w:abstractNumId w:val="4"/>
  </w:num>
  <w:num w:numId="23">
    <w:abstractNumId w:val="15"/>
  </w:num>
  <w:num w:numId="24">
    <w:abstractNumId w:val="8"/>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vaz0w262s5taeertmxewr65f5fadp22dza&quot;&gt;My EndNote Library&lt;record-ids&gt;&lt;item&gt;29&lt;/item&gt;&lt;item&gt;30&lt;/item&gt;&lt;/record-ids&gt;&lt;/item&gt;&lt;/Libraries&gt;"/>
  </w:docVars>
  <w:rsids>
    <w:rsidRoot w:val="00F670FB"/>
    <w:rsid w:val="00003459"/>
    <w:rsid w:val="00024784"/>
    <w:rsid w:val="00027C63"/>
    <w:rsid w:val="0004502E"/>
    <w:rsid w:val="00057A46"/>
    <w:rsid w:val="000676C4"/>
    <w:rsid w:val="00075CB7"/>
    <w:rsid w:val="00083D6B"/>
    <w:rsid w:val="00092B71"/>
    <w:rsid w:val="000B28E5"/>
    <w:rsid w:val="000C30EF"/>
    <w:rsid w:val="000D1FF7"/>
    <w:rsid w:val="00107E54"/>
    <w:rsid w:val="00127957"/>
    <w:rsid w:val="001420EB"/>
    <w:rsid w:val="001438BD"/>
    <w:rsid w:val="0015270A"/>
    <w:rsid w:val="001539A1"/>
    <w:rsid w:val="00154594"/>
    <w:rsid w:val="001575AC"/>
    <w:rsid w:val="00170373"/>
    <w:rsid w:val="001708D7"/>
    <w:rsid w:val="001951A0"/>
    <w:rsid w:val="0019613E"/>
    <w:rsid w:val="001964E4"/>
    <w:rsid w:val="001A0EEE"/>
    <w:rsid w:val="001A29E8"/>
    <w:rsid w:val="001A5A29"/>
    <w:rsid w:val="001B755B"/>
    <w:rsid w:val="0020419A"/>
    <w:rsid w:val="002066A5"/>
    <w:rsid w:val="00223383"/>
    <w:rsid w:val="002268AC"/>
    <w:rsid w:val="00286D8E"/>
    <w:rsid w:val="0029438F"/>
    <w:rsid w:val="002A57F9"/>
    <w:rsid w:val="002A5AE6"/>
    <w:rsid w:val="002A6FBA"/>
    <w:rsid w:val="002B3C30"/>
    <w:rsid w:val="002B4924"/>
    <w:rsid w:val="002B7281"/>
    <w:rsid w:val="002D42F6"/>
    <w:rsid w:val="00306673"/>
    <w:rsid w:val="00324FA3"/>
    <w:rsid w:val="00345AEB"/>
    <w:rsid w:val="00347001"/>
    <w:rsid w:val="00366EDB"/>
    <w:rsid w:val="00375ED8"/>
    <w:rsid w:val="00381B91"/>
    <w:rsid w:val="003905D8"/>
    <w:rsid w:val="003A568B"/>
    <w:rsid w:val="003A5D16"/>
    <w:rsid w:val="003C544A"/>
    <w:rsid w:val="003D0AB6"/>
    <w:rsid w:val="003E3C25"/>
    <w:rsid w:val="003E6C43"/>
    <w:rsid w:val="003F2468"/>
    <w:rsid w:val="004041D6"/>
    <w:rsid w:val="004048F7"/>
    <w:rsid w:val="00414B74"/>
    <w:rsid w:val="00426A9A"/>
    <w:rsid w:val="004329DE"/>
    <w:rsid w:val="004422BD"/>
    <w:rsid w:val="00445B32"/>
    <w:rsid w:val="004750F4"/>
    <w:rsid w:val="00477287"/>
    <w:rsid w:val="00496891"/>
    <w:rsid w:val="004A45DF"/>
    <w:rsid w:val="004A58D1"/>
    <w:rsid w:val="004B3D60"/>
    <w:rsid w:val="004D30B1"/>
    <w:rsid w:val="004D6422"/>
    <w:rsid w:val="004F3767"/>
    <w:rsid w:val="004F44BA"/>
    <w:rsid w:val="00502488"/>
    <w:rsid w:val="0051665A"/>
    <w:rsid w:val="00522EC2"/>
    <w:rsid w:val="0053067B"/>
    <w:rsid w:val="00536B8A"/>
    <w:rsid w:val="005460C4"/>
    <w:rsid w:val="00556BF5"/>
    <w:rsid w:val="00577F0A"/>
    <w:rsid w:val="00584123"/>
    <w:rsid w:val="0059272C"/>
    <w:rsid w:val="005A7B66"/>
    <w:rsid w:val="005B42A8"/>
    <w:rsid w:val="005B5957"/>
    <w:rsid w:val="005B7BE2"/>
    <w:rsid w:val="005C5129"/>
    <w:rsid w:val="005C6061"/>
    <w:rsid w:val="005E48A8"/>
    <w:rsid w:val="005F1607"/>
    <w:rsid w:val="006010E2"/>
    <w:rsid w:val="0061014E"/>
    <w:rsid w:val="00613601"/>
    <w:rsid w:val="00616289"/>
    <w:rsid w:val="00634466"/>
    <w:rsid w:val="00663D9C"/>
    <w:rsid w:val="00680468"/>
    <w:rsid w:val="0069418C"/>
    <w:rsid w:val="006A08E6"/>
    <w:rsid w:val="006A0FA9"/>
    <w:rsid w:val="006C6306"/>
    <w:rsid w:val="00716EF9"/>
    <w:rsid w:val="00724FB8"/>
    <w:rsid w:val="007363FB"/>
    <w:rsid w:val="00746E0A"/>
    <w:rsid w:val="00750856"/>
    <w:rsid w:val="00777869"/>
    <w:rsid w:val="00785552"/>
    <w:rsid w:val="00795E6D"/>
    <w:rsid w:val="00796D72"/>
    <w:rsid w:val="007A0C39"/>
    <w:rsid w:val="007B1F73"/>
    <w:rsid w:val="007C142B"/>
    <w:rsid w:val="007C3FB6"/>
    <w:rsid w:val="007D1B2E"/>
    <w:rsid w:val="007D3246"/>
    <w:rsid w:val="00800236"/>
    <w:rsid w:val="008063A8"/>
    <w:rsid w:val="00811077"/>
    <w:rsid w:val="00840A42"/>
    <w:rsid w:val="0084445B"/>
    <w:rsid w:val="008559AF"/>
    <w:rsid w:val="0086756E"/>
    <w:rsid w:val="008753D7"/>
    <w:rsid w:val="008830AC"/>
    <w:rsid w:val="00883EDC"/>
    <w:rsid w:val="008B2B5B"/>
    <w:rsid w:val="008C7B03"/>
    <w:rsid w:val="008E1B22"/>
    <w:rsid w:val="008E3D54"/>
    <w:rsid w:val="008F5D92"/>
    <w:rsid w:val="00900D94"/>
    <w:rsid w:val="009051B4"/>
    <w:rsid w:val="00906720"/>
    <w:rsid w:val="0091133E"/>
    <w:rsid w:val="00915DF0"/>
    <w:rsid w:val="0092310B"/>
    <w:rsid w:val="00927FE2"/>
    <w:rsid w:val="00944318"/>
    <w:rsid w:val="009460CB"/>
    <w:rsid w:val="00950989"/>
    <w:rsid w:val="0095528C"/>
    <w:rsid w:val="00960E17"/>
    <w:rsid w:val="00963AF2"/>
    <w:rsid w:val="00971C0C"/>
    <w:rsid w:val="009828AC"/>
    <w:rsid w:val="009B7BD6"/>
    <w:rsid w:val="009B7CD8"/>
    <w:rsid w:val="009F48C4"/>
    <w:rsid w:val="00A041DF"/>
    <w:rsid w:val="00A13EDC"/>
    <w:rsid w:val="00A22238"/>
    <w:rsid w:val="00A73A95"/>
    <w:rsid w:val="00A77D69"/>
    <w:rsid w:val="00A90809"/>
    <w:rsid w:val="00A937E1"/>
    <w:rsid w:val="00A97AD4"/>
    <w:rsid w:val="00AA38F8"/>
    <w:rsid w:val="00AC3B22"/>
    <w:rsid w:val="00AE44E3"/>
    <w:rsid w:val="00AE4B74"/>
    <w:rsid w:val="00B0028F"/>
    <w:rsid w:val="00B043DD"/>
    <w:rsid w:val="00B26C1F"/>
    <w:rsid w:val="00B3181F"/>
    <w:rsid w:val="00B6090A"/>
    <w:rsid w:val="00B802D5"/>
    <w:rsid w:val="00BA1D0E"/>
    <w:rsid w:val="00BD58BF"/>
    <w:rsid w:val="00BE1F3C"/>
    <w:rsid w:val="00BE2204"/>
    <w:rsid w:val="00BE3950"/>
    <w:rsid w:val="00C07AF5"/>
    <w:rsid w:val="00C118CE"/>
    <w:rsid w:val="00C165B6"/>
    <w:rsid w:val="00C634DA"/>
    <w:rsid w:val="00C73EA1"/>
    <w:rsid w:val="00C95DAC"/>
    <w:rsid w:val="00CB0362"/>
    <w:rsid w:val="00CB03D5"/>
    <w:rsid w:val="00CC7E8B"/>
    <w:rsid w:val="00CD04E2"/>
    <w:rsid w:val="00CD20A1"/>
    <w:rsid w:val="00CD76BC"/>
    <w:rsid w:val="00D00156"/>
    <w:rsid w:val="00D107A2"/>
    <w:rsid w:val="00D11D2D"/>
    <w:rsid w:val="00D22953"/>
    <w:rsid w:val="00D22EFA"/>
    <w:rsid w:val="00D406FE"/>
    <w:rsid w:val="00D4512C"/>
    <w:rsid w:val="00D70B53"/>
    <w:rsid w:val="00D83781"/>
    <w:rsid w:val="00D843E9"/>
    <w:rsid w:val="00D87AA8"/>
    <w:rsid w:val="00D96516"/>
    <w:rsid w:val="00DA3AD1"/>
    <w:rsid w:val="00DB0665"/>
    <w:rsid w:val="00DB3C61"/>
    <w:rsid w:val="00DC2843"/>
    <w:rsid w:val="00DD020D"/>
    <w:rsid w:val="00DF3AE5"/>
    <w:rsid w:val="00E037CF"/>
    <w:rsid w:val="00E06C98"/>
    <w:rsid w:val="00E07879"/>
    <w:rsid w:val="00E11A6A"/>
    <w:rsid w:val="00E12DD5"/>
    <w:rsid w:val="00E17C66"/>
    <w:rsid w:val="00E22850"/>
    <w:rsid w:val="00E22C3B"/>
    <w:rsid w:val="00E26110"/>
    <w:rsid w:val="00E36157"/>
    <w:rsid w:val="00E41057"/>
    <w:rsid w:val="00E435E0"/>
    <w:rsid w:val="00E52FEA"/>
    <w:rsid w:val="00E55C61"/>
    <w:rsid w:val="00E63774"/>
    <w:rsid w:val="00E67CA7"/>
    <w:rsid w:val="00E7628C"/>
    <w:rsid w:val="00E82F8A"/>
    <w:rsid w:val="00E85AB1"/>
    <w:rsid w:val="00EE1BCB"/>
    <w:rsid w:val="00EF136F"/>
    <w:rsid w:val="00F16AB4"/>
    <w:rsid w:val="00F16C3E"/>
    <w:rsid w:val="00F20D4C"/>
    <w:rsid w:val="00F55A5A"/>
    <w:rsid w:val="00F60C7E"/>
    <w:rsid w:val="00F670FB"/>
    <w:rsid w:val="00F74D26"/>
    <w:rsid w:val="00F819D6"/>
    <w:rsid w:val="00F823B3"/>
    <w:rsid w:val="00F84A84"/>
    <w:rsid w:val="00F9135A"/>
    <w:rsid w:val="00F9506C"/>
    <w:rsid w:val="00F96686"/>
    <w:rsid w:val="00FD5554"/>
    <w:rsid w:val="00FE50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4D023"/>
  <w15:chartTrackingRefBased/>
  <w15:docId w15:val="{DA963DDC-E374-45F0-A887-5C6A7E61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customStyle="1" w:styleId="EndNoteBibliographyTitle">
    <w:name w:val="EndNote Bibliography Title"/>
    <w:basedOn w:val="Normal"/>
    <w:link w:val="EndNoteBibliographyTitleChar"/>
    <w:rsid w:val="005F1607"/>
    <w:pPr>
      <w:jc w:val="center"/>
    </w:pPr>
    <w:rPr>
      <w:noProof/>
    </w:rPr>
  </w:style>
  <w:style w:type="character" w:customStyle="1" w:styleId="EndNoteBibliographyTitleChar">
    <w:name w:val="EndNote Bibliography Title Char"/>
    <w:link w:val="EndNoteBibliographyTitle"/>
    <w:rsid w:val="005F1607"/>
    <w:rPr>
      <w:noProof/>
      <w:lang w:val="en-US" w:eastAsia="en-US"/>
    </w:rPr>
  </w:style>
  <w:style w:type="paragraph" w:customStyle="1" w:styleId="EndNoteBibliography">
    <w:name w:val="EndNote Bibliography"/>
    <w:basedOn w:val="Normal"/>
    <w:link w:val="EndNoteBibliographyChar"/>
    <w:rsid w:val="005F1607"/>
    <w:rPr>
      <w:noProof/>
    </w:rPr>
  </w:style>
  <w:style w:type="character" w:customStyle="1" w:styleId="EndNoteBibliographyChar">
    <w:name w:val="EndNote Bibliography Char"/>
    <w:link w:val="EndNoteBibliography"/>
    <w:rsid w:val="005F1607"/>
    <w:rPr>
      <w:noProof/>
      <w:lang w:val="en-US" w:eastAsia="en-US"/>
    </w:rPr>
  </w:style>
  <w:style w:type="paragraph" w:styleId="Caption">
    <w:name w:val="caption"/>
    <w:basedOn w:val="Normal"/>
    <w:next w:val="Normal"/>
    <w:uiPriority w:val="35"/>
    <w:unhideWhenUsed/>
    <w:qFormat/>
    <w:rsid w:val="0092310B"/>
    <w:pPr>
      <w:spacing w:after="200" w:line="240" w:lineRule="auto"/>
    </w:pPr>
    <w:rPr>
      <w:i/>
      <w:iCs/>
      <w:color w:val="44546A" w:themeColor="text2"/>
      <w:sz w:val="18"/>
      <w:szCs w:val="18"/>
    </w:rPr>
  </w:style>
  <w:style w:type="paragraph" w:styleId="NormalWeb">
    <w:name w:val="Normal (Web)"/>
    <w:basedOn w:val="Normal"/>
    <w:uiPriority w:val="99"/>
    <w:semiHidden/>
    <w:unhideWhenUsed/>
    <w:rsid w:val="00E037CF"/>
    <w:pPr>
      <w:widowControl/>
      <w:spacing w:before="100" w:beforeAutospacing="1" w:after="100" w:afterAutospacing="1" w:line="240" w:lineRule="auto"/>
    </w:pPr>
    <w:rPr>
      <w:sz w:val="24"/>
      <w:szCs w:val="24"/>
      <w:lang w:val="en-AU" w:eastAsia="en-AU"/>
    </w:rPr>
  </w:style>
  <w:style w:type="character" w:styleId="PlaceholderText">
    <w:name w:val="Placeholder Text"/>
    <w:basedOn w:val="DefaultParagraphFont"/>
    <w:uiPriority w:val="99"/>
    <w:semiHidden/>
    <w:rsid w:val="00724FB8"/>
    <w:rPr>
      <w:color w:val="808080"/>
    </w:rPr>
  </w:style>
  <w:style w:type="table" w:styleId="TableGrid">
    <w:name w:val="Table Grid"/>
    <w:basedOn w:val="TableNormal"/>
    <w:uiPriority w:val="59"/>
    <w:rsid w:val="0090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77525">
      <w:bodyDiv w:val="1"/>
      <w:marLeft w:val="0"/>
      <w:marRight w:val="0"/>
      <w:marTop w:val="0"/>
      <w:marBottom w:val="0"/>
      <w:divBdr>
        <w:top w:val="none" w:sz="0" w:space="0" w:color="auto"/>
        <w:left w:val="none" w:sz="0" w:space="0" w:color="auto"/>
        <w:bottom w:val="none" w:sz="0" w:space="0" w:color="auto"/>
        <w:right w:val="none" w:sz="0" w:space="0" w:color="auto"/>
      </w:divBdr>
    </w:div>
    <w:div w:id="515273800">
      <w:bodyDiv w:val="1"/>
      <w:marLeft w:val="0"/>
      <w:marRight w:val="0"/>
      <w:marTop w:val="0"/>
      <w:marBottom w:val="0"/>
      <w:divBdr>
        <w:top w:val="none" w:sz="0" w:space="0" w:color="auto"/>
        <w:left w:val="none" w:sz="0" w:space="0" w:color="auto"/>
        <w:bottom w:val="none" w:sz="0" w:space="0" w:color="auto"/>
        <w:right w:val="none" w:sz="0" w:space="0" w:color="auto"/>
      </w:divBdr>
      <w:divsChild>
        <w:div w:id="13521440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33366-3B4E-440C-A0D2-4EBC7905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76</TotalTime>
  <Pages>11</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Steven Bardzovski</cp:lastModifiedBy>
  <cp:revision>16</cp:revision>
  <cp:lastPrinted>2000-03-22T01:18:00Z</cp:lastPrinted>
  <dcterms:created xsi:type="dcterms:W3CDTF">2017-05-17T01:03:00Z</dcterms:created>
  <dcterms:modified xsi:type="dcterms:W3CDTF">2017-05-17T02:19:00Z</dcterms:modified>
</cp:coreProperties>
</file>