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Heterogeneous Treatment Effect Estimation for Anti-VEGF Drug Selection</w:t>
      </w:r>
    </w:p>
    <w:p>
      <w:pPr>
        <w:spacing w:after="60"/>
        <w:jc w:val="center"/>
      </w:pPr>
      <w:r>
        <w:rPr>
          <w:rFonts w:ascii="Arial" w:cs="Arial" w:eastAsia="Arial" w:hAnsi="Arial"/>
          <w:b/>
          <w:bCs/>
          <w:sz w:val="32"/>
          <w:szCs w:val="32"/>
        </w:rPr>
        <w:t xml:space="preserve">in Neovascular Age-Related Macular Degeneration</w:t>
      </w:r>
    </w:p>
    <w:p>
      <w:pPr>
        <w:spacing w:after="60"/>
        <w:jc w:val="center"/>
      </w:pPr>
      <w:r>
        <w:rPr>
          <w:rFonts w:ascii="Arial" w:cs="Arial" w:eastAsia="Arial" w:hAnsi="Arial"/>
          <w:i/>
          <w:iCs/>
          <w:color w:val="555555"/>
          <w:sz w:val="24"/>
          <w:szCs w:val="24"/>
        </w:rPr>
        <w:t xml:space="preserve">A CATE Analysis of the Moorfields Eye Hospital AMD Dataset</w:t>
      </w:r>
    </w:p>
    <w:p>
      <w:pPr>
        <w:spacing w:after="300"/>
        <w:jc w:val="center"/>
      </w:pPr>
      <w:r>
        <w:rPr>
          <w:rFonts w:ascii="Arial" w:cs="Arial" w:eastAsia="Arial" w:hAnsi="Arial"/>
          <w:color w:val="555555"/>
          <w:sz w:val="22"/>
          <w:szCs w:val="22"/>
        </w:rPr>
        <w:t xml:space="preserve">Advaith Veturi  |  CPH200B Project</w:t>
      </w:r>
    </w:p>
    <w:p>
      <w:pPr>
        <w:pStyle w:val="Heading1"/>
      </w:pPr>
      <w:r>
        <w:t xml:space="preserve">1. Introduction</w:t>
      </w:r>
    </w:p>
    <w:p>
      <w:pPr>
        <w:spacing w:after="120"/>
      </w:pPr>
      <w:r>
        <w:t xml:space="preserve">Fu et al. (2020) analyzed 12 years of anti-VEGF therapy outcomes for neovascular AMD at Moorfields Eye Hospital, using Kaplan-Meier survival analysis and Cox proportional hazards models. Their key finding was that the probability of achieving good vision (VA </w:t>
      </w:r>
      <w:r>
        <w:rPr>
          <w:rFonts w:ascii="Arial" w:cs="Arial" w:eastAsia="Arial" w:hAnsi="Arial"/>
        </w:rPr>
        <w:t xml:space="preserve">≥</w:t>
      </w:r>
      <w:r>
        <w:t xml:space="preserve"> 70 ETDRS letters) did not differ significantly between aflibercept and ranibizumab (HR 0.92, p = .39). However, the authors explicitly acknowledged that </w:t>
      </w:r>
      <w:r>
        <w:rPr>
          <w:i/>
          <w:iCs/>
        </w:rPr>
        <w:t xml:space="preserve">"a cause-and-effect relationship cannot be established from such observational data."</w:t>
      </w:r>
    </w:p>
    <w:p>
      <w:pPr>
        <w:spacing w:after="120"/>
      </w:pPr>
      <w:r>
        <w:t xml:space="preserve">This report extends the original analysis by estimating </w:t>
      </w:r>
      <w:r>
        <w:rPr>
          <w:b/>
          <w:bCs/>
        </w:rPr>
        <w:t xml:space="preserve">conditional average treatment effects (CATE)</w:t>
      </w:r>
      <w:r>
        <w:t xml:space="preserve"> — individual-level treatment effects that vary across patient characteristics. The motivating clinical question is: for a given patient profile (age, baseline vision, disease characteristics), which drug would produce better visual outcomes? Even if the population-level effect is null, clinically actionable heterogeneity may exist beneath the average.</w:t>
      </w:r>
    </w:p>
    <w:p>
      <w:pPr>
        <w:pStyle w:val="Heading1"/>
      </w:pPr>
      <w:r>
        <w:t xml:space="preserve">2. Methods</w:t>
      </w:r>
    </w:p>
    <w:p>
      <w:pPr>
        <w:pStyle w:val="Heading2"/>
      </w:pPr>
      <w:r>
        <w:t xml:space="preserve">2.1 Analysis Sample</w:t>
      </w:r>
    </w:p>
    <w:p>
      <w:pPr>
        <w:spacing w:after="120"/>
      </w:pPr>
      <w:r>
        <w:t xml:space="preserve">The analysis sample was constructed from the 7,802-patient MEH AMD dataset. We restricted to patients with baseline VA &lt; 70 ETDRS letters (those who had not already achieved the outcome threshold) and who had either (a) achieved VA </w:t>
      </w:r>
      <w:r>
        <w:rPr>
          <w:rFonts w:ascii="Arial" w:cs="Arial" w:eastAsia="Arial" w:hAnsi="Arial"/>
        </w:rPr>
        <w:t xml:space="preserve">≥</w:t>
      </w:r>
      <w:r>
        <w:t xml:space="preserve"> 70 within 2 years, or (b) at least 730 days of follow-up without reaching the threshold. This yielded </w:t>
      </w:r>
      <w:r>
        <w:rPr>
          <w:b/>
          <w:bCs/>
        </w:rPr>
        <w:t xml:space="preserve">3,784 patients</w:t>
      </w:r>
      <w:r>
        <w:t xml:space="preserve"> (1,959 aflibercept, 1,825 ranibizumab). The outcome was binary: whether VA reached </w:t>
      </w:r>
      <w:r>
        <w:rPr>
          <w:rFonts w:ascii="Arial" w:cs="Arial" w:eastAsia="Arial" w:hAnsi="Arial"/>
        </w:rPr>
        <w:t xml:space="preserve">≥</w:t>
      </w:r>
      <w:r>
        <w:t xml:space="preserve"> 70 within 2 years of treatment initiation.</w:t>
      </w:r>
    </w:p>
    <w:p>
      <w:pPr>
        <w:spacing w:after="120"/>
      </w:pPr>
      <w:r>
        <w:t xml:space="preserve">Both pre-2013 and post-2013 patients were included in the primary analysis to maximize treatment balance, with the treatment era indicator included as a covariate. A sensitivity analysis restricted to post-2013 patients (where both drugs were available) was also conducted.</w:t>
      </w:r>
    </w:p>
    <w:p>
      <w:pPr>
        <w:pStyle w:val="Heading2"/>
      </w:pPr>
      <w:r>
        <w:t xml:space="preserve">2.2 Estimators</w:t>
      </w:r>
    </w:p>
    <w:p>
      <w:pPr>
        <w:spacing w:after="120"/>
      </w:pPr>
      <w:r>
        <w:t xml:space="preserve">Five CATE estimators were applied, all using 5-fold cross-fitting to avoid overfitting:</w:t>
      </w:r>
    </w:p>
    <w:p>
      <w:pPr>
        <w:spacing w:after="120"/>
      </w:pPr>
      <w:r>
        <w:rPr>
          <w:b/>
          <w:bCs/>
        </w:rPr>
        <w:t xml:space="preserve">S-Learner: </w:t>
      </w:r>
      <w:r>
        <w:t xml:space="preserve">A single gradient-boosted classifier with treatment as an additional feature. CATE is estimated by differencing predictions under T=1 and T=0. This approach is conservative and tends to shrink treatment effect heterogeneity toward zero.</w:t>
      </w:r>
    </w:p>
    <w:p>
      <w:pPr>
        <w:spacing w:after="120"/>
      </w:pPr>
      <w:r>
        <w:rPr>
          <w:b/>
          <w:bCs/>
        </w:rPr>
        <w:t xml:space="preserve">T-Learner: </w:t>
      </w:r>
      <w:r>
        <w:t xml:space="preserve">Separate gradient-boosted classifiers fitted independently on each treatment arm. CATE is the difference in predicted outcomes. This is more flexible than the S-Learner but prone to high variance when treatment arms have different sample sizes or covariate distributions.</w:t>
      </w:r>
    </w:p>
    <w:p>
      <w:pPr>
        <w:spacing w:after="120"/>
      </w:pPr>
      <w:r>
        <w:rPr>
          <w:b/>
          <w:bCs/>
        </w:rPr>
        <w:t xml:space="preserve">TARNet (Shalit et al., 2017): </w:t>
      </w:r>
      <w:r>
        <w:t xml:space="preserve">A neural network with shared representation layers feeding into two separate outcome heads. The shared representation learns features common to both treatment arms, while the separate heads learn treatment-specific outcome mappings. Implemented from scratch in NumPy with manual backpropagation, Adam optimizer, and early stopping.</w:t>
      </w:r>
    </w:p>
    <w:p>
      <w:pPr>
        <w:spacing w:after="120"/>
      </w:pPr>
      <w:r>
        <w:rPr>
          <w:b/>
          <w:bCs/>
        </w:rPr>
        <w:t xml:space="preserve">DragonNet (Shi et al., 2019): </w:t>
      </w:r>
      <w:r>
        <w:t xml:space="preserve">Extends TARNet by adding a propensity score head from the shared representation. The propensity head acts as a targeted regularizer, biasing the learned features toward those predictive of treatment assignment — exactly the confounding features. This reduces extrapolation error in regions of poor covariate overlap.</w:t>
      </w:r>
    </w:p>
    <w:p>
      <w:pPr>
        <w:spacing w:after="120"/>
      </w:pPr>
      <w:r>
        <w:rPr>
          <w:b/>
          <w:bCs/>
        </w:rPr>
        <w:t xml:space="preserve">X-Learner (Künzel et al., 2019): </w:t>
      </w:r>
      <w:r>
        <w:t xml:space="preserve">A three-stage procedure: (1) fit separate outcome models per arm, (2) impute individual treatment effects using cross-arm counterfactual predictions, (3) fit CATE models on the imputed effects and combine with propensity weighting. Designed for settings with treatment imbalance.</w:t>
      </w:r>
    </w:p>
    <w:p>
      <w:pPr>
        <w:spacing w:after="120"/>
      </w:pPr>
      <w:r>
        <w:t xml:space="preserve">Additionally, IPW and AIPW (doubly robust) ATE estimates were computed as sanity checks. The mean of the CATE estimates across patients should approximately equal the ATE.</w:t>
      </w:r>
    </w:p>
    <w:p>
      <w:pPr>
        <w:pStyle w:val="Heading1"/>
      </w:pPr>
      <w:r>
        <w:t xml:space="preserve">3. Results</w:t>
      </w:r>
    </w:p>
    <w:p>
      <w:pPr>
        <w:pStyle w:val="Heading2"/>
      </w:pPr>
      <w:r>
        <w:t xml:space="preserve">3.1 Propensity Score Diagnostics</w:t>
      </w:r>
    </w:p>
    <w:p>
      <w:pPr>
        <w:spacing w:after="120"/>
      </w:pPr>
      <w:r>
        <w:t xml:space="preserve">The propensity score model (logistic regression) achieved an AUC of 0.950, indicating that treatment assignment is highly predictable from baseline covariates. The dominant predictor was the post-2013 indicator (coefficient +4.39 on the logit scale), reflecting the fact that all aflibercept patients are post-2013 while 84.7% of ranibizumab patients are pre-2013.</w:t>
      </w:r>
    </w:p>
    <w:p>
      <w:pPr>
        <w:spacing w:after="120"/>
      </w:pPr>
      <w:r>
        <w:t xml:space="preserve">The propensity score distributions showed poor overlap between treatment arms: ranibizumab patients clustered near e(x) = 0, aflibercept patients near e(x) = 0.9. Only 56.6% of patients fell within the trimming bounds of [0.05, 0.95]. This limited overlap is the central challenge for causal inference in this dataset and means that a large fraction of the treatment effect is identified from the relatively small group of ~590 ranibizumab patients who initiated treatment post-2013.</w:t>
      </w:r>
    </w:p>
    <w:p>
      <w:pPr>
        <w:pStyle w:val="Heading2"/>
      </w:pPr>
      <w:r>
        <w:t xml:space="preserve">3.2 Average Treatment Effect Estimates</w:t>
      </w:r>
    </w:p>
    <w:p>
      <w:pPr>
        <w:spacing w:after="120"/>
      </w:pPr>
      <w:r>
        <w:t xml:space="preserve">The following table summarizes the ATE estimates across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ATE Estimate</w:t>
            </w:r>
          </w:p>
        </w:tc>
        <w:tc>
          <w:tcPr>
            <w:tcW w:type="dxa" w:w="33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95% CI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Naive difference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[−0.159, +0.098]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AIPW (doubly robust)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[−0.050, +0.046]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S-Learner (mean CATE)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T-Learner (mean CATE)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TARNet (mean CATE)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DragonNet (mean CATE)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X-Learner (mean CATE)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bl>
    <w:p>
      <w:pPr>
        <w:spacing w:after="120"/>
      </w:pPr>
    </w:p>
    <w:p>
      <w:pPr>
        <w:spacing w:after="120"/>
      </w:pPr>
      <w:r>
        <w:t xml:space="preserve">The AIPW estimate of −0.002 (95% CI: −0.050 to +0.046) confirms the original paper’s finding: there is no statistically significant average difference between the two drugs in the probability of achieving VA </w:t>
      </w:r>
      <w:r>
        <w:rPr>
          <w:rFonts w:ascii="Arial" w:cs="Arial" w:eastAsia="Arial" w:hAnsi="Arial"/>
        </w:rPr>
        <w:t xml:space="preserve">≥</w:t>
      </w:r>
      <w:r>
        <w:t xml:space="preserve"> 70 within 2 years. Six of eight methods produce mean effects within ±0.035 of zero. The naive estimate (+0.026) is slightly positive, but this reverses under adjustment, consistent with mild confounding favoring aflibercept in the unadjusted comparison.</w:t>
      </w:r>
    </w:p>
    <w:p>
      <w:pPr>
        <w:pStyle w:val="Heading2"/>
      </w:pPr>
      <w:r>
        <w:t xml:space="preserve">3.3 Heterogeneous Treatment Effects</w:t>
      </w:r>
    </w:p>
    <w:p>
      <w:pPr>
        <w:spacing w:after="120"/>
      </w:pPr>
      <w:r>
        <w:t xml:space="preserve">Despite the null ATE, the CATE estimates revealed several patterns of potential heterogeneity across patient subgroups. The X-Learner was used as the primary CATE estimator due to its suitability for imbalanced treatment settings.</w:t>
      </w:r>
    </w:p>
    <w:p>
      <w:pPr>
        <w:spacing w:after="120"/>
      </w:pPr>
      <w:r>
        <w:rPr>
          <w:b/>
          <w:bCs/>
        </w:rPr>
        <w:t xml:space="preserve">By baseline visual acuity: </w:t>
      </w:r>
      <w:r>
        <w:t xml:space="preserve">Patients with moderate-low baseline VA (36–49 ETDRS letters) showed the strongest estimated treatment difference, with a mean CATE of −0.098 (favoring ranibizumab). Patients with VA 50–69 showed effects close to zero (−0.016). This pattern was consistent across TARNet and the T-Learner.</w:t>
      </w:r>
    </w:p>
    <w:p>
      <w:pPr>
        <w:spacing w:after="120"/>
      </w:pPr>
      <w:r>
        <w:rPr>
          <w:b/>
          <w:bCs/>
        </w:rPr>
        <w:t xml:space="preserve">By age group: </w:t>
      </w:r>
      <w:r>
        <w:t xml:space="preserve">Treatment effects were relatively uniform across age groups, with mean CATEs ranging from +0.001 (age 50–59) to −0.045 (age 70–79). No age group showed a statistically clear advantage for either drug.</w:t>
      </w:r>
    </w:p>
    <w:p>
      <w:pPr>
        <w:spacing w:after="120"/>
      </w:pPr>
      <w:r>
        <w:rPr>
          <w:b/>
          <w:bCs/>
        </w:rPr>
        <w:t xml:space="preserve">By induction completion: </w:t>
      </w:r>
      <w:r>
        <w:t xml:space="preserve">Patients who failed to complete the induction phase showed a mean CATE of −0.135 (favoring ranibizumab), compared to −0.005 for those who completed induction. However, this finding requires careful interpretation: the loading variable is partly a post-treatment outcome, and the reasons for induction failure differ systematically between treatment eras. The induction failure rate was 31.2% for ranibizumab versus 9.8% for aflibercept (eTable, Fu et al.). This asymmetry likely reflects operational differences between the pre-2013 and post-2013 periods rather than a pure drug effect. Conditioning on a variable that is itself affected by treatment era introduces potential bias.</w:t>
      </w:r>
    </w:p>
    <w:p>
      <w:pPr>
        <w:pStyle w:val="Heading2"/>
      </w:pPr>
      <w:r>
        <w:t xml:space="preserve">3.4 CATE Heatmap: Baseline VA × Age</w:t>
      </w:r>
    </w:p>
    <w:p>
      <w:pPr>
        <w:spacing w:after="120"/>
      </w:pPr>
      <w:r>
        <w:t xml:space="preserve">The CATE heatmap over baseline VA × age group revealed one notable cell: patients aged 60–69 with baseline VA 36–49 showed a CATE of −0.238 (X-Learner) and −0.094 (TARNet), consistently favoring ranibizumab. However, this cell contained only 64 patients, limiting the reliability of this estimate. For the largest patient subgroup (VA 50–69, age &gt;80, n = 1,161), the CATE was near zero across all methods (−0.006 to +0.033), suggesting the two drugs are effectively interchangeable for these patients.</w:t>
      </w:r>
    </w:p>
    <w:p>
      <w:pPr>
        <w:pStyle w:val="Heading2"/>
      </w:pPr>
      <w:r>
        <w:t xml:space="preserve">3.5 Cross-Method Agreement and Calibration</w:t>
      </w:r>
    </w:p>
    <w:p>
      <w:pPr>
        <w:spacing w:after="120"/>
      </w:pPr>
      <w:r>
        <w:t xml:space="preserve">The five CATE estimators showed partial agreement. Four of five methods (S-Learner, T-Learner, TARNet, X-Learner) produced negative mean CATEs, slightly favoring ranibizumab, while DragonNet was the sole method favoring aflibercept (+0.028). This disagreement is informative: DragonNet’s propensity-regularized representation handles the confounding structure differently, and its deviation suggests sensitivity to how the strong era effect is modeled.</w:t>
      </w:r>
    </w:p>
    <w:p>
      <w:pPr>
        <w:spacing w:after="120"/>
      </w:pPr>
      <w:r>
        <w:t xml:space="preserve">The CATE calibration check — comparing predicted CATE quintiles against observed within-bin treatment differences — revealed poor calibration. The observed treatment effects were essentially flat across bins, while predicted CATEs ranged from −0.25 to +0.20. This indicates that the estimated heterogeneity should be interpreted cautiously; the models are detecting patterns in the data that do not robustly replicate when checked against held-out subgroups.</w:t>
      </w:r>
    </w:p>
    <w:p>
      <w:pPr>
        <w:pStyle w:val="Heading2"/>
      </w:pPr>
      <w:r>
        <w:t xml:space="preserve">3.6 Sensitivity Analysis: Post-2013 Patients</w:t>
      </w:r>
    </w:p>
    <w:p>
      <w:pPr>
        <w:spacing w:after="120"/>
      </w:pPr>
      <w:r>
        <w:t xml:space="preserve">Restricting to post-2013 patients (n = 2,156; 1,959 aflibercept, 197 ranibizumab) removed era confounding but introduced severe treatment imbalance (9.9:1 ratio). In this restricted sample, the propensity model AUC dropped to 0.555 (near chance), indicating that within the post-2013 cohort, treatment assignment was not strongly predicted by observed covariates — a more favorable setting for causal inference, though with far less statistical power. The X-Learner, T-Learner, and DragonNet all produced negative mean CATEs (−0.022 to −0.041) in this sample, directionally consistent with the primary analysis.</w:t>
      </w:r>
    </w:p>
    <w:p>
      <w:pPr>
        <w:pStyle w:val="Heading1"/>
      </w:pPr>
      <w:r>
        <w:t xml:space="preserve">4. Discussion</w:t>
      </w:r>
    </w:p>
    <w:p>
      <w:pPr>
        <w:pStyle w:val="Heading2"/>
      </w:pPr>
      <w:r>
        <w:t xml:space="preserve">4.1 Clinical Interpretation</w:t>
      </w:r>
    </w:p>
    <w:p>
      <w:pPr>
        <w:spacing w:after="120"/>
      </w:pPr>
      <w:r>
        <w:t xml:space="preserve">The central finding is that the CATE analysis corroborates the original paper’s null result at the population level while providing suggestive evidence of heterogeneity in specific subgroups. For the majority of patients — particularly those with moderate baseline vision (VA 50–69) and older age (&gt;80) — the two drugs appear causally equivalent. This has direct cost implications: ranibizumab and aflibercept have different pricing structures in NHS settings, and identifying subgroups where both drugs produce equivalent outcomes could inform cost-effective prescribing without compromising visual outcomes.</w:t>
      </w:r>
    </w:p>
    <w:p>
      <w:pPr>
        <w:spacing w:after="120"/>
      </w:pPr>
      <w:r>
        <w:t xml:space="preserve">The finding that patients with lower baseline VA (36–49) may differentially benefit from ranibizumab is hypothesis-generating rather than confirmatory. The sample sizes in these cells are small, the calibration check was poor, and the estimate is not robust across all methods. Any clinical application would require validation in an independent cohort or, ideally, a randomized trial stratified by baseline VA.</w:t>
      </w:r>
    </w:p>
    <w:p>
      <w:pPr>
        <w:pStyle w:val="Heading2"/>
      </w:pPr>
      <w:r>
        <w:t xml:space="preserve">4.2 The Bundle Effect Problem</w:t>
      </w:r>
    </w:p>
    <w:p>
      <w:pPr>
        <w:spacing w:after="120"/>
      </w:pPr>
      <w:r>
        <w:t xml:space="preserve">A key interpretive challenge is that the drug comparison in this dataset is not a clean drug-only comparison. Aflibercept was introduced in October 2013 alongside a transition from pro re nata to treat-and-extend dosing protocols. As the original authors noted, this means the observed "drug effect" is confounded with protocol changes, service delivery improvements, and secular trends in clinical practice. The CATE estimates inherit this confounding: what we call τ(x) is more precisely the effect of the aflibercept-plus-treat-and-extend bundle versus the ranibizumab-plus-earlier-protocol bundle, conditional on patient characteristics x.</w:t>
      </w:r>
    </w:p>
    <w:p>
      <w:pPr>
        <w:spacing w:after="120"/>
      </w:pPr>
      <w:r>
        <w:t xml:space="preserve">This bundle effect is most apparent in the induction completion analysis. The large asymmetry in loading rates (90.2% for aflibercept vs. 68.8% for ranibizumab) likely reflects operational changes across eras. Aflibercept patients were treated in a more mature service with established protocols, while ranibizumab patients — particularly those treated in the early years — may have experienced scheduling and capacity constraints. This means the CATE estimates stratified by loading status conflate drug effects with era effects, and the apparent disadvantage of aflibercept among non-loaded patients may be an artifact of differential selection into the non-loaded category.</w:t>
      </w:r>
    </w:p>
    <w:p>
      <w:pPr>
        <w:pStyle w:val="Heading2"/>
      </w:pPr>
      <w:r>
        <w:t xml:space="preserve">4.3 Overlap and Identification</w:t>
      </w:r>
    </w:p>
    <w:p>
      <w:pPr>
        <w:spacing w:after="120"/>
      </w:pPr>
      <w:r>
        <w:t xml:space="preserve">The propensity score diagnostics revealed the fundamental identification challenge in this dataset. With an AUC of 0.950 and near-complete separation of propensity distributions, the treatment assignment is almost deterministic given the covariates — primarily because the era variable perfectly separates most patients. This means the CATE estimates rely heavily on the narrow overlap region: the ~590 ranibizumab patients who initiated treatment post-2013 and the ~388 aflibercept patients with characteristics similar to the pre-2013 ranibizumab cohort.</w:t>
      </w:r>
    </w:p>
    <w:p>
      <w:pPr>
        <w:spacing w:after="120"/>
      </w:pPr>
      <w:r>
        <w:t xml:space="preserve">This limited overlap explains the high variance in CATE estimates (T-Learner and X-Learner produced ranges spanning ±0.95) and the poor calibration. It also explains the DragonNet–TARNet divergence: DragonNet’s propensity head biases the representation toward the era variable (the dominant confounder), which changes how it extrapolates outcomes for patients outside the overlap region.</w:t>
      </w:r>
    </w:p>
    <w:p>
      <w:pPr>
        <w:pStyle w:val="Heading2"/>
      </w:pPr>
      <w:r>
        <w:t xml:space="preserve">4.4 Methodological Considerations</w:t>
      </w:r>
    </w:p>
    <w:p>
      <w:pPr>
        <w:spacing w:after="120"/>
      </w:pPr>
      <w:r>
        <w:t xml:space="preserve">The comparison across five CATE estimators serves as a robustness check. The S-Learner’s narrow CATE distribution (std = 0.057) reflects its known bias toward shrinking heterogeneity. The T-Learner’s high variance (std = 0.248) reflects the instability of fitting separate models on arms with different covariate distributions. TARNet’s shared representation provides a middle ground (std = 0.173), and the X-Learner’s propensity-weighted combination (std = 0.192) was chosen as the primary estimator for its theoretical properties under treatment imbalance.</w:t>
      </w:r>
    </w:p>
    <w:p>
      <w:pPr>
        <w:spacing w:after="120"/>
      </w:pPr>
      <w:r>
        <w:t xml:space="preserve">The TARNet and DragonNet implementations were built from scratch in NumPy (with a PyTorch version provided for GPU-enabled environments). While these lack the computational optimizations of production deep learning frameworks, they provide full transparency into the network architecture and training procedure, which is important for a causal inference application where understanding model behavior matters more than raw predictive performance.</w:t>
      </w:r>
    </w:p>
    <w:p>
      <w:pPr>
        <w:pStyle w:val="Heading1"/>
      </w:pPr>
      <w:r>
        <w:t xml:space="preserve">5. Limitations</w:t>
      </w:r>
    </w:p>
    <w:p>
      <w:pPr>
        <w:spacing w:after="120"/>
      </w:pPr>
      <w:r>
        <w:t xml:space="preserve">Several limitations should be noted. First, the binary outcome (VA </w:t>
      </w:r>
      <w:r>
        <w:rPr>
          <w:rFonts w:ascii="Arial" w:cs="Arial" w:eastAsia="Arial" w:hAnsi="Arial"/>
        </w:rPr>
        <w:t xml:space="preserve">≥</w:t>
      </w:r>
      <w:r>
        <w:t xml:space="preserve"> 70 within 2 years) discards information about the magnitude and timing of visual improvement. A continuous outcome (VA change) or time-to-event framing could capture subtler treatment effects. Second, the age variable is available only as a categorical group (50–59, 60–69, 70–79, &gt;80), limiting the resolution of the CATE surface. Third, the dataset does not include clinical features such as lesion type, lesion size, or OCT-derived biomarkers, which are known to influence treatment response. Fourth, the 2-year outcome horizon may be too short to capture differential long-term trajectories, particularly for the VA </w:t>
      </w:r>
      <w:r>
        <w:rPr>
          <w:rFonts w:ascii="Arial" w:cs="Arial" w:eastAsia="Arial" w:hAnsi="Arial"/>
        </w:rPr>
        <w:t xml:space="preserve">≤</w:t>
      </w:r>
      <w:r>
        <w:t xml:space="preserve"> 35 deterioration outcome that the original paper found took a median of 8.7 years.</w:t>
      </w:r>
    </w:p>
    <w:p>
      <w:pPr>
        <w:pStyle w:val="Heading1"/>
      </w:pPr>
      <w:r>
        <w:t xml:space="preserve">6. Conclusion</w:t>
      </w:r>
    </w:p>
    <w:p>
      <w:pPr>
        <w:spacing w:after="120"/>
      </w:pPr>
      <w:r>
        <w:t xml:space="preserve">This analysis demonstrates the application of modern causal inference methods to estimate heterogeneous treatment effects from a large real-world ophthalmology dataset. The population-level finding is clear: there is no meaningful average difference between aflibercept and ranibizumab in the probability of achieving good vision within 2 years. The individual-level findings are more tentative: there is suggestive but poorly calibrated evidence of heterogeneity, particularly for patients with moderate-low baseline vision.</w:t>
      </w:r>
    </w:p>
    <w:p>
      <w:pPr>
        <w:spacing w:after="120"/>
      </w:pPr>
      <w:r>
        <w:t xml:space="preserve">The most robust and clinically actionable finding may be the null result itself — that for the largest patient subgroups, the two drugs appear interchangeable. Combined with cost data, this supports the possibility of preferential prescribing of the less expensive agent for these patients. However, the strong era confounding and limited treatment overlap in this dataset constrain the confidence with which any causal claim can be made, reinforcing the original authors’ conclusion that a randomized trial remains necessary to establish drug-specific effects.</w:t>
      </w:r>
    </w:p>
    <w:p>
      <w:pPr>
        <w:pStyle w:val="Heading1"/>
      </w:pPr>
      <w:r>
        <w:t xml:space="preserve">References</w:t>
      </w:r>
    </w:p>
    <w:p>
      <w:pPr>
        <w:spacing w:after="120"/>
      </w:pPr>
      <w:r>
        <w:t xml:space="preserve">Fu DJ, Keenan TD, Faes L, et al. Insights from survival analyses during 12 years of anti-vascular endothelial growth factor therapy for neovascular age-related macular degeneration. </w:t>
      </w:r>
      <w:r>
        <w:rPr>
          <w:i/>
          <w:iCs/>
        </w:rPr>
        <w:t xml:space="preserve">JAMA Ophthalmol.</w:t>
      </w:r>
      <w:r>
        <w:t xml:space="preserve"> 2021;139(1):57–67.</w:t>
      </w:r>
    </w:p>
    <w:p>
      <w:pPr>
        <w:spacing w:after="120"/>
      </w:pPr>
      <w:r>
        <w:t xml:space="preserve">Künzel SR, Sekhon JS, Bickel PJ, Yu B. Metalearners for estimating heterogeneous treatment effects using machine learning. </w:t>
      </w:r>
      <w:r>
        <w:rPr>
          <w:i/>
          <w:iCs/>
        </w:rPr>
        <w:t xml:space="preserve">Proc Natl Acad Sci.</w:t>
      </w:r>
      <w:r>
        <w:t xml:space="preserve"> 2019;116(10):4156–4165.</w:t>
      </w:r>
    </w:p>
    <w:p>
      <w:pPr>
        <w:spacing w:after="120"/>
      </w:pPr>
      <w:r>
        <w:t xml:space="preserve">Shalit U, Johansson FD, Sontag D. Estimating individual treatment effect: generalization bounds and algorithms. </w:t>
      </w:r>
      <w:r>
        <w:rPr>
          <w:i/>
          <w:iCs/>
        </w:rPr>
        <w:t xml:space="preserve">Proc ICML.</w:t>
      </w:r>
      <w:r>
        <w:t xml:space="preserve"> 2017:3076–3085.</w:t>
      </w:r>
    </w:p>
    <w:p>
      <w:pPr>
        <w:spacing w:after="120"/>
      </w:pPr>
      <w:r>
        <w:t xml:space="preserve">Shi C, Blei D, Veitch V. Adapting neural networks for the estimation of treatment effects. </w:t>
      </w:r>
      <w:r>
        <w:rPr>
          <w:i/>
          <w:iCs/>
        </w:rPr>
        <w:t xml:space="preserve">Proc NeurIPS.</w:t>
      </w:r>
      <w:r>
        <w:t xml:space="preserve"> 2019;32.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CATE Analysis: Anti-VEGF Drug Selection in AMD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6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2026-03-18T23:59:47.063Z</dcterms:created>
  <dcterms:modified xsi:type="dcterms:W3CDTF">2026-03-18T23:59:47.064Z</dcterms:modified>
</cp:coreProperties>
</file>

<file path=docProps/custom.xml><?xml version="1.0" encoding="utf-8"?>
<Properties xmlns="http://schemas.openxmlformats.org/officeDocument/2006/custom-properties" xmlns:vt="http://schemas.openxmlformats.org/officeDocument/2006/docPropsVTypes"/>
</file>