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702872" w14:textId="77777777" w:rsidR="006C46AC" w:rsidRPr="006C46AC" w:rsidRDefault="006C46AC" w:rsidP="006C46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46AC">
        <w:rPr>
          <w:rFonts w:ascii="Times New Roman" w:eastAsia="Times New Roman" w:hAnsi="Times New Roman" w:cs="Times New Roman"/>
          <w:b/>
          <w:bCs/>
          <w:kern w:val="0"/>
          <w:sz w:val="36"/>
          <w:szCs w:val="36"/>
          <w14:ligatures w14:val="none"/>
        </w:rPr>
        <w:t xml:space="preserve">Initial Appraisal: 25/02275/STPLF, Land East of Kenley House Farm, </w:t>
      </w:r>
      <w:proofErr w:type="spellStart"/>
      <w:r w:rsidRPr="006C46AC">
        <w:rPr>
          <w:rFonts w:ascii="Times New Roman" w:eastAsia="Times New Roman" w:hAnsi="Times New Roman" w:cs="Times New Roman"/>
          <w:b/>
          <w:bCs/>
          <w:kern w:val="0"/>
          <w:sz w:val="36"/>
          <w:szCs w:val="36"/>
          <w14:ligatures w14:val="none"/>
        </w:rPr>
        <w:t>Wawne</w:t>
      </w:r>
      <w:proofErr w:type="spellEnd"/>
    </w:p>
    <w:p w14:paraId="06CC668C" w14:textId="77777777" w:rsidR="006C46AC" w:rsidRPr="006C46AC" w:rsidRDefault="006C46AC" w:rsidP="006C46AC">
      <w:p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i/>
          <w:iCs/>
          <w:kern w:val="0"/>
          <w14:ligatures w14:val="none"/>
        </w:rPr>
        <w:t>Based on the 123 documents in the bundle (August 2025 to August 2026). Citations give the bundle document number and page or paragraph.</w:t>
      </w:r>
    </w:p>
    <w:p w14:paraId="6A86C71F" w14:textId="77777777" w:rsidR="006C46AC" w:rsidRPr="006C46AC" w:rsidRDefault="006C46AC" w:rsidP="006C46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46AC">
        <w:rPr>
          <w:rFonts w:ascii="Times New Roman" w:eastAsia="Times New Roman" w:hAnsi="Times New Roman" w:cs="Times New Roman"/>
          <w:b/>
          <w:bCs/>
          <w:kern w:val="0"/>
          <w:sz w:val="27"/>
          <w:szCs w:val="27"/>
          <w14:ligatures w14:val="none"/>
        </w:rPr>
        <w:t>1. Application summary</w:t>
      </w:r>
    </w:p>
    <w:p w14:paraId="4F91EE4A" w14:textId="77777777" w:rsidR="006C46AC" w:rsidRPr="006C46AC" w:rsidRDefault="006C46AC" w:rsidP="006C46A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Reference:</w:t>
      </w:r>
      <w:r w:rsidRPr="006C46AC">
        <w:rPr>
          <w:rFonts w:ascii="Times New Roman" w:eastAsia="Times New Roman" w:hAnsi="Times New Roman" w:cs="Times New Roman"/>
          <w:kern w:val="0"/>
          <w14:ligatures w14:val="none"/>
        </w:rPr>
        <w:t xml:space="preserve"> East Riding of Yorkshire Council (ERYC) 25/02275/STPLF; Planning Portal PP-13907683 (Doc 23, p.1)</w:t>
      </w:r>
    </w:p>
    <w:p w14:paraId="2C6F7AA7" w14:textId="77777777" w:rsidR="006C46AC" w:rsidRPr="006C46AC" w:rsidRDefault="006C46AC" w:rsidP="006C46A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Applicant / agent:</w:t>
      </w:r>
      <w:r w:rsidRPr="006C46AC">
        <w:rPr>
          <w:rFonts w:ascii="Times New Roman" w:eastAsia="Times New Roman" w:hAnsi="Times New Roman" w:cs="Times New Roman"/>
          <w:kern w:val="0"/>
          <w14:ligatures w14:val="none"/>
        </w:rPr>
        <w:t xml:space="preserve"> Lighthouse Property Holdings Ltd / Lighthouse Development Consulting (Doc 23, pp.2–3)</w:t>
      </w:r>
    </w:p>
    <w:p w14:paraId="4BC1367A" w14:textId="77777777" w:rsidR="006C46AC" w:rsidRPr="006C46AC" w:rsidRDefault="006C46AC" w:rsidP="006C46A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Site:</w:t>
      </w:r>
      <w:r w:rsidRPr="006C46AC">
        <w:rPr>
          <w:rFonts w:ascii="Times New Roman" w:eastAsia="Times New Roman" w:hAnsi="Times New Roman" w:cs="Times New Roman"/>
          <w:kern w:val="0"/>
          <w14:ligatures w14:val="none"/>
        </w:rPr>
        <w:t xml:space="preserve"> Ferry Road, </w:t>
      </w:r>
      <w:proofErr w:type="spellStart"/>
      <w:r w:rsidRPr="006C46AC">
        <w:rPr>
          <w:rFonts w:ascii="Times New Roman" w:eastAsia="Times New Roman" w:hAnsi="Times New Roman" w:cs="Times New Roman"/>
          <w:kern w:val="0"/>
          <w14:ligatures w14:val="none"/>
        </w:rPr>
        <w:t>Wawne</w:t>
      </w:r>
      <w:proofErr w:type="spellEnd"/>
      <w:r w:rsidRPr="006C46AC">
        <w:rPr>
          <w:rFonts w:ascii="Times New Roman" w:eastAsia="Times New Roman" w:hAnsi="Times New Roman" w:cs="Times New Roman"/>
          <w:kern w:val="0"/>
          <w14:ligatures w14:val="none"/>
        </w:rPr>
        <w:t xml:space="preserve"> HU7 5XY, 76.70 ha (Doc 23, pp.1, 4)</w:t>
      </w:r>
    </w:p>
    <w:p w14:paraId="4E53D00B" w14:textId="77777777" w:rsidR="006C46AC" w:rsidRPr="006C46AC" w:rsidRDefault="006C46AC" w:rsidP="006C46A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Proposal:</w:t>
      </w:r>
      <w:r w:rsidRPr="006C46AC">
        <w:rPr>
          <w:rFonts w:ascii="Times New Roman" w:eastAsia="Times New Roman" w:hAnsi="Times New Roman" w:cs="Times New Roman"/>
          <w:kern w:val="0"/>
          <w14:ligatures w14:val="none"/>
        </w:rPr>
        <w:t xml:space="preserve"> Ground-mounted solar PV, up to 49.99 MW AC, with a 40-year temporary consent (Doc 23, p.4)</w:t>
      </w:r>
    </w:p>
    <w:p w14:paraId="00611B27" w14:textId="77777777" w:rsidR="006C46AC" w:rsidRPr="006C46AC" w:rsidRDefault="006C46AC" w:rsidP="006C46A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Status:</w:t>
      </w:r>
      <w:r w:rsidRPr="006C46AC">
        <w:rPr>
          <w:rFonts w:ascii="Times New Roman" w:eastAsia="Times New Roman" w:hAnsi="Times New Roman" w:cs="Times New Roman"/>
          <w:kern w:val="0"/>
          <w14:ligatures w14:val="none"/>
        </w:rPr>
        <w:t xml:space="preserve"> Validated 26 Aug 2025 under a Planning Performance Agreement. Amended information was submitted from Dec 2025 to Aug 2026. No target decision date is stated (Doc 70, p.1). Not yet determined.</w:t>
      </w:r>
    </w:p>
    <w:p w14:paraId="285B62E3" w14:textId="77777777" w:rsidR="006C46AC" w:rsidRPr="006C46AC" w:rsidRDefault="006C46AC" w:rsidP="006C46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46AC">
        <w:rPr>
          <w:rFonts w:ascii="Times New Roman" w:eastAsia="Times New Roman" w:hAnsi="Times New Roman" w:cs="Times New Roman"/>
          <w:b/>
          <w:bCs/>
          <w:kern w:val="0"/>
          <w:sz w:val="27"/>
          <w:szCs w:val="27"/>
          <w14:ligatures w14:val="none"/>
        </w:rPr>
        <w:t>2. Site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6"/>
        <w:gridCol w:w="5955"/>
        <w:gridCol w:w="1349"/>
      </w:tblGrid>
      <w:tr w:rsidR="006C46AC" w:rsidRPr="006C46AC" w14:paraId="016DA801" w14:textId="77777777" w:rsidTr="0053652E">
        <w:trPr>
          <w:tblHeader/>
          <w:tblCellSpacing w:w="15" w:type="dxa"/>
        </w:trPr>
        <w:tc>
          <w:tcPr>
            <w:tcW w:w="0" w:type="auto"/>
            <w:vAlign w:val="center"/>
            <w:hideMark/>
          </w:tcPr>
          <w:p w14:paraId="54ED6F63" w14:textId="77777777" w:rsidR="006C46AC" w:rsidRPr="006C46AC" w:rsidRDefault="006C46AC" w:rsidP="006C46AC">
            <w:pPr>
              <w:spacing w:after="0" w:line="240" w:lineRule="auto"/>
              <w:jc w:val="center"/>
              <w:rPr>
                <w:rFonts w:ascii="Times New Roman" w:eastAsia="Times New Roman" w:hAnsi="Times New Roman" w:cs="Times New Roman"/>
                <w:b/>
                <w:bCs/>
                <w:kern w:val="0"/>
                <w14:ligatures w14:val="none"/>
              </w:rPr>
            </w:pPr>
            <w:r w:rsidRPr="006C46AC">
              <w:rPr>
                <w:rFonts w:ascii="Times New Roman" w:eastAsia="Times New Roman" w:hAnsi="Times New Roman" w:cs="Times New Roman"/>
                <w:b/>
                <w:bCs/>
                <w:kern w:val="0"/>
                <w14:ligatures w14:val="none"/>
              </w:rPr>
              <w:t>Topic</w:t>
            </w:r>
          </w:p>
        </w:tc>
        <w:tc>
          <w:tcPr>
            <w:tcW w:w="0" w:type="auto"/>
            <w:vAlign w:val="center"/>
            <w:hideMark/>
          </w:tcPr>
          <w:p w14:paraId="33D717C9" w14:textId="77777777" w:rsidR="006C46AC" w:rsidRPr="006C46AC" w:rsidRDefault="006C46AC" w:rsidP="006C46AC">
            <w:pPr>
              <w:spacing w:after="0" w:line="240" w:lineRule="auto"/>
              <w:jc w:val="center"/>
              <w:rPr>
                <w:rFonts w:ascii="Times New Roman" w:eastAsia="Times New Roman" w:hAnsi="Times New Roman" w:cs="Times New Roman"/>
                <w:b/>
                <w:bCs/>
                <w:kern w:val="0"/>
                <w14:ligatures w14:val="none"/>
              </w:rPr>
            </w:pPr>
            <w:r w:rsidRPr="006C46AC">
              <w:rPr>
                <w:rFonts w:ascii="Times New Roman" w:eastAsia="Times New Roman" w:hAnsi="Times New Roman" w:cs="Times New Roman"/>
                <w:b/>
                <w:bCs/>
                <w:kern w:val="0"/>
                <w14:ligatures w14:val="none"/>
              </w:rPr>
              <w:t>Findings</w:t>
            </w:r>
          </w:p>
        </w:tc>
        <w:tc>
          <w:tcPr>
            <w:tcW w:w="0" w:type="auto"/>
            <w:vAlign w:val="center"/>
            <w:hideMark/>
          </w:tcPr>
          <w:p w14:paraId="5DB8464C" w14:textId="77777777" w:rsidR="006C46AC" w:rsidRPr="006C46AC" w:rsidRDefault="006C46AC" w:rsidP="006C46AC">
            <w:pPr>
              <w:spacing w:after="0" w:line="240" w:lineRule="auto"/>
              <w:jc w:val="center"/>
              <w:rPr>
                <w:rFonts w:ascii="Times New Roman" w:eastAsia="Times New Roman" w:hAnsi="Times New Roman" w:cs="Times New Roman"/>
                <w:b/>
                <w:bCs/>
                <w:kern w:val="0"/>
                <w14:ligatures w14:val="none"/>
              </w:rPr>
            </w:pPr>
            <w:r w:rsidRPr="006C46AC">
              <w:rPr>
                <w:rFonts w:ascii="Times New Roman" w:eastAsia="Times New Roman" w:hAnsi="Times New Roman" w:cs="Times New Roman"/>
                <w:b/>
                <w:bCs/>
                <w:kern w:val="0"/>
                <w14:ligatures w14:val="none"/>
              </w:rPr>
              <w:t>Rating</w:t>
            </w:r>
          </w:p>
        </w:tc>
      </w:tr>
      <w:tr w:rsidR="006C46AC" w:rsidRPr="006C46AC" w14:paraId="2B89A5D3" w14:textId="77777777" w:rsidTr="0053652E">
        <w:trPr>
          <w:tblCellSpacing w:w="15" w:type="dxa"/>
        </w:trPr>
        <w:tc>
          <w:tcPr>
            <w:tcW w:w="0" w:type="auto"/>
            <w:vAlign w:val="center"/>
            <w:hideMark/>
          </w:tcPr>
          <w:p w14:paraId="66D2F265"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Agricultural land and BMV share</w:t>
            </w:r>
          </w:p>
        </w:tc>
        <w:tc>
          <w:tcPr>
            <w:tcW w:w="0" w:type="auto"/>
            <w:vAlign w:val="center"/>
            <w:hideMark/>
          </w:tcPr>
          <w:p w14:paraId="45AA0A33"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 xml:space="preserve">Survey of 73.2 ha: 1.3 ha Grade 3a (about 2%) and 71.9 ha Grade 3b, limited by wetness (Doc 1, pp.3, 8). The applicant calls the 1.3 ha temporary BMV loss not significant (Doc 8, §§8.10.4–8.10.9). The LPA’s ALC review disputes the survey: flood risk was not considered, no particle size testing, and </w:t>
            </w:r>
            <w:proofErr w:type="spellStart"/>
            <w:r w:rsidRPr="006C46AC">
              <w:rPr>
                <w:rFonts w:ascii="Times New Roman" w:eastAsia="Times New Roman" w:hAnsi="Times New Roman" w:cs="Times New Roman"/>
                <w:kern w:val="0"/>
                <w14:ligatures w14:val="none"/>
              </w:rPr>
              <w:t>augering</w:t>
            </w:r>
            <w:proofErr w:type="spellEnd"/>
            <w:r w:rsidRPr="006C46AC">
              <w:rPr>
                <w:rFonts w:ascii="Times New Roman" w:eastAsia="Times New Roman" w:hAnsi="Times New Roman" w:cs="Times New Roman"/>
                <w:kern w:val="0"/>
                <w14:ligatures w14:val="none"/>
              </w:rPr>
              <w:t xml:space="preserve"> to 1.0 m rather than 1.2 m (Doc 66, pp.2–4). The applicant rebuts this (Doc 105, p.1). The survey covers 73.2 ha of a 76.70 ha site.</w:t>
            </w:r>
          </w:p>
        </w:tc>
        <w:tc>
          <w:tcPr>
            <w:tcW w:w="0" w:type="auto"/>
            <w:vAlign w:val="center"/>
            <w:hideMark/>
          </w:tcPr>
          <w:p w14:paraId="27560EFC"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Amber</w:t>
            </w:r>
          </w:p>
        </w:tc>
      </w:tr>
      <w:tr w:rsidR="006C46AC" w:rsidRPr="006C46AC" w14:paraId="491451CF" w14:textId="77777777" w:rsidTr="0053652E">
        <w:trPr>
          <w:tblCellSpacing w:w="15" w:type="dxa"/>
        </w:trPr>
        <w:tc>
          <w:tcPr>
            <w:tcW w:w="0" w:type="auto"/>
            <w:vAlign w:val="center"/>
            <w:hideMark/>
          </w:tcPr>
          <w:p w14:paraId="5AAB660B"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Landscape and visual</w:t>
            </w:r>
          </w:p>
        </w:tc>
        <w:tc>
          <w:tcPr>
            <w:tcW w:w="0" w:type="auto"/>
            <w:vAlign w:val="center"/>
            <w:hideMark/>
          </w:tcPr>
          <w:p w14:paraId="7C769E64"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Major adverse effects on landscape character at site level, and Major-Moderate visual effects for River Hull footpath users (Doc 69, pp.4–5). The LPA’s consultant says Type 1 photos do not meet LI TGN 06/19 and wireframes are needed (Doc 106, p.3). No mitigation planting along the western boundary (Doc 106, p.7). Maximum panel height 3.86 m (Doc 106, p.4). Designated landscapes: not stated in the sections reviewed.</w:t>
            </w:r>
          </w:p>
        </w:tc>
        <w:tc>
          <w:tcPr>
            <w:tcW w:w="0" w:type="auto"/>
            <w:vAlign w:val="center"/>
            <w:hideMark/>
          </w:tcPr>
          <w:p w14:paraId="6DA75FD5"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Red</w:t>
            </w:r>
          </w:p>
        </w:tc>
      </w:tr>
      <w:tr w:rsidR="006C46AC" w:rsidRPr="006C46AC" w14:paraId="29A9CBDA" w14:textId="77777777" w:rsidTr="0053652E">
        <w:trPr>
          <w:tblCellSpacing w:w="15" w:type="dxa"/>
        </w:trPr>
        <w:tc>
          <w:tcPr>
            <w:tcW w:w="0" w:type="auto"/>
            <w:vAlign w:val="center"/>
            <w:hideMark/>
          </w:tcPr>
          <w:p w14:paraId="2B934D8A"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Ecology and biodiversity</w:t>
            </w:r>
          </w:p>
        </w:tc>
        <w:tc>
          <w:tcPr>
            <w:tcW w:w="0" w:type="auto"/>
            <w:vAlign w:val="center"/>
            <w:hideMark/>
          </w:tcPr>
          <w:p w14:paraId="4D126AB8"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 xml:space="preserve">Humber Estuary SPA/Ramsar/SSSI lies 9.2 km away. Farmland within the site is functionally linked, with lapwing and golden plover use (Doc 122, pp.2–3). Mitigation includes 23 ha of bird land, a 500 m seasonal construction buffer (October to March), and acoustic screening (Doc 122, p.3; Doc 121, p.2). BNG adds about 79 habitat units, roughly </w:t>
            </w:r>
            <w:r w:rsidRPr="006C46AC">
              <w:rPr>
                <w:rFonts w:ascii="Times New Roman" w:eastAsia="Times New Roman" w:hAnsi="Times New Roman" w:cs="Times New Roman"/>
                <w:kern w:val="0"/>
                <w14:ligatures w14:val="none"/>
              </w:rPr>
              <w:lastRenderedPageBreak/>
              <w:t>40% on a 198.6-unit baseline (Doc 122, pp.5–6). Natural England now has no objection subject to mitigation (Doc 121, p.2).</w:t>
            </w:r>
          </w:p>
        </w:tc>
        <w:tc>
          <w:tcPr>
            <w:tcW w:w="0" w:type="auto"/>
            <w:vAlign w:val="center"/>
            <w:hideMark/>
          </w:tcPr>
          <w:p w14:paraId="5694E88A"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lastRenderedPageBreak/>
              <w:t>Amber</w:t>
            </w:r>
          </w:p>
        </w:tc>
      </w:tr>
      <w:tr w:rsidR="006C46AC" w:rsidRPr="006C46AC" w14:paraId="5DB602B0" w14:textId="77777777" w:rsidTr="0053652E">
        <w:trPr>
          <w:tblCellSpacing w:w="15" w:type="dxa"/>
        </w:trPr>
        <w:tc>
          <w:tcPr>
            <w:tcW w:w="0" w:type="auto"/>
            <w:vAlign w:val="center"/>
            <w:hideMark/>
          </w:tcPr>
          <w:p w14:paraId="71FE3C3D"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Heritage</w:t>
            </w:r>
          </w:p>
        </w:tc>
        <w:tc>
          <w:tcPr>
            <w:tcW w:w="0" w:type="auto"/>
            <w:vAlign w:val="center"/>
            <w:hideMark/>
          </w:tcPr>
          <w:p w14:paraId="4159EC64"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Bamforth Farm (Grade II): low, less-than-substantial harm from construction HGVs using Ferry Lane (Doc 31, p.2). The applicant’s heritage consultant says no effect (Doc 13, §9.2.5). Geophysics shows possible prehistoric barrows and Iron Age boundaries (Doc 13, §9.2.3). The HER wants evaluation before determination, or a pre-commencement condition (Doc 35, pp.2–3). The applicant seeks a pre-commencement condition (Doc 70, pp.3–4).</w:t>
            </w:r>
          </w:p>
        </w:tc>
        <w:tc>
          <w:tcPr>
            <w:tcW w:w="0" w:type="auto"/>
            <w:vAlign w:val="center"/>
            <w:hideMark/>
          </w:tcPr>
          <w:p w14:paraId="31CE9850"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Amber</w:t>
            </w:r>
          </w:p>
        </w:tc>
      </w:tr>
      <w:tr w:rsidR="006C46AC" w:rsidRPr="006C46AC" w14:paraId="21EC4925" w14:textId="77777777" w:rsidTr="0053652E">
        <w:trPr>
          <w:tblCellSpacing w:w="15" w:type="dxa"/>
        </w:trPr>
        <w:tc>
          <w:tcPr>
            <w:tcW w:w="0" w:type="auto"/>
            <w:vAlign w:val="center"/>
            <w:hideMark/>
          </w:tcPr>
          <w:p w14:paraId="2A91FAAC"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Flood risk and drainage</w:t>
            </w:r>
          </w:p>
        </w:tc>
        <w:tc>
          <w:tcPr>
            <w:tcW w:w="0" w:type="auto"/>
            <w:vAlign w:val="center"/>
            <w:hideMark/>
          </w:tcPr>
          <w:p w14:paraId="3D4A5F11"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The site is in Flood Zone 3 (Doc 41, p.1). Revised FRA mitigation: arrays at least 2.46 m above ground, equipment at least 2.06 m AOD, open-mesh fencing, and an 8 m buffer to the River Hull embankment (Doc 80, p.1). The EA now accepts this subject to conditions. The LLFA still wants infiltration tests, drainage sections and hydraulic calculations (Doc 112, p.1). The drainage board’s objection was removed in March 2026, subject to 9 m and 3 m easements and permeable tracks (Doc 104, pp.1, 10). The FRA covers only the second part of the Exception Test (Doc 79, §6.3).</w:t>
            </w:r>
          </w:p>
        </w:tc>
        <w:tc>
          <w:tcPr>
            <w:tcW w:w="0" w:type="auto"/>
            <w:vAlign w:val="center"/>
            <w:hideMark/>
          </w:tcPr>
          <w:p w14:paraId="692DED0F"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Amber</w:t>
            </w:r>
          </w:p>
        </w:tc>
      </w:tr>
      <w:tr w:rsidR="006C46AC" w:rsidRPr="006C46AC" w14:paraId="1E45C629" w14:textId="77777777" w:rsidTr="0053652E">
        <w:trPr>
          <w:tblCellSpacing w:w="15" w:type="dxa"/>
        </w:trPr>
        <w:tc>
          <w:tcPr>
            <w:tcW w:w="0" w:type="auto"/>
            <w:vAlign w:val="center"/>
            <w:hideMark/>
          </w:tcPr>
          <w:p w14:paraId="00BECB1D"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Highways and access</w:t>
            </w:r>
          </w:p>
        </w:tc>
        <w:tc>
          <w:tcPr>
            <w:tcW w:w="0" w:type="auto"/>
            <w:vAlign w:val="center"/>
            <w:hideMark/>
          </w:tcPr>
          <w:p w14:paraId="3282D3A1"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 xml:space="preserve">No objection. The access was previously approved under 22/01208/STPLF. Conditions: two passing places, a CTMP addendum with school-time delivery limits, and dilapidation surveys (Doc 61, pp.1–3). Construction traffic averages 6 HGVs per day, or 12 two-way movements (Doc 69, p.7). Temporary </w:t>
            </w:r>
            <w:proofErr w:type="spellStart"/>
            <w:r w:rsidRPr="006C46AC">
              <w:rPr>
                <w:rFonts w:ascii="Times New Roman" w:eastAsia="Times New Roman" w:hAnsi="Times New Roman" w:cs="Times New Roman"/>
                <w:kern w:val="0"/>
                <w14:ligatures w14:val="none"/>
              </w:rPr>
              <w:t>PRoW</w:t>
            </w:r>
            <w:proofErr w:type="spellEnd"/>
            <w:r w:rsidRPr="006C46AC">
              <w:rPr>
                <w:rFonts w:ascii="Times New Roman" w:eastAsia="Times New Roman" w:hAnsi="Times New Roman" w:cs="Times New Roman"/>
                <w:kern w:val="0"/>
                <w14:ligatures w14:val="none"/>
              </w:rPr>
              <w:t xml:space="preserve"> closures need a two-month legal process (Doc 62, p.1).</w:t>
            </w:r>
          </w:p>
        </w:tc>
        <w:tc>
          <w:tcPr>
            <w:tcW w:w="0" w:type="auto"/>
            <w:vAlign w:val="center"/>
            <w:hideMark/>
          </w:tcPr>
          <w:p w14:paraId="5FFD94E4"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Green</w:t>
            </w:r>
            <w:r w:rsidRPr="006C46AC">
              <w:rPr>
                <w:rFonts w:ascii="Times New Roman" w:eastAsia="Times New Roman" w:hAnsi="Times New Roman" w:cs="Times New Roman"/>
                <w:kern w:val="0"/>
                <w14:ligatures w14:val="none"/>
              </w:rPr>
              <w:t xml:space="preserve"> (with conditions)</w:t>
            </w:r>
          </w:p>
        </w:tc>
      </w:tr>
      <w:tr w:rsidR="006C46AC" w:rsidRPr="006C46AC" w14:paraId="4183E88B" w14:textId="77777777" w:rsidTr="0053652E">
        <w:trPr>
          <w:tblCellSpacing w:w="15" w:type="dxa"/>
        </w:trPr>
        <w:tc>
          <w:tcPr>
            <w:tcW w:w="0" w:type="auto"/>
            <w:vAlign w:val="center"/>
            <w:hideMark/>
          </w:tcPr>
          <w:p w14:paraId="75CFCE29"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Glint and glare, noise, amenity</w:t>
            </w:r>
          </w:p>
        </w:tc>
        <w:tc>
          <w:tcPr>
            <w:tcW w:w="0" w:type="auto"/>
            <w:vAlign w:val="center"/>
            <w:hideMark/>
          </w:tcPr>
          <w:p w14:paraId="4024EEBC"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No significant road or airfield impact. Three dwellings have low impact (Doc 12, p.4). The noise assessment finds no significant adverse impact (Doc 19, p.7). Environmental Control has no objection (Doc 46, p.1).</w:t>
            </w:r>
          </w:p>
        </w:tc>
        <w:tc>
          <w:tcPr>
            <w:tcW w:w="0" w:type="auto"/>
            <w:vAlign w:val="center"/>
            <w:hideMark/>
          </w:tcPr>
          <w:p w14:paraId="63E77517"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Green</w:t>
            </w:r>
          </w:p>
        </w:tc>
      </w:tr>
      <w:tr w:rsidR="006C46AC" w:rsidRPr="006C46AC" w14:paraId="07110435" w14:textId="77777777" w:rsidTr="0053652E">
        <w:trPr>
          <w:tblCellSpacing w:w="15" w:type="dxa"/>
        </w:trPr>
        <w:tc>
          <w:tcPr>
            <w:tcW w:w="0" w:type="auto"/>
            <w:vAlign w:val="center"/>
            <w:hideMark/>
          </w:tcPr>
          <w:p w14:paraId="7C7CF9A1"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Cumulative impacts</w:t>
            </w:r>
          </w:p>
        </w:tc>
        <w:tc>
          <w:tcPr>
            <w:tcW w:w="0" w:type="auto"/>
            <w:vAlign w:val="center"/>
            <w:hideMark/>
          </w:tcPr>
          <w:p w14:paraId="61818D39"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The LVA omits Carr Solar Farm (allowed at appeal, June 2025) and Peartree Hill (320 MW DCO). The LPA’s consultant says cumulative effects could reach Major-Moderate or Major (Doc 69, pp.8, 10).</w:t>
            </w:r>
          </w:p>
        </w:tc>
        <w:tc>
          <w:tcPr>
            <w:tcW w:w="0" w:type="auto"/>
            <w:vAlign w:val="center"/>
            <w:hideMark/>
          </w:tcPr>
          <w:p w14:paraId="4213A796"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Red</w:t>
            </w:r>
          </w:p>
        </w:tc>
      </w:tr>
      <w:tr w:rsidR="006C46AC" w:rsidRPr="006C46AC" w14:paraId="77E6A513" w14:textId="77777777" w:rsidTr="0053652E">
        <w:trPr>
          <w:tblCellSpacing w:w="15" w:type="dxa"/>
        </w:trPr>
        <w:tc>
          <w:tcPr>
            <w:tcW w:w="0" w:type="auto"/>
            <w:vAlign w:val="center"/>
            <w:hideMark/>
          </w:tcPr>
          <w:p w14:paraId="32DB0925"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Decommissioning and restoration</w:t>
            </w:r>
          </w:p>
        </w:tc>
        <w:tc>
          <w:tcPr>
            <w:tcW w:w="0" w:type="auto"/>
            <w:vAlign w:val="center"/>
            <w:hideMark/>
          </w:tcPr>
          <w:p w14:paraId="17FAAA82"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40-year temporary consent. A decommissioning plan is required by condition (Doc 122, p.8).</w:t>
            </w:r>
          </w:p>
        </w:tc>
        <w:tc>
          <w:tcPr>
            <w:tcW w:w="0" w:type="auto"/>
            <w:vAlign w:val="center"/>
            <w:hideMark/>
          </w:tcPr>
          <w:p w14:paraId="066BFD72" w14:textId="77777777" w:rsidR="006C46AC" w:rsidRPr="006C46AC" w:rsidRDefault="006C46AC" w:rsidP="006C46AC">
            <w:pPr>
              <w:spacing w:after="0"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Green</w:t>
            </w:r>
          </w:p>
        </w:tc>
      </w:tr>
    </w:tbl>
    <w:p w14:paraId="6657BF9D" w14:textId="77777777" w:rsidR="006C46AC" w:rsidRPr="006C46AC" w:rsidRDefault="006C46AC" w:rsidP="006C46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46AC">
        <w:rPr>
          <w:rFonts w:ascii="Times New Roman" w:eastAsia="Times New Roman" w:hAnsi="Times New Roman" w:cs="Times New Roman"/>
          <w:b/>
          <w:bCs/>
          <w:kern w:val="0"/>
          <w:sz w:val="27"/>
          <w:szCs w:val="27"/>
          <w14:ligatures w14:val="none"/>
        </w:rPr>
        <w:t>3. Public and consultee feedback</w:t>
      </w:r>
    </w:p>
    <w:p w14:paraId="4F5ED1A9" w14:textId="77777777" w:rsidR="006C46AC" w:rsidRPr="006C46AC" w:rsidRDefault="006C46AC" w:rsidP="006C46AC">
      <w:p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Statutory and key consultees (latest position)</w:t>
      </w:r>
    </w:p>
    <w:p w14:paraId="039E2241" w14:textId="77777777" w:rsidR="006C46AC" w:rsidRPr="006C46AC" w:rsidRDefault="006C46AC" w:rsidP="006C46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lastRenderedPageBreak/>
        <w:t>Natural England:</w:t>
      </w:r>
      <w:r w:rsidRPr="006C46AC">
        <w:rPr>
          <w:rFonts w:ascii="Times New Roman" w:eastAsia="Times New Roman" w:hAnsi="Times New Roman" w:cs="Times New Roman"/>
          <w:kern w:val="0"/>
          <w14:ligatures w14:val="none"/>
        </w:rPr>
        <w:t xml:space="preserve"> No objection subject to mitigation (24 July 2026, Doc 121, p.2). Previously advised against granting permission (28 May 2026, Doc 113, p.2).</w:t>
      </w:r>
    </w:p>
    <w:p w14:paraId="6494D3A1" w14:textId="77777777" w:rsidR="006C46AC" w:rsidRPr="006C46AC" w:rsidRDefault="006C46AC" w:rsidP="006C46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Environment Agency:</w:t>
      </w:r>
      <w:r w:rsidRPr="006C46AC">
        <w:rPr>
          <w:rFonts w:ascii="Times New Roman" w:eastAsia="Times New Roman" w:hAnsi="Times New Roman" w:cs="Times New Roman"/>
          <w:kern w:val="0"/>
          <w14:ligatures w14:val="none"/>
        </w:rPr>
        <w:t xml:space="preserve"> Objected in September 2025 (Doc 41, p.1). Conditional support from 17 December 2025, subject to FRA conditions (Doc 80, p.1).</w:t>
      </w:r>
    </w:p>
    <w:p w14:paraId="3C87B449" w14:textId="77777777" w:rsidR="006C46AC" w:rsidRPr="006C46AC" w:rsidRDefault="006C46AC" w:rsidP="006C46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LLFA:</w:t>
      </w:r>
      <w:r w:rsidRPr="006C46AC">
        <w:rPr>
          <w:rFonts w:ascii="Times New Roman" w:eastAsia="Times New Roman" w:hAnsi="Times New Roman" w:cs="Times New Roman"/>
          <w:kern w:val="0"/>
          <w14:ligatures w14:val="none"/>
        </w:rPr>
        <w:t xml:space="preserve"> Still requests infiltration tests and drainage design (30 April 2026, Doc 112, p.1).</w:t>
      </w:r>
    </w:p>
    <w:p w14:paraId="3D1C2478" w14:textId="77777777" w:rsidR="006C46AC" w:rsidRPr="006C46AC" w:rsidRDefault="006C46AC" w:rsidP="006C46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Beverley and North Holderness IDB:</w:t>
      </w:r>
      <w:r w:rsidRPr="006C46AC">
        <w:rPr>
          <w:rFonts w:ascii="Times New Roman" w:eastAsia="Times New Roman" w:hAnsi="Times New Roman" w:cs="Times New Roman"/>
          <w:kern w:val="0"/>
          <w14:ligatures w14:val="none"/>
        </w:rPr>
        <w:t xml:space="preserve"> Objection removed March 2026, subject to conditions (Doc 104, p.1).</w:t>
      </w:r>
    </w:p>
    <w:p w14:paraId="7BAFE229" w14:textId="77777777" w:rsidR="006C46AC" w:rsidRPr="006C46AC" w:rsidRDefault="006C46AC" w:rsidP="006C46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Northern Gas Networks:</w:t>
      </w:r>
      <w:r w:rsidRPr="006C46AC">
        <w:rPr>
          <w:rFonts w:ascii="Times New Roman" w:eastAsia="Times New Roman" w:hAnsi="Times New Roman" w:cs="Times New Roman"/>
          <w:kern w:val="0"/>
          <w14:ligatures w14:val="none"/>
        </w:rPr>
        <w:t xml:space="preserve"> Objected on 27 Aug 2025 (Doc 24, p.1), 3 Dec 2025 (Doc 78, p.1), and 17 Feb 2026 (Doc 83, p.1). The April 2026 withdrawal covers reference 1400024081 only (Doc 114, p.2). The other objections are not shown as withdrawn.</w:t>
      </w:r>
    </w:p>
    <w:p w14:paraId="2584458B" w14:textId="77777777" w:rsidR="006C46AC" w:rsidRPr="006C46AC" w:rsidRDefault="006C46AC" w:rsidP="006C46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Nature Conservation Officer:</w:t>
      </w:r>
      <w:r w:rsidRPr="006C46AC">
        <w:rPr>
          <w:rFonts w:ascii="Times New Roman" w:eastAsia="Times New Roman" w:hAnsi="Times New Roman" w:cs="Times New Roman"/>
          <w:kern w:val="0"/>
          <w14:ligatures w14:val="none"/>
        </w:rPr>
        <w:t xml:space="preserve"> Holding objections removed (24 July 2026, Doc 122, pp.4–5). Recommends the appropriate assessment be adopted (Doc 122, p.4).</w:t>
      </w:r>
    </w:p>
    <w:p w14:paraId="5E6CA8B5" w14:textId="77777777" w:rsidR="006C46AC" w:rsidRPr="006C46AC" w:rsidRDefault="006C46AC" w:rsidP="006C46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Highways:</w:t>
      </w:r>
      <w:r w:rsidRPr="006C46AC">
        <w:rPr>
          <w:rFonts w:ascii="Times New Roman" w:eastAsia="Times New Roman" w:hAnsi="Times New Roman" w:cs="Times New Roman"/>
          <w:kern w:val="0"/>
          <w14:ligatures w14:val="none"/>
        </w:rPr>
        <w:t xml:space="preserve"> No objection with conditions (14 October 2025, Doc 61, p.1).</w:t>
      </w:r>
    </w:p>
    <w:p w14:paraId="0990FEF9" w14:textId="77777777" w:rsidR="006C46AC" w:rsidRPr="006C46AC" w:rsidRDefault="006C46AC" w:rsidP="006C46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Building Conservation:</w:t>
      </w:r>
      <w:r w:rsidRPr="006C46AC">
        <w:rPr>
          <w:rFonts w:ascii="Times New Roman" w:eastAsia="Times New Roman" w:hAnsi="Times New Roman" w:cs="Times New Roman"/>
          <w:kern w:val="0"/>
          <w14:ligatures w14:val="none"/>
        </w:rPr>
        <w:t xml:space="preserve"> Low harm to Bamforth Farm (9 September 2025, Doc 31, p.2).</w:t>
      </w:r>
    </w:p>
    <w:p w14:paraId="1A925A6B" w14:textId="77777777" w:rsidR="006C46AC" w:rsidRPr="006C46AC" w:rsidRDefault="006C46AC" w:rsidP="006C46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HER:</w:t>
      </w:r>
      <w:r w:rsidRPr="006C46AC">
        <w:rPr>
          <w:rFonts w:ascii="Times New Roman" w:eastAsia="Times New Roman" w:hAnsi="Times New Roman" w:cs="Times New Roman"/>
          <w:kern w:val="0"/>
          <w14:ligatures w14:val="none"/>
        </w:rPr>
        <w:t xml:space="preserve"> Evaluation before determination, or pre-commencement condition (Doc 35, pp.2–3).</w:t>
      </w:r>
    </w:p>
    <w:p w14:paraId="7BA38B0B" w14:textId="77777777" w:rsidR="006C46AC" w:rsidRPr="006C46AC" w:rsidRDefault="006C46AC" w:rsidP="006C46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Countryside Access:</w:t>
      </w:r>
      <w:r w:rsidRPr="006C46AC">
        <w:rPr>
          <w:rFonts w:ascii="Times New Roman" w:eastAsia="Times New Roman" w:hAnsi="Times New Roman" w:cs="Times New Roman"/>
          <w:kern w:val="0"/>
          <w14:ligatures w14:val="none"/>
        </w:rPr>
        <w:t xml:space="preserve"> </w:t>
      </w:r>
      <w:proofErr w:type="spellStart"/>
      <w:r w:rsidRPr="006C46AC">
        <w:rPr>
          <w:rFonts w:ascii="Times New Roman" w:eastAsia="Times New Roman" w:hAnsi="Times New Roman" w:cs="Times New Roman"/>
          <w:kern w:val="0"/>
          <w14:ligatures w14:val="none"/>
        </w:rPr>
        <w:t>PRoW</w:t>
      </w:r>
      <w:proofErr w:type="spellEnd"/>
      <w:r w:rsidRPr="006C46AC">
        <w:rPr>
          <w:rFonts w:ascii="Times New Roman" w:eastAsia="Times New Roman" w:hAnsi="Times New Roman" w:cs="Times New Roman"/>
          <w:kern w:val="0"/>
          <w14:ligatures w14:val="none"/>
        </w:rPr>
        <w:t xml:space="preserve"> protection and temporary closure requirements (Doc 62, p.1).</w:t>
      </w:r>
    </w:p>
    <w:p w14:paraId="4C1A0C79" w14:textId="77777777" w:rsidR="006C46AC" w:rsidRPr="006C46AC" w:rsidRDefault="006C46AC" w:rsidP="006C46A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Other:</w:t>
      </w:r>
      <w:r w:rsidRPr="006C46AC">
        <w:rPr>
          <w:rFonts w:ascii="Times New Roman" w:eastAsia="Times New Roman" w:hAnsi="Times New Roman" w:cs="Times New Roman"/>
          <w:kern w:val="0"/>
          <w14:ligatures w14:val="none"/>
        </w:rPr>
        <w:t xml:space="preserve"> Yorkshire Water (conditional, Doc 36, p.2). Police (no objection, security advice, Doc 43, p.1). Fire and Rescue (access advice, Doc 32, p.1).</w:t>
      </w:r>
    </w:p>
    <w:p w14:paraId="1E5D51F4" w14:textId="77777777" w:rsidR="006C46AC" w:rsidRPr="006C46AC" w:rsidRDefault="006C46AC" w:rsidP="006C46AC">
      <w:p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Parish and town councils</w:t>
      </w:r>
    </w:p>
    <w:p w14:paraId="7D1DC8DD" w14:textId="77777777" w:rsidR="006C46AC" w:rsidRPr="006C46AC" w:rsidRDefault="006C46AC" w:rsidP="006C46A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C46AC">
        <w:rPr>
          <w:rFonts w:ascii="Times New Roman" w:eastAsia="Times New Roman" w:hAnsi="Times New Roman" w:cs="Times New Roman"/>
          <w:b/>
          <w:bCs/>
          <w:kern w:val="0"/>
          <w14:ligatures w14:val="none"/>
        </w:rPr>
        <w:t>Tickton</w:t>
      </w:r>
      <w:proofErr w:type="spellEnd"/>
      <w:r w:rsidRPr="006C46AC">
        <w:rPr>
          <w:rFonts w:ascii="Times New Roman" w:eastAsia="Times New Roman" w:hAnsi="Times New Roman" w:cs="Times New Roman"/>
          <w:b/>
          <w:bCs/>
          <w:kern w:val="0"/>
          <w14:ligatures w14:val="none"/>
        </w:rPr>
        <w:t xml:space="preserve"> &amp; Routh Parish Council:</w:t>
      </w:r>
      <w:r w:rsidRPr="006C46AC">
        <w:rPr>
          <w:rFonts w:ascii="Times New Roman" w:eastAsia="Times New Roman" w:hAnsi="Times New Roman" w:cs="Times New Roman"/>
          <w:kern w:val="0"/>
          <w14:ligatures w14:val="none"/>
        </w:rPr>
        <w:t xml:space="preserve"> Strong objection (18 September 2025, Doc 44, pp.1–2). Grounds: </w:t>
      </w:r>
      <w:proofErr w:type="spellStart"/>
      <w:r w:rsidRPr="006C46AC">
        <w:rPr>
          <w:rFonts w:ascii="Times New Roman" w:eastAsia="Times New Roman" w:hAnsi="Times New Roman" w:cs="Times New Roman"/>
          <w:kern w:val="0"/>
          <w14:ligatures w14:val="none"/>
        </w:rPr>
        <w:t>industrialisation</w:t>
      </w:r>
      <w:proofErr w:type="spellEnd"/>
      <w:r w:rsidRPr="006C46AC">
        <w:rPr>
          <w:rFonts w:ascii="Times New Roman" w:eastAsia="Times New Roman" w:hAnsi="Times New Roman" w:cs="Times New Roman"/>
          <w:kern w:val="0"/>
          <w14:ligatures w14:val="none"/>
        </w:rPr>
        <w:t xml:space="preserve">, cumulative impact, wildlife, loss of BMV land, </w:t>
      </w:r>
      <w:proofErr w:type="spellStart"/>
      <w:r w:rsidRPr="006C46AC">
        <w:rPr>
          <w:rFonts w:ascii="Times New Roman" w:eastAsia="Times New Roman" w:hAnsi="Times New Roman" w:cs="Times New Roman"/>
          <w:kern w:val="0"/>
          <w14:ligatures w14:val="none"/>
        </w:rPr>
        <w:t>PRoW</w:t>
      </w:r>
      <w:proofErr w:type="spellEnd"/>
      <w:r w:rsidRPr="006C46AC">
        <w:rPr>
          <w:rFonts w:ascii="Times New Roman" w:eastAsia="Times New Roman" w:hAnsi="Times New Roman" w:cs="Times New Roman"/>
          <w:kern w:val="0"/>
          <w14:ligatures w14:val="none"/>
        </w:rPr>
        <w:t xml:space="preserve"> amenity, and community fund governance.</w:t>
      </w:r>
    </w:p>
    <w:p w14:paraId="7AAFD492" w14:textId="77777777" w:rsidR="006C46AC" w:rsidRPr="006C46AC" w:rsidRDefault="006C46AC" w:rsidP="006C46A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C46AC">
        <w:rPr>
          <w:rFonts w:ascii="Times New Roman" w:eastAsia="Times New Roman" w:hAnsi="Times New Roman" w:cs="Times New Roman"/>
          <w:b/>
          <w:bCs/>
          <w:kern w:val="0"/>
          <w14:ligatures w14:val="none"/>
        </w:rPr>
        <w:t>Wawne</w:t>
      </w:r>
      <w:proofErr w:type="spellEnd"/>
      <w:r w:rsidRPr="006C46AC">
        <w:rPr>
          <w:rFonts w:ascii="Times New Roman" w:eastAsia="Times New Roman" w:hAnsi="Times New Roman" w:cs="Times New Roman"/>
          <w:b/>
          <w:bCs/>
          <w:kern w:val="0"/>
          <w14:ligatures w14:val="none"/>
        </w:rPr>
        <w:t xml:space="preserve"> and Weel Parish Councils:</w:t>
      </w:r>
      <w:r w:rsidRPr="006C46AC">
        <w:rPr>
          <w:rFonts w:ascii="Times New Roman" w:eastAsia="Times New Roman" w:hAnsi="Times New Roman" w:cs="Times New Roman"/>
          <w:kern w:val="0"/>
          <w14:ligatures w14:val="none"/>
        </w:rPr>
        <w:t xml:space="preserve"> No response in the bundle. The applicant reports ongoing engagement with both (Doc 70, p.4).</w:t>
      </w:r>
    </w:p>
    <w:p w14:paraId="467AE2D8" w14:textId="77777777" w:rsidR="006C46AC" w:rsidRPr="006C46AC" w:rsidRDefault="006C46AC" w:rsidP="006C46A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Beverley Town Council:</w:t>
      </w:r>
      <w:r w:rsidRPr="006C46AC">
        <w:rPr>
          <w:rFonts w:ascii="Times New Roman" w:eastAsia="Times New Roman" w:hAnsi="Times New Roman" w:cs="Times New Roman"/>
          <w:kern w:val="0"/>
          <w14:ligatures w14:val="none"/>
        </w:rPr>
        <w:t xml:space="preserve"> Objection (3 October 2025, Doc 59, pp.1–4). It is not the local parish council.</w:t>
      </w:r>
    </w:p>
    <w:p w14:paraId="735D5168" w14:textId="77777777" w:rsidR="006C46AC" w:rsidRPr="006C46AC" w:rsidRDefault="006C46AC" w:rsidP="006C46AC">
      <w:p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Public representations (16 counted)</w:t>
      </w:r>
    </w:p>
    <w:p w14:paraId="5E08F3EC" w14:textId="77777777" w:rsidR="006C46AC" w:rsidRPr="006C46AC" w:rsidRDefault="006C46AC" w:rsidP="006C46A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Objections (9):</w:t>
      </w:r>
      <w:r w:rsidRPr="006C46AC">
        <w:rPr>
          <w:rFonts w:ascii="Times New Roman" w:eastAsia="Times New Roman" w:hAnsi="Times New Roman" w:cs="Times New Roman"/>
          <w:kern w:val="0"/>
          <w14:ligatures w14:val="none"/>
        </w:rPr>
        <w:t xml:space="preserve"> Docs 45, 47–54.</w:t>
      </w:r>
    </w:p>
    <w:p w14:paraId="18828937" w14:textId="77777777" w:rsidR="006C46AC" w:rsidRPr="006C46AC" w:rsidRDefault="006C46AC" w:rsidP="006C46A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Support (7):</w:t>
      </w:r>
      <w:r w:rsidRPr="006C46AC">
        <w:rPr>
          <w:rFonts w:ascii="Times New Roman" w:eastAsia="Times New Roman" w:hAnsi="Times New Roman" w:cs="Times New Roman"/>
          <w:kern w:val="0"/>
          <w14:ligatures w14:val="none"/>
        </w:rPr>
        <w:t xml:space="preserve"> Docs 37–39, 42, 55, 60, 68.</w:t>
      </w:r>
    </w:p>
    <w:p w14:paraId="62D6CCB5" w14:textId="77777777" w:rsidR="006C46AC" w:rsidRPr="006C46AC" w:rsidRDefault="006C46AC" w:rsidP="006C46A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Other:</w:t>
      </w:r>
      <w:r w:rsidRPr="006C46AC">
        <w:rPr>
          <w:rFonts w:ascii="Times New Roman" w:eastAsia="Times New Roman" w:hAnsi="Times New Roman" w:cs="Times New Roman"/>
          <w:kern w:val="0"/>
          <w14:ligatures w14:val="none"/>
        </w:rPr>
        <w:t xml:space="preserve"> A resident in Weel asks for panels to be moved further from their boundary (Doc 63). National Grid is neutral (Doc 30).</w:t>
      </w:r>
    </w:p>
    <w:p w14:paraId="657831C4" w14:textId="77777777" w:rsidR="006C46AC" w:rsidRPr="006C46AC" w:rsidRDefault="006C46AC" w:rsidP="006C46A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Main themes:</w:t>
      </w:r>
      <w:r w:rsidRPr="006C46AC">
        <w:rPr>
          <w:rFonts w:ascii="Times New Roman" w:eastAsia="Times New Roman" w:hAnsi="Times New Roman" w:cs="Times New Roman"/>
          <w:kern w:val="0"/>
          <w14:ligatures w14:val="none"/>
        </w:rPr>
        <w:t xml:space="preserve"> Cumulative </w:t>
      </w:r>
      <w:proofErr w:type="spellStart"/>
      <w:r w:rsidRPr="006C46AC">
        <w:rPr>
          <w:rFonts w:ascii="Times New Roman" w:eastAsia="Times New Roman" w:hAnsi="Times New Roman" w:cs="Times New Roman"/>
          <w:kern w:val="0"/>
          <w14:ligatures w14:val="none"/>
        </w:rPr>
        <w:t>industrialisation</w:t>
      </w:r>
      <w:proofErr w:type="spellEnd"/>
      <w:r w:rsidRPr="006C46AC">
        <w:rPr>
          <w:rFonts w:ascii="Times New Roman" w:eastAsia="Times New Roman" w:hAnsi="Times New Roman" w:cs="Times New Roman"/>
          <w:kern w:val="0"/>
          <w14:ligatures w14:val="none"/>
        </w:rPr>
        <w:t xml:space="preserve"> (with three consented 49.9 MW schemes and Peartree Hill); loss of farmland; wildlife; flooding; visual impact on the River Hull path; and construction traffic on village roads. Supporters cite climate, energy security, and farm diversification.</w:t>
      </w:r>
    </w:p>
    <w:p w14:paraId="4F1A0943" w14:textId="77777777" w:rsidR="006C46AC" w:rsidRPr="006C46AC" w:rsidRDefault="006C46AC" w:rsidP="006C46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46AC">
        <w:rPr>
          <w:rFonts w:ascii="Times New Roman" w:eastAsia="Times New Roman" w:hAnsi="Times New Roman" w:cs="Times New Roman"/>
          <w:b/>
          <w:bCs/>
          <w:kern w:val="0"/>
          <w:sz w:val="27"/>
          <w:szCs w:val="27"/>
          <w14:ligatures w14:val="none"/>
        </w:rPr>
        <w:t>4. Key red and green flags</w:t>
      </w:r>
    </w:p>
    <w:p w14:paraId="34E2401C" w14:textId="77777777" w:rsidR="006C46AC" w:rsidRPr="006C46AC" w:rsidRDefault="006C46AC" w:rsidP="006C46AC">
      <w:p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Red flags</w:t>
      </w:r>
    </w:p>
    <w:p w14:paraId="66C233CF" w14:textId="77777777" w:rsidR="006C46AC" w:rsidRPr="006C46AC" w:rsidRDefault="006C46AC" w:rsidP="006C46A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lastRenderedPageBreak/>
        <w:t>Local and parish opposition:</w:t>
      </w:r>
      <w:r w:rsidRPr="006C46AC">
        <w:rPr>
          <w:rFonts w:ascii="Times New Roman" w:eastAsia="Times New Roman" w:hAnsi="Times New Roman" w:cs="Times New Roman"/>
          <w:kern w:val="0"/>
          <w14:ligatures w14:val="none"/>
        </w:rPr>
        <w:t xml:space="preserve"> </w:t>
      </w:r>
      <w:proofErr w:type="spellStart"/>
      <w:r w:rsidRPr="006C46AC">
        <w:rPr>
          <w:rFonts w:ascii="Times New Roman" w:eastAsia="Times New Roman" w:hAnsi="Times New Roman" w:cs="Times New Roman"/>
          <w:kern w:val="0"/>
          <w14:ligatures w14:val="none"/>
        </w:rPr>
        <w:t>Tickton</w:t>
      </w:r>
      <w:proofErr w:type="spellEnd"/>
      <w:r w:rsidRPr="006C46AC">
        <w:rPr>
          <w:rFonts w:ascii="Times New Roman" w:eastAsia="Times New Roman" w:hAnsi="Times New Roman" w:cs="Times New Roman"/>
          <w:kern w:val="0"/>
          <w14:ligatures w14:val="none"/>
        </w:rPr>
        <w:t xml:space="preserve"> &amp; Routh Parish Council strongly objects on </w:t>
      </w:r>
      <w:proofErr w:type="spellStart"/>
      <w:r w:rsidRPr="006C46AC">
        <w:rPr>
          <w:rFonts w:ascii="Times New Roman" w:eastAsia="Times New Roman" w:hAnsi="Times New Roman" w:cs="Times New Roman"/>
          <w:kern w:val="0"/>
          <w14:ligatures w14:val="none"/>
        </w:rPr>
        <w:t>industrialisation</w:t>
      </w:r>
      <w:proofErr w:type="spellEnd"/>
      <w:r w:rsidRPr="006C46AC">
        <w:rPr>
          <w:rFonts w:ascii="Times New Roman" w:eastAsia="Times New Roman" w:hAnsi="Times New Roman" w:cs="Times New Roman"/>
          <w:kern w:val="0"/>
          <w14:ligatures w14:val="none"/>
        </w:rPr>
        <w:t xml:space="preserve">, cumulative impact, wildlife, and loss of BMV land (Doc 44, pp.1–2). Nine of 16 public representations object, mainly on cumulative impact and farmland loss (Docs 45–54). </w:t>
      </w:r>
      <w:proofErr w:type="spellStart"/>
      <w:r w:rsidRPr="006C46AC">
        <w:rPr>
          <w:rFonts w:ascii="Times New Roman" w:eastAsia="Times New Roman" w:hAnsi="Times New Roman" w:cs="Times New Roman"/>
          <w:kern w:val="0"/>
          <w14:ligatures w14:val="none"/>
        </w:rPr>
        <w:t>Wawne</w:t>
      </w:r>
      <w:proofErr w:type="spellEnd"/>
      <w:r w:rsidRPr="006C46AC">
        <w:rPr>
          <w:rFonts w:ascii="Times New Roman" w:eastAsia="Times New Roman" w:hAnsi="Times New Roman" w:cs="Times New Roman"/>
          <w:kern w:val="0"/>
          <w14:ligatures w14:val="none"/>
        </w:rPr>
        <w:t xml:space="preserve"> and Weel Parish Councils have not responded in the bundle.</w:t>
      </w:r>
    </w:p>
    <w:p w14:paraId="18E5D78C" w14:textId="77777777" w:rsidR="006C46AC" w:rsidRPr="006C46AC" w:rsidRDefault="006C46AC" w:rsidP="006C46A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Landscape and visual:</w:t>
      </w:r>
      <w:r w:rsidRPr="006C46AC">
        <w:rPr>
          <w:rFonts w:ascii="Times New Roman" w:eastAsia="Times New Roman" w:hAnsi="Times New Roman" w:cs="Times New Roman"/>
          <w:kern w:val="0"/>
          <w14:ligatures w14:val="none"/>
        </w:rPr>
        <w:t xml:space="preserve"> Major adverse landscape effects and Major-Moderate visual effects, with no wireframes provided (Doc 69, pp.4–5; Doc 106, p.3).</w:t>
      </w:r>
    </w:p>
    <w:p w14:paraId="448ADE2A" w14:textId="77777777" w:rsidR="006C46AC" w:rsidRPr="006C46AC" w:rsidRDefault="006C46AC" w:rsidP="006C46A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Archaeology and heritage:</w:t>
      </w:r>
      <w:r w:rsidRPr="006C46AC">
        <w:rPr>
          <w:rFonts w:ascii="Times New Roman" w:eastAsia="Times New Roman" w:hAnsi="Times New Roman" w:cs="Times New Roman"/>
          <w:kern w:val="0"/>
          <w14:ligatures w14:val="none"/>
        </w:rPr>
        <w:t xml:space="preserve"> Possible prehistoric barrows; evaluation requested before determination (Doc 35, p.2). Low harm to Bamforth Farm (Doc 31, p.2).</w:t>
      </w:r>
    </w:p>
    <w:p w14:paraId="1E79D5F7" w14:textId="77777777" w:rsidR="006C46AC" w:rsidRPr="006C46AC" w:rsidRDefault="006C46AC" w:rsidP="006C46A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Gas pipelines:</w:t>
      </w:r>
      <w:r w:rsidRPr="006C46AC">
        <w:rPr>
          <w:rFonts w:ascii="Times New Roman" w:eastAsia="Times New Roman" w:hAnsi="Times New Roman" w:cs="Times New Roman"/>
          <w:kern w:val="0"/>
          <w14:ligatures w14:val="none"/>
        </w:rPr>
        <w:t xml:space="preserve"> Northern Gas objections from August 2025 and February 2026 are not shown as withdrawn (Doc 24, p.1; Doc 83, p.1; Doc 114, p.2).</w:t>
      </w:r>
    </w:p>
    <w:p w14:paraId="43121D00" w14:textId="77777777" w:rsidR="006C46AC" w:rsidRPr="006C46AC" w:rsidRDefault="006C46AC" w:rsidP="006C46AC">
      <w:p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Green flags</w:t>
      </w:r>
    </w:p>
    <w:p w14:paraId="28EF72A7" w14:textId="77777777" w:rsidR="006C46AC" w:rsidRPr="006C46AC" w:rsidRDefault="006C46AC" w:rsidP="006C46A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Highways:</w:t>
      </w:r>
      <w:r w:rsidRPr="006C46AC">
        <w:rPr>
          <w:rFonts w:ascii="Times New Roman" w:eastAsia="Times New Roman" w:hAnsi="Times New Roman" w:cs="Times New Roman"/>
          <w:kern w:val="0"/>
          <w14:ligatures w14:val="none"/>
        </w:rPr>
        <w:t xml:space="preserve"> No objection, with an existing approved access (Doc 61, p.1).</w:t>
      </w:r>
    </w:p>
    <w:p w14:paraId="050E287E" w14:textId="77777777" w:rsidR="006C46AC" w:rsidRPr="006C46AC" w:rsidRDefault="006C46AC" w:rsidP="006C46A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Noise and glint/glare:</w:t>
      </w:r>
      <w:r w:rsidRPr="006C46AC">
        <w:rPr>
          <w:rFonts w:ascii="Times New Roman" w:eastAsia="Times New Roman" w:hAnsi="Times New Roman" w:cs="Times New Roman"/>
          <w:kern w:val="0"/>
          <w14:ligatures w14:val="none"/>
        </w:rPr>
        <w:t xml:space="preserve"> No significant impacts identified (Doc 19, p.7; Doc 12, p.4).</w:t>
      </w:r>
    </w:p>
    <w:p w14:paraId="0B34299E" w14:textId="77777777" w:rsidR="006C46AC" w:rsidRPr="006C46AC" w:rsidRDefault="006C46AC" w:rsidP="006C46A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b/>
          <w:bCs/>
          <w:kern w:val="0"/>
          <w14:ligatures w14:val="none"/>
        </w:rPr>
        <w:t>Biodiversity net gain:</w:t>
      </w:r>
      <w:r w:rsidRPr="006C46AC">
        <w:rPr>
          <w:rFonts w:ascii="Times New Roman" w:eastAsia="Times New Roman" w:hAnsi="Times New Roman" w:cs="Times New Roman"/>
          <w:kern w:val="0"/>
          <w14:ligatures w14:val="none"/>
        </w:rPr>
        <w:t xml:space="preserve"> About 40% habitat uplift. The Nature Conservation Officer’s objections are removed (Doc 122, pp.5–6).</w:t>
      </w:r>
    </w:p>
    <w:p w14:paraId="6B2D3C95" w14:textId="77777777" w:rsidR="006C46AC" w:rsidRPr="006C46AC" w:rsidRDefault="006C46AC" w:rsidP="006C46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46AC">
        <w:rPr>
          <w:rFonts w:ascii="Times New Roman" w:eastAsia="Times New Roman" w:hAnsi="Times New Roman" w:cs="Times New Roman"/>
          <w:b/>
          <w:bCs/>
          <w:kern w:val="0"/>
          <w:sz w:val="27"/>
          <w:szCs w:val="27"/>
          <w14:ligatures w14:val="none"/>
        </w:rPr>
        <w:t>5. Initial overall assessment</w:t>
      </w:r>
    </w:p>
    <w:p w14:paraId="417A0415" w14:textId="77777777" w:rsidR="006C46AC" w:rsidRPr="006C46AC" w:rsidRDefault="006C46AC" w:rsidP="006C46AC">
      <w:pPr>
        <w:spacing w:before="100" w:beforeAutospacing="1" w:after="100" w:afterAutospacing="1" w:line="240" w:lineRule="auto"/>
        <w:rPr>
          <w:rFonts w:ascii="Times New Roman" w:eastAsia="Times New Roman" w:hAnsi="Times New Roman" w:cs="Times New Roman"/>
          <w:kern w:val="0"/>
          <w14:ligatures w14:val="none"/>
        </w:rPr>
      </w:pPr>
      <w:r w:rsidRPr="006C46AC">
        <w:rPr>
          <w:rFonts w:ascii="Times New Roman" w:eastAsia="Times New Roman" w:hAnsi="Times New Roman" w:cs="Times New Roman"/>
          <w:kern w:val="0"/>
          <w14:ligatures w14:val="none"/>
        </w:rPr>
        <w:t>The highways, noise, glint and glare, and BNG packages are largely acceptable or can be conditioned, and the Environment Agency and Natural England have moved to conditional positions. The weakest aspects are the landscape and visual case, which the LPA’s consultant considers under-evidenced, and a cumulative assessment that omits two schemes. Several items remain formally open on the record: Northern Gas objections, LLFA drainage details, and archaeological evaluation. Most of these look resolvable through conditions or further information, but the landscape and cumulative concerns are harder to condition and are likely to drive the planning balance. This is an initial view based on the documents provided.</w:t>
      </w:r>
    </w:p>
    <w:p w14:paraId="642EF15D" w14:textId="77777777" w:rsidR="00EE44D7" w:rsidRPr="006C46AC" w:rsidRDefault="00EE44D7" w:rsidP="006C46AC"/>
    <w:sectPr w:rsidR="00EE44D7" w:rsidRPr="006C4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21382"/>
    <w:multiLevelType w:val="multilevel"/>
    <w:tmpl w:val="3E9C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05909"/>
    <w:multiLevelType w:val="multilevel"/>
    <w:tmpl w:val="C8D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5338E"/>
    <w:multiLevelType w:val="multilevel"/>
    <w:tmpl w:val="F24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96C88"/>
    <w:multiLevelType w:val="multilevel"/>
    <w:tmpl w:val="C350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40DF4"/>
    <w:multiLevelType w:val="multilevel"/>
    <w:tmpl w:val="F6362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CE79BA"/>
    <w:multiLevelType w:val="multilevel"/>
    <w:tmpl w:val="43C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8499C"/>
    <w:multiLevelType w:val="multilevel"/>
    <w:tmpl w:val="6326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75CAF"/>
    <w:multiLevelType w:val="multilevel"/>
    <w:tmpl w:val="F074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96F02"/>
    <w:multiLevelType w:val="multilevel"/>
    <w:tmpl w:val="FB7C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170AF"/>
    <w:multiLevelType w:val="multilevel"/>
    <w:tmpl w:val="5908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67FA4"/>
    <w:multiLevelType w:val="multilevel"/>
    <w:tmpl w:val="223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80780"/>
    <w:multiLevelType w:val="multilevel"/>
    <w:tmpl w:val="E9E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35C4A"/>
    <w:multiLevelType w:val="multilevel"/>
    <w:tmpl w:val="865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81915"/>
    <w:multiLevelType w:val="multilevel"/>
    <w:tmpl w:val="DD60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11A0B"/>
    <w:multiLevelType w:val="multilevel"/>
    <w:tmpl w:val="7B20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415E7"/>
    <w:multiLevelType w:val="multilevel"/>
    <w:tmpl w:val="DB4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81B04"/>
    <w:multiLevelType w:val="multilevel"/>
    <w:tmpl w:val="3530F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81083"/>
    <w:multiLevelType w:val="multilevel"/>
    <w:tmpl w:val="64B4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726BC"/>
    <w:multiLevelType w:val="multilevel"/>
    <w:tmpl w:val="8E2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8690A"/>
    <w:multiLevelType w:val="multilevel"/>
    <w:tmpl w:val="C59E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C25EC"/>
    <w:multiLevelType w:val="multilevel"/>
    <w:tmpl w:val="1426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3B11BC"/>
    <w:multiLevelType w:val="multilevel"/>
    <w:tmpl w:val="0E8E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7F1A25"/>
    <w:multiLevelType w:val="multilevel"/>
    <w:tmpl w:val="62AA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325B94"/>
    <w:multiLevelType w:val="multilevel"/>
    <w:tmpl w:val="115A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10C98"/>
    <w:multiLevelType w:val="multilevel"/>
    <w:tmpl w:val="A0E87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172860"/>
    <w:multiLevelType w:val="multilevel"/>
    <w:tmpl w:val="3946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764628">
    <w:abstractNumId w:val="5"/>
  </w:num>
  <w:num w:numId="2" w16cid:durableId="830295661">
    <w:abstractNumId w:val="14"/>
  </w:num>
  <w:num w:numId="3" w16cid:durableId="787284066">
    <w:abstractNumId w:val="11"/>
  </w:num>
  <w:num w:numId="4" w16cid:durableId="330449648">
    <w:abstractNumId w:val="17"/>
  </w:num>
  <w:num w:numId="5" w16cid:durableId="106704782">
    <w:abstractNumId w:val="6"/>
  </w:num>
  <w:num w:numId="6" w16cid:durableId="1504248167">
    <w:abstractNumId w:val="3"/>
  </w:num>
  <w:num w:numId="7" w16cid:durableId="2121337060">
    <w:abstractNumId w:val="24"/>
  </w:num>
  <w:num w:numId="8" w16cid:durableId="881328229">
    <w:abstractNumId w:val="7"/>
  </w:num>
  <w:num w:numId="9" w16cid:durableId="297998085">
    <w:abstractNumId w:val="16"/>
  </w:num>
  <w:num w:numId="10" w16cid:durableId="1625430492">
    <w:abstractNumId w:val="18"/>
  </w:num>
  <w:num w:numId="11" w16cid:durableId="219052278">
    <w:abstractNumId w:val="9"/>
  </w:num>
  <w:num w:numId="12" w16cid:durableId="1288664502">
    <w:abstractNumId w:val="15"/>
  </w:num>
  <w:num w:numId="13" w16cid:durableId="1244487879">
    <w:abstractNumId w:val="4"/>
  </w:num>
  <w:num w:numId="14" w16cid:durableId="1858495999">
    <w:abstractNumId w:val="22"/>
  </w:num>
  <w:num w:numId="15" w16cid:durableId="1690372360">
    <w:abstractNumId w:val="2"/>
  </w:num>
  <w:num w:numId="16" w16cid:durableId="1594315713">
    <w:abstractNumId w:val="21"/>
  </w:num>
  <w:num w:numId="17" w16cid:durableId="1024555482">
    <w:abstractNumId w:val="12"/>
  </w:num>
  <w:num w:numId="18" w16cid:durableId="406877583">
    <w:abstractNumId w:val="19"/>
  </w:num>
  <w:num w:numId="19" w16cid:durableId="1689747420">
    <w:abstractNumId w:val="8"/>
  </w:num>
  <w:num w:numId="20" w16cid:durableId="1439179161">
    <w:abstractNumId w:val="25"/>
  </w:num>
  <w:num w:numId="21" w16cid:durableId="1237326315">
    <w:abstractNumId w:val="13"/>
  </w:num>
  <w:num w:numId="22" w16cid:durableId="1005136121">
    <w:abstractNumId w:val="10"/>
  </w:num>
  <w:num w:numId="23" w16cid:durableId="801920545">
    <w:abstractNumId w:val="1"/>
  </w:num>
  <w:num w:numId="24" w16cid:durableId="483670165">
    <w:abstractNumId w:val="23"/>
  </w:num>
  <w:num w:numId="25" w16cid:durableId="894511633">
    <w:abstractNumId w:val="20"/>
  </w:num>
  <w:num w:numId="26" w16cid:durableId="15981768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7B0"/>
    <w:rsid w:val="00015473"/>
    <w:rsid w:val="000909FE"/>
    <w:rsid w:val="0029648E"/>
    <w:rsid w:val="003117B0"/>
    <w:rsid w:val="0036724C"/>
    <w:rsid w:val="00535715"/>
    <w:rsid w:val="0053652E"/>
    <w:rsid w:val="00551702"/>
    <w:rsid w:val="006912A7"/>
    <w:rsid w:val="006C46AC"/>
    <w:rsid w:val="00847E43"/>
    <w:rsid w:val="009042A3"/>
    <w:rsid w:val="009A6FBF"/>
    <w:rsid w:val="00C1697F"/>
    <w:rsid w:val="00EE44D7"/>
    <w:rsid w:val="00EF04A5"/>
    <w:rsid w:val="00FF0886"/>
    <w:rsid w:val="00FF2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3B9ACD"/>
  <w15:chartTrackingRefBased/>
  <w15:docId w15:val="{BECADB33-ABC9-9D44-8A6C-A26E0718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1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1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7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17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1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7B0"/>
    <w:rPr>
      <w:rFonts w:eastAsiaTheme="majorEastAsia" w:cstheme="majorBidi"/>
      <w:color w:val="272727" w:themeColor="text1" w:themeTint="D8"/>
    </w:rPr>
  </w:style>
  <w:style w:type="paragraph" w:styleId="Title">
    <w:name w:val="Title"/>
    <w:basedOn w:val="Normal"/>
    <w:next w:val="Normal"/>
    <w:link w:val="TitleChar"/>
    <w:uiPriority w:val="10"/>
    <w:qFormat/>
    <w:rsid w:val="00311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7B0"/>
    <w:pPr>
      <w:spacing w:before="160"/>
      <w:jc w:val="center"/>
    </w:pPr>
    <w:rPr>
      <w:i/>
      <w:iCs/>
      <w:color w:val="404040" w:themeColor="text1" w:themeTint="BF"/>
    </w:rPr>
  </w:style>
  <w:style w:type="character" w:customStyle="1" w:styleId="QuoteChar">
    <w:name w:val="Quote Char"/>
    <w:basedOn w:val="DefaultParagraphFont"/>
    <w:link w:val="Quote"/>
    <w:uiPriority w:val="29"/>
    <w:rsid w:val="003117B0"/>
    <w:rPr>
      <w:i/>
      <w:iCs/>
      <w:color w:val="404040" w:themeColor="text1" w:themeTint="BF"/>
    </w:rPr>
  </w:style>
  <w:style w:type="paragraph" w:styleId="ListParagraph">
    <w:name w:val="List Paragraph"/>
    <w:basedOn w:val="Normal"/>
    <w:uiPriority w:val="34"/>
    <w:qFormat/>
    <w:rsid w:val="003117B0"/>
    <w:pPr>
      <w:ind w:left="720"/>
      <w:contextualSpacing/>
    </w:pPr>
  </w:style>
  <w:style w:type="character" w:styleId="IntenseEmphasis">
    <w:name w:val="Intense Emphasis"/>
    <w:basedOn w:val="DefaultParagraphFont"/>
    <w:uiPriority w:val="21"/>
    <w:qFormat/>
    <w:rsid w:val="003117B0"/>
    <w:rPr>
      <w:i/>
      <w:iCs/>
      <w:color w:val="0F4761" w:themeColor="accent1" w:themeShade="BF"/>
    </w:rPr>
  </w:style>
  <w:style w:type="paragraph" w:styleId="IntenseQuote">
    <w:name w:val="Intense Quote"/>
    <w:basedOn w:val="Normal"/>
    <w:next w:val="Normal"/>
    <w:link w:val="IntenseQuoteChar"/>
    <w:uiPriority w:val="30"/>
    <w:qFormat/>
    <w:rsid w:val="00311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7B0"/>
    <w:rPr>
      <w:i/>
      <w:iCs/>
      <w:color w:val="0F4761" w:themeColor="accent1" w:themeShade="BF"/>
    </w:rPr>
  </w:style>
  <w:style w:type="character" w:styleId="IntenseReference">
    <w:name w:val="Intense Reference"/>
    <w:basedOn w:val="DefaultParagraphFont"/>
    <w:uiPriority w:val="32"/>
    <w:qFormat/>
    <w:rsid w:val="003117B0"/>
    <w:rPr>
      <w:b/>
      <w:bCs/>
      <w:smallCaps/>
      <w:color w:val="0F4761" w:themeColor="accent1" w:themeShade="BF"/>
      <w:spacing w:val="5"/>
    </w:rPr>
  </w:style>
  <w:style w:type="paragraph" w:styleId="NormalWeb">
    <w:name w:val="Normal (Web)"/>
    <w:basedOn w:val="Normal"/>
    <w:uiPriority w:val="99"/>
    <w:semiHidden/>
    <w:unhideWhenUsed/>
    <w:rsid w:val="003117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117B0"/>
    <w:rPr>
      <w:i/>
      <w:iCs/>
    </w:rPr>
  </w:style>
  <w:style w:type="character" w:styleId="Strong">
    <w:name w:val="Strong"/>
    <w:basedOn w:val="DefaultParagraphFont"/>
    <w:uiPriority w:val="22"/>
    <w:qFormat/>
    <w:rsid w:val="003117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1286</Words>
  <Characters>7332</Characters>
  <Application>Microsoft Office Word</Application>
  <DocSecurity>0</DocSecurity>
  <Lines>61</Lines>
  <Paragraphs>17</Paragraphs>
  <ScaleCrop>false</ScaleCrop>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Basescu</dc:creator>
  <cp:keywords/>
  <dc:description/>
  <cp:lastModifiedBy>Simon Basescu</cp:lastModifiedBy>
  <cp:revision>6</cp:revision>
  <dcterms:created xsi:type="dcterms:W3CDTF">2026-10-13T14:47:00Z</dcterms:created>
  <dcterms:modified xsi:type="dcterms:W3CDTF">2026-10-13T15:47:00Z</dcterms:modified>
</cp:coreProperties>
</file>