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5A6" w:rsidRDefault="0087007E" w:rsidP="0087007E">
      <w:pPr>
        <w:pStyle w:val="Title"/>
      </w:pPr>
      <w:r>
        <w:t>Delta smelt conditions report</w:t>
      </w:r>
    </w:p>
    <w:p w:rsidR="0087007E" w:rsidRPr="0087007E" w:rsidRDefault="0087007E" w:rsidP="0087007E">
      <w:pPr>
        <w:pStyle w:val="Subtitle"/>
      </w:pPr>
      <w:r>
        <w:t>Appendix 1: Supplemental methods and data sources</w:t>
      </w:r>
    </w:p>
    <w:p w:rsidR="0071695F" w:rsidRDefault="0071695F" w:rsidP="0087007E">
      <w:pPr>
        <w:pStyle w:val="Heading1"/>
        <w:rPr>
          <w:rFonts w:eastAsia="Times New Roman"/>
        </w:rPr>
      </w:pPr>
      <w:r>
        <w:rPr>
          <w:rFonts w:eastAsia="Times New Roman"/>
        </w:rPr>
        <w:t>Methods</w:t>
      </w:r>
    </w:p>
    <w:p w:rsidR="0071695F" w:rsidRDefault="0071695F" w:rsidP="0071695F">
      <w:r>
        <w:tab/>
        <w:t xml:space="preserve">Data collected from </w:t>
      </w:r>
      <w:r w:rsidR="004B0D19">
        <w:t>2002</w:t>
      </w:r>
      <w:r w:rsidR="00805951">
        <w:t xml:space="preserve"> </w:t>
      </w:r>
      <w:r>
        <w:t>-</w:t>
      </w:r>
      <w:r w:rsidR="00805951">
        <w:t xml:space="preserve"> </w:t>
      </w:r>
      <w:r>
        <w:t xml:space="preserve">present within our regional strata were included in this report. </w:t>
      </w:r>
      <w:r w:rsidR="0038342B">
        <w:t xml:space="preserve">We used regional strata from the Enhanced Delta Smelt Monitoring (EDSM) </w:t>
      </w:r>
      <w:r w:rsidR="00A9297D" w:rsidRPr="00A9297D">
        <w:t>2018-19 phase I strata</w:t>
      </w:r>
      <w:r w:rsidR="00A9297D">
        <w:t>.</w:t>
      </w:r>
      <w:r w:rsidR="00A9297D" w:rsidRPr="00A9297D">
        <w:t xml:space="preserve"> </w:t>
      </w:r>
      <w:r w:rsidR="00A9297D">
        <w:t xml:space="preserve">The Western Delta region was excluded because it is almost never occupied by Delta Smelt. </w:t>
      </w:r>
      <w:r w:rsidR="004779D8">
        <w:t xml:space="preserve">Secchi depth, salinity, chlorophyll, phytoplankton, cyanobacteria, zooplankton, and bivalve data were first filtered to </w:t>
      </w:r>
      <w:r w:rsidR="00AB7603">
        <w:t>only include data within the</w:t>
      </w:r>
      <w:r w:rsidR="004779D8">
        <w:t xml:space="preserve"> season of interest. Monthly means were calculated for outflow and X2. Annual</w:t>
      </w:r>
      <w:r>
        <w:t xml:space="preserve"> means </w:t>
      </w:r>
      <w:r w:rsidR="008D74DE">
        <w:t xml:space="preserve">for the selected season </w:t>
      </w:r>
      <w:r w:rsidR="004779D8">
        <w:t xml:space="preserve">within each region </w:t>
      </w:r>
      <w:r>
        <w:t xml:space="preserve">were calculated for </w:t>
      </w:r>
      <w:r w:rsidR="00805951">
        <w:t>S</w:t>
      </w:r>
      <w:r>
        <w:t xml:space="preserve">ecchi depth, </w:t>
      </w:r>
      <w:r w:rsidR="004779D8">
        <w:t>s</w:t>
      </w:r>
      <w:r>
        <w:t>alinity</w:t>
      </w:r>
      <w:r w:rsidR="004779D8">
        <w:t>, c</w:t>
      </w:r>
      <w:r w:rsidR="00AB7603">
        <w:t>hlorophyll</w:t>
      </w:r>
      <w:r w:rsidR="004779D8">
        <w:t>, p</w:t>
      </w:r>
      <w:r w:rsidR="009836B3">
        <w:t xml:space="preserve">hytoplankton, </w:t>
      </w:r>
      <w:r w:rsidR="004779D8">
        <w:t>cyanobacteria, z</w:t>
      </w:r>
      <w:r w:rsidR="009836B3">
        <w:t xml:space="preserve">ooplankton, and </w:t>
      </w:r>
      <w:r w:rsidR="004779D8">
        <w:t>b</w:t>
      </w:r>
      <w:r w:rsidR="009836B3">
        <w:t xml:space="preserve">ivalve data. </w:t>
      </w:r>
      <w:r w:rsidR="006F53C2">
        <w:t xml:space="preserve">For temperature, we </w:t>
      </w:r>
      <w:r w:rsidR="001E2011">
        <w:t>calculated</w:t>
      </w:r>
      <w:r w:rsidR="006F53C2">
        <w:t xml:space="preserve"> the</w:t>
      </w:r>
      <w:r w:rsidR="001E2011">
        <w:t xml:space="preserve"> water</w:t>
      </w:r>
      <w:r w:rsidR="006F53C2">
        <w:t xml:space="preserve"> temperatures of the hot</w:t>
      </w:r>
      <w:r w:rsidR="004416C2">
        <w:t>test, average, and coldest months</w:t>
      </w:r>
      <w:r w:rsidR="008C32DF">
        <w:t xml:space="preserve"> of the </w:t>
      </w:r>
      <w:r w:rsidR="003063E7">
        <w:t>summer</w:t>
      </w:r>
      <w:r w:rsidR="006F53C2">
        <w:t xml:space="preserve">. </w:t>
      </w:r>
      <w:r w:rsidR="009836B3">
        <w:t xml:space="preserve">The relative frequencies of </w:t>
      </w:r>
      <w:r w:rsidR="0004691B" w:rsidRPr="0004691B">
        <w:rPr>
          <w:i/>
        </w:rPr>
        <w:t>M</w:t>
      </w:r>
      <w:r w:rsidR="009836B3" w:rsidRPr="0004691B">
        <w:rPr>
          <w:i/>
        </w:rPr>
        <w:t>icrocystis</w:t>
      </w:r>
      <w:r w:rsidR="009836B3">
        <w:t xml:space="preserve"> index values (1-5) </w:t>
      </w:r>
      <w:r w:rsidR="00423936">
        <w:t xml:space="preserve">in the summer </w:t>
      </w:r>
      <w:bookmarkStart w:id="0" w:name="_GoBack"/>
      <w:bookmarkEnd w:id="0"/>
      <w:r w:rsidR="009836B3">
        <w:t xml:space="preserve">were calculated for each year and region. </w:t>
      </w:r>
      <w:r w:rsidR="004779D8">
        <w:t xml:space="preserve">Official Delta Smelt indices were used from the Fall Midwater Trawl (FMWT), Spring Kodiac Trawl (SKT), Summer Townet (STN), and 20-mm (20mm) surveys. Official abundance estimates from </w:t>
      </w:r>
      <w:r w:rsidR="005349D2">
        <w:t>EDSM</w:t>
      </w:r>
      <w:r w:rsidR="004779D8">
        <w:t xml:space="preserve"> were </w:t>
      </w:r>
      <w:r w:rsidR="004B0D19">
        <w:t xml:space="preserve">averaged monthly within each region and confidence intervals were calculated based on the lognormal distribution as described in Polansky et al. </w:t>
      </w:r>
      <w:r w:rsidR="004B0D19">
        <w:fldChar w:fldCharType="begin"/>
      </w:r>
      <w:r w:rsidR="004B0D19">
        <w:instrText xml:space="preserve"> ADDIN ZOTERO_ITEM CSL_CITATION {"citationID":"QalPU64C","properties":{"formattedCitation":"(2019)","plainCitation":"(2019)","noteIndex":0},"citationItems":[{"id":158,"uris":["http://zotero.org/users/local/07NvJTro/items/8SEYZK99"],"uri":["http://zotero.org/users/local/07NvJTro/items/8SEYZK99"],"itemData":{"id":158,"type":"article-journal","title":"Using Multistage Design-Based Methods to Construct Abundance Indices and Uncertainty Measures for Delta Smelt","container-title":"Transactions of the American Fisheries Society","page":"710-724","volume":"148","issue":"4","source":"Wiley Online Library","abstract":"Population abundance indices and estimates of uncertainty are starting points for many scientific endeavors. However, if the indices are based on data collected by different monitoring programs with possibly different sampling procedures and efficiencies, applying consistent methodology for calculating them can be complicated. Ideally, the methodology will provide indices and associated measures of uncertainty that account for the sample design, the level of sampling effort (e.g., sample size), and the capture or detection probabilities. We develop and demonstrate consistent methodology for multiple monitoring programs that sample different life stages of Delta Smelt Hypomesus transpacificus, a critically endangered fish species endemic to the San Francisco Estuary, whose abundance indices have been at the center of much controversy given the regulatory consequences of their listed status. Current indices use different and incomparable methods, do not account for gear selectivity, and do not provide measures of uncertainty. Using recently available information on gear-specific, length-based conditional probabilities of capture given availability, we develop new abundance indices along with measures of uncertainty by means of a single methodological approach. These new indices are highly correlated with existing ones, but the approach taken here illuminates different sources of bias and quantifies between-year variation using probabilistic statements where the previous indices cannot. Decomposition of uncertainty into its constituent sources reveals that early life stage uncertainty is dominated by gear inefficiency while later life stage uncertainty is dominated by sample size, thus providing guidance for improvements to existing surveys. An additional result of general methodological interest is a demonstration, via simulation intended to reflect realistic data properties, that a lognormal distribution is preferable to the normal distribution for making probabilistic statements about the indices. The work here facilitates the fitting of models attempting to identify factors associated with the dynamics and decline of the species.","DOI":"10.1002/tafs.10166","ISSN":"1548-8659","language":"en","author":[{"family":"Polansky","given":"Leo"},{"family":"Mitchell","given":"Lara"},{"family":"Newman","given":"Ken B."}],"issued":{"date-parts":[["2019"]]}},"suppress-author":true}],"schema":"https://github.com/citation-style-language/schema/raw/master/csl-citation.json"} </w:instrText>
      </w:r>
      <w:r w:rsidR="004B0D19">
        <w:fldChar w:fldCharType="separate"/>
      </w:r>
      <w:r w:rsidR="004B0D19" w:rsidRPr="004B0D19">
        <w:rPr>
          <w:rFonts w:ascii="Calibri" w:hAnsi="Calibri" w:cs="Calibri"/>
        </w:rPr>
        <w:t>(2019)</w:t>
      </w:r>
      <w:r w:rsidR="004B0D19">
        <w:fldChar w:fldCharType="end"/>
      </w:r>
      <w:r w:rsidR="004B0D19">
        <w:t xml:space="preserve">. </w:t>
      </w:r>
    </w:p>
    <w:p w:rsidR="003E720A" w:rsidRPr="00940DF9" w:rsidRDefault="00940DF9" w:rsidP="00940DF9">
      <w:r>
        <w:rPr>
          <w:b/>
        </w:rPr>
        <w:t xml:space="preserve">Table 1. </w:t>
      </w:r>
      <w:r>
        <w:t xml:space="preserve">Acronyms and responsible agencies for </w:t>
      </w:r>
      <w:r w:rsidR="003C4D6B">
        <w:t xml:space="preserve">each dataset used in this report. </w:t>
      </w:r>
    </w:p>
    <w:tbl>
      <w:tblPr>
        <w:tblStyle w:val="ListTable4"/>
        <w:tblW w:w="0" w:type="auto"/>
        <w:tblLook w:val="04A0" w:firstRow="1" w:lastRow="0" w:firstColumn="1" w:lastColumn="0" w:noHBand="0" w:noVBand="1"/>
      </w:tblPr>
      <w:tblGrid>
        <w:gridCol w:w="3510"/>
        <w:gridCol w:w="1080"/>
        <w:gridCol w:w="4590"/>
      </w:tblGrid>
      <w:tr w:rsidR="003E720A" w:rsidTr="003C4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3E720A" w:rsidRDefault="0087007E" w:rsidP="003E720A">
            <w:r>
              <w:t>Source</w:t>
            </w:r>
          </w:p>
        </w:tc>
        <w:tc>
          <w:tcPr>
            <w:tcW w:w="1080" w:type="dxa"/>
          </w:tcPr>
          <w:p w:rsidR="003E720A" w:rsidRDefault="003E720A" w:rsidP="003E720A">
            <w:pPr>
              <w:cnfStyle w:val="100000000000" w:firstRow="1" w:lastRow="0" w:firstColumn="0" w:lastColumn="0" w:oddVBand="0" w:evenVBand="0" w:oddHBand="0" w:evenHBand="0" w:firstRowFirstColumn="0" w:firstRowLastColumn="0" w:lastRowFirstColumn="0" w:lastRowLastColumn="0"/>
            </w:pPr>
            <w:r>
              <w:t>Acronym</w:t>
            </w:r>
          </w:p>
        </w:tc>
        <w:tc>
          <w:tcPr>
            <w:tcW w:w="4590" w:type="dxa"/>
          </w:tcPr>
          <w:p w:rsidR="003E720A" w:rsidRDefault="003E720A" w:rsidP="00D1211A">
            <w:pPr>
              <w:cnfStyle w:val="100000000000" w:firstRow="1" w:lastRow="0" w:firstColumn="0" w:lastColumn="0" w:oddVBand="0" w:evenVBand="0" w:oddHBand="0" w:evenHBand="0" w:firstRowFirstColumn="0" w:firstRowLastColumn="0" w:lastRowFirstColumn="0" w:lastRowLastColumn="0"/>
            </w:pPr>
            <w:r>
              <w:t>Agenc</w:t>
            </w:r>
            <w:r w:rsidR="00D1211A">
              <w:t>y</w:t>
            </w:r>
          </w:p>
        </w:tc>
      </w:tr>
      <w:tr w:rsidR="003E720A" w:rsidTr="003C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3E720A" w:rsidRDefault="003E720A" w:rsidP="003E720A">
            <w:r>
              <w:t>Environmental Monitoring Program</w:t>
            </w:r>
          </w:p>
        </w:tc>
        <w:tc>
          <w:tcPr>
            <w:tcW w:w="1080" w:type="dxa"/>
          </w:tcPr>
          <w:p w:rsidR="003E720A" w:rsidRDefault="003E720A" w:rsidP="003E720A">
            <w:pPr>
              <w:cnfStyle w:val="000000100000" w:firstRow="0" w:lastRow="0" w:firstColumn="0" w:lastColumn="0" w:oddVBand="0" w:evenVBand="0" w:oddHBand="1" w:evenHBand="0" w:firstRowFirstColumn="0" w:firstRowLastColumn="0" w:lastRowFirstColumn="0" w:lastRowLastColumn="0"/>
            </w:pPr>
            <w:r>
              <w:t>EMP</w:t>
            </w:r>
          </w:p>
        </w:tc>
        <w:tc>
          <w:tcPr>
            <w:tcW w:w="4590" w:type="dxa"/>
          </w:tcPr>
          <w:p w:rsidR="003E720A" w:rsidRDefault="002565F0" w:rsidP="003E720A">
            <w:pPr>
              <w:cnfStyle w:val="000000100000" w:firstRow="0" w:lastRow="0" w:firstColumn="0" w:lastColumn="0" w:oddVBand="0" w:evenVBand="0" w:oddHBand="1" w:evenHBand="0" w:firstRowFirstColumn="0" w:firstRowLastColumn="0" w:lastRowFirstColumn="0" w:lastRowLastColumn="0"/>
            </w:pPr>
            <w:r>
              <w:t>California Department of Fish and Wildlife, Department of Water Resources</w:t>
            </w:r>
          </w:p>
        </w:tc>
      </w:tr>
      <w:tr w:rsidR="003E720A" w:rsidTr="003C4D6B">
        <w:tc>
          <w:tcPr>
            <w:cnfStyle w:val="001000000000" w:firstRow="0" w:lastRow="0" w:firstColumn="1" w:lastColumn="0" w:oddVBand="0" w:evenVBand="0" w:oddHBand="0" w:evenHBand="0" w:firstRowFirstColumn="0" w:firstRowLastColumn="0" w:lastRowFirstColumn="0" w:lastRowLastColumn="0"/>
            <w:tcW w:w="3510" w:type="dxa"/>
          </w:tcPr>
          <w:p w:rsidR="003E720A" w:rsidRDefault="003E720A" w:rsidP="003E720A">
            <w:r>
              <w:t>Fall Midwater Trawl</w:t>
            </w:r>
          </w:p>
        </w:tc>
        <w:tc>
          <w:tcPr>
            <w:tcW w:w="1080" w:type="dxa"/>
          </w:tcPr>
          <w:p w:rsidR="003E720A" w:rsidRDefault="003E720A" w:rsidP="003E720A">
            <w:pPr>
              <w:cnfStyle w:val="000000000000" w:firstRow="0" w:lastRow="0" w:firstColumn="0" w:lastColumn="0" w:oddVBand="0" w:evenVBand="0" w:oddHBand="0" w:evenHBand="0" w:firstRowFirstColumn="0" w:firstRowLastColumn="0" w:lastRowFirstColumn="0" w:lastRowLastColumn="0"/>
            </w:pPr>
            <w:r>
              <w:t>FMWT</w:t>
            </w:r>
          </w:p>
        </w:tc>
        <w:tc>
          <w:tcPr>
            <w:tcW w:w="4590" w:type="dxa"/>
          </w:tcPr>
          <w:p w:rsidR="003E720A" w:rsidRDefault="002565F0" w:rsidP="003E720A">
            <w:pPr>
              <w:cnfStyle w:val="000000000000" w:firstRow="0" w:lastRow="0" w:firstColumn="0" w:lastColumn="0" w:oddVBand="0" w:evenVBand="0" w:oddHBand="0" w:evenHBand="0" w:firstRowFirstColumn="0" w:firstRowLastColumn="0" w:lastRowFirstColumn="0" w:lastRowLastColumn="0"/>
            </w:pPr>
            <w:r>
              <w:t>California Department of Fish and Wildlife</w:t>
            </w:r>
          </w:p>
        </w:tc>
      </w:tr>
      <w:tr w:rsidR="003E720A" w:rsidTr="003C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3E720A" w:rsidRDefault="003E720A" w:rsidP="003E720A">
            <w:r>
              <w:t>Summer Townet</w:t>
            </w:r>
          </w:p>
        </w:tc>
        <w:tc>
          <w:tcPr>
            <w:tcW w:w="1080" w:type="dxa"/>
          </w:tcPr>
          <w:p w:rsidR="003E720A" w:rsidRDefault="003E720A" w:rsidP="003E720A">
            <w:pPr>
              <w:cnfStyle w:val="000000100000" w:firstRow="0" w:lastRow="0" w:firstColumn="0" w:lastColumn="0" w:oddVBand="0" w:evenVBand="0" w:oddHBand="1" w:evenHBand="0" w:firstRowFirstColumn="0" w:firstRowLastColumn="0" w:lastRowFirstColumn="0" w:lastRowLastColumn="0"/>
            </w:pPr>
            <w:r>
              <w:t>STN</w:t>
            </w:r>
          </w:p>
        </w:tc>
        <w:tc>
          <w:tcPr>
            <w:tcW w:w="4590" w:type="dxa"/>
          </w:tcPr>
          <w:p w:rsidR="003E720A" w:rsidRDefault="002565F0" w:rsidP="003E720A">
            <w:pPr>
              <w:cnfStyle w:val="000000100000" w:firstRow="0" w:lastRow="0" w:firstColumn="0" w:lastColumn="0" w:oddVBand="0" w:evenVBand="0" w:oddHBand="1" w:evenHBand="0" w:firstRowFirstColumn="0" w:firstRowLastColumn="0" w:lastRowFirstColumn="0" w:lastRowLastColumn="0"/>
            </w:pPr>
            <w:r>
              <w:t>California Department of Fish and Wildlife</w:t>
            </w:r>
          </w:p>
        </w:tc>
      </w:tr>
      <w:tr w:rsidR="003E720A" w:rsidTr="003C4D6B">
        <w:tc>
          <w:tcPr>
            <w:cnfStyle w:val="001000000000" w:firstRow="0" w:lastRow="0" w:firstColumn="1" w:lastColumn="0" w:oddVBand="0" w:evenVBand="0" w:oddHBand="0" w:evenHBand="0" w:firstRowFirstColumn="0" w:firstRowLastColumn="0" w:lastRowFirstColumn="0" w:lastRowLastColumn="0"/>
            <w:tcW w:w="3510" w:type="dxa"/>
          </w:tcPr>
          <w:p w:rsidR="003E720A" w:rsidRDefault="003E720A" w:rsidP="003E720A">
            <w:r>
              <w:t>Enhanced Delta Smelt Monitoring</w:t>
            </w:r>
          </w:p>
        </w:tc>
        <w:tc>
          <w:tcPr>
            <w:tcW w:w="1080" w:type="dxa"/>
          </w:tcPr>
          <w:p w:rsidR="003E720A" w:rsidRDefault="003E720A" w:rsidP="003E720A">
            <w:pPr>
              <w:cnfStyle w:val="000000000000" w:firstRow="0" w:lastRow="0" w:firstColumn="0" w:lastColumn="0" w:oddVBand="0" w:evenVBand="0" w:oddHBand="0" w:evenHBand="0" w:firstRowFirstColumn="0" w:firstRowLastColumn="0" w:lastRowFirstColumn="0" w:lastRowLastColumn="0"/>
            </w:pPr>
            <w:r>
              <w:t>EDSM</w:t>
            </w:r>
          </w:p>
        </w:tc>
        <w:tc>
          <w:tcPr>
            <w:tcW w:w="4590" w:type="dxa"/>
          </w:tcPr>
          <w:p w:rsidR="003E720A" w:rsidRDefault="002565F0" w:rsidP="003E720A">
            <w:pPr>
              <w:cnfStyle w:val="000000000000" w:firstRow="0" w:lastRow="0" w:firstColumn="0" w:lastColumn="0" w:oddVBand="0" w:evenVBand="0" w:oddHBand="0" w:evenHBand="0" w:firstRowFirstColumn="0" w:firstRowLastColumn="0" w:lastRowFirstColumn="0" w:lastRowLastColumn="0"/>
            </w:pPr>
            <w:r>
              <w:t>United States Fish and Wildlife Service</w:t>
            </w:r>
          </w:p>
        </w:tc>
      </w:tr>
      <w:tr w:rsidR="003E720A" w:rsidTr="003C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3E720A" w:rsidRDefault="003E720A" w:rsidP="003E720A">
            <w:r>
              <w:t>Dayflow</w:t>
            </w:r>
          </w:p>
        </w:tc>
        <w:tc>
          <w:tcPr>
            <w:tcW w:w="1080" w:type="dxa"/>
          </w:tcPr>
          <w:p w:rsidR="003E720A" w:rsidRDefault="003E720A" w:rsidP="003E720A">
            <w:pPr>
              <w:cnfStyle w:val="000000100000" w:firstRow="0" w:lastRow="0" w:firstColumn="0" w:lastColumn="0" w:oddVBand="0" w:evenVBand="0" w:oddHBand="1" w:evenHBand="0" w:firstRowFirstColumn="0" w:firstRowLastColumn="0" w:lastRowFirstColumn="0" w:lastRowLastColumn="0"/>
            </w:pPr>
            <w:r>
              <w:t>Dayflow</w:t>
            </w:r>
          </w:p>
        </w:tc>
        <w:tc>
          <w:tcPr>
            <w:tcW w:w="4590" w:type="dxa"/>
          </w:tcPr>
          <w:p w:rsidR="003E720A" w:rsidRDefault="002565F0" w:rsidP="003E720A">
            <w:pPr>
              <w:cnfStyle w:val="000000100000" w:firstRow="0" w:lastRow="0" w:firstColumn="0" w:lastColumn="0" w:oddVBand="0" w:evenVBand="0" w:oddHBand="1" w:evenHBand="0" w:firstRowFirstColumn="0" w:firstRowLastColumn="0" w:lastRowFirstColumn="0" w:lastRowLastColumn="0"/>
            </w:pPr>
            <w:r>
              <w:t>Department of Water Resources</w:t>
            </w:r>
          </w:p>
        </w:tc>
      </w:tr>
      <w:tr w:rsidR="003E720A" w:rsidTr="003C4D6B">
        <w:tc>
          <w:tcPr>
            <w:cnfStyle w:val="001000000000" w:firstRow="0" w:lastRow="0" w:firstColumn="1" w:lastColumn="0" w:oddVBand="0" w:evenVBand="0" w:oddHBand="0" w:evenHBand="0" w:firstRowFirstColumn="0" w:firstRowLastColumn="0" w:lastRowFirstColumn="0" w:lastRowLastColumn="0"/>
            <w:tcW w:w="3510" w:type="dxa"/>
          </w:tcPr>
          <w:p w:rsidR="003E720A" w:rsidRDefault="00D1211A" w:rsidP="00C442ED">
            <w:r>
              <w:t>Spring Kodia</w:t>
            </w:r>
            <w:r w:rsidR="00C442ED">
              <w:t>k</w:t>
            </w:r>
            <w:r>
              <w:t xml:space="preserve"> Trawl</w:t>
            </w:r>
          </w:p>
        </w:tc>
        <w:tc>
          <w:tcPr>
            <w:tcW w:w="1080" w:type="dxa"/>
          </w:tcPr>
          <w:p w:rsidR="003E720A" w:rsidRDefault="00D1211A" w:rsidP="003E720A">
            <w:pPr>
              <w:cnfStyle w:val="000000000000" w:firstRow="0" w:lastRow="0" w:firstColumn="0" w:lastColumn="0" w:oddVBand="0" w:evenVBand="0" w:oddHBand="0" w:evenHBand="0" w:firstRowFirstColumn="0" w:firstRowLastColumn="0" w:lastRowFirstColumn="0" w:lastRowLastColumn="0"/>
            </w:pPr>
            <w:r>
              <w:t>SKT</w:t>
            </w:r>
          </w:p>
        </w:tc>
        <w:tc>
          <w:tcPr>
            <w:tcW w:w="4590" w:type="dxa"/>
          </w:tcPr>
          <w:p w:rsidR="003E720A" w:rsidRDefault="002565F0" w:rsidP="003E720A">
            <w:pPr>
              <w:cnfStyle w:val="000000000000" w:firstRow="0" w:lastRow="0" w:firstColumn="0" w:lastColumn="0" w:oddVBand="0" w:evenVBand="0" w:oddHBand="0" w:evenHBand="0" w:firstRowFirstColumn="0" w:firstRowLastColumn="0" w:lastRowFirstColumn="0" w:lastRowLastColumn="0"/>
            </w:pPr>
            <w:r>
              <w:t>California Department of Fish and Wildlife</w:t>
            </w:r>
          </w:p>
        </w:tc>
      </w:tr>
      <w:tr w:rsidR="003E720A" w:rsidTr="003C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3E720A" w:rsidRDefault="00D1211A" w:rsidP="003E720A">
            <w:r>
              <w:t>20</w:t>
            </w:r>
            <w:r w:rsidR="008370A1">
              <w:t xml:space="preserve"> </w:t>
            </w:r>
            <w:r>
              <w:t>mm survey</w:t>
            </w:r>
          </w:p>
        </w:tc>
        <w:tc>
          <w:tcPr>
            <w:tcW w:w="1080" w:type="dxa"/>
          </w:tcPr>
          <w:p w:rsidR="003E720A" w:rsidRDefault="00D1211A" w:rsidP="003E720A">
            <w:pPr>
              <w:cnfStyle w:val="000000100000" w:firstRow="0" w:lastRow="0" w:firstColumn="0" w:lastColumn="0" w:oddVBand="0" w:evenVBand="0" w:oddHBand="1" w:evenHBand="0" w:firstRowFirstColumn="0" w:firstRowLastColumn="0" w:lastRowFirstColumn="0" w:lastRowLastColumn="0"/>
            </w:pPr>
            <w:r>
              <w:t>20mm</w:t>
            </w:r>
          </w:p>
        </w:tc>
        <w:tc>
          <w:tcPr>
            <w:tcW w:w="4590" w:type="dxa"/>
          </w:tcPr>
          <w:p w:rsidR="003E720A" w:rsidRDefault="002565F0" w:rsidP="003E720A">
            <w:pPr>
              <w:cnfStyle w:val="000000100000" w:firstRow="0" w:lastRow="0" w:firstColumn="0" w:lastColumn="0" w:oddVBand="0" w:evenVBand="0" w:oddHBand="1" w:evenHBand="0" w:firstRowFirstColumn="0" w:firstRowLastColumn="0" w:lastRowFirstColumn="0" w:lastRowLastColumn="0"/>
            </w:pPr>
            <w:r>
              <w:t>California Department of Fish and Wildlife</w:t>
            </w:r>
          </w:p>
        </w:tc>
      </w:tr>
    </w:tbl>
    <w:p w:rsidR="0087007E" w:rsidRDefault="0087007E" w:rsidP="0087007E">
      <w:pPr>
        <w:pStyle w:val="Heading1"/>
      </w:pPr>
      <w:r>
        <w:t>Data sources</w:t>
      </w:r>
    </w:p>
    <w:p w:rsidR="0087007E" w:rsidRPr="0087007E" w:rsidRDefault="0087007E" w:rsidP="0087007E">
      <w:r w:rsidRPr="00EC45A6">
        <w:t xml:space="preserve">Sources </w:t>
      </w:r>
      <w:r w:rsidR="004920A9">
        <w:t>bolded below</w:t>
      </w:r>
      <w:r w:rsidRPr="00EC45A6">
        <w:t xml:space="preserve"> </w:t>
      </w:r>
      <w:r>
        <w:t xml:space="preserve">were used </w:t>
      </w:r>
      <w:r w:rsidR="004920A9">
        <w:t xml:space="preserve">for those variables </w:t>
      </w:r>
      <w:r>
        <w:t>in the FLOAT MAST report.</w:t>
      </w:r>
      <w:r w:rsidR="00C442ED">
        <w:t xml:space="preserve"> This section </w:t>
      </w:r>
      <w:r w:rsidR="0083178B">
        <w:t xml:space="preserve">lists data sources </w:t>
      </w:r>
      <w:r w:rsidR="000D7C49">
        <w:t>available</w:t>
      </w:r>
      <w:r w:rsidR="0083178B">
        <w:t xml:space="preserve"> for </w:t>
      </w:r>
      <w:r w:rsidR="00355FAC">
        <w:t>the focal seasons used for each variable</w:t>
      </w:r>
      <w:r w:rsidR="0083178B">
        <w:t xml:space="preserve">. For </w:t>
      </w:r>
      <w:r w:rsidR="00355FAC">
        <w:t xml:space="preserve">all </w:t>
      </w:r>
      <w:r w:rsidR="0083178B">
        <w:t xml:space="preserve">data sources </w:t>
      </w:r>
      <w:r w:rsidR="00355FAC">
        <w:t>considered in the report</w:t>
      </w:r>
      <w:r w:rsidR="0083178B">
        <w:t xml:space="preserve">, </w:t>
      </w:r>
      <w:r w:rsidR="004416C2">
        <w:t xml:space="preserve">as well as sampling effort in each region, </w:t>
      </w:r>
      <w:r w:rsidR="0083178B">
        <w:t>see the figure on page 3 of the main report.</w:t>
      </w:r>
    </w:p>
    <w:p w:rsidR="00EC45A6" w:rsidRPr="00EC45A6" w:rsidRDefault="00EC45A6" w:rsidP="00EC45A6">
      <w:pPr>
        <w:pStyle w:val="Heading2"/>
        <w:rPr>
          <w:rFonts w:eastAsia="Times New Roman"/>
        </w:rPr>
      </w:pPr>
      <w:r>
        <w:rPr>
          <w:rFonts w:eastAsia="Times New Roman"/>
        </w:rPr>
        <w:t>Abiotic</w:t>
      </w:r>
      <w:r w:rsidRPr="00EC45A6">
        <w:rPr>
          <w:rFonts w:eastAsia="Times New Roman"/>
        </w:rPr>
        <w:t xml:space="preserve"> variables</w:t>
      </w:r>
    </w:p>
    <w:p w:rsidR="008370A1" w:rsidRDefault="008370A1" w:rsidP="008370A1">
      <w:pPr>
        <w:pStyle w:val="Heading3"/>
        <w:rPr>
          <w:rFonts w:eastAsia="Calibri"/>
        </w:rPr>
      </w:pPr>
      <w:r w:rsidRPr="00EC45A6">
        <w:rPr>
          <w:rFonts w:eastAsia="Calibri"/>
        </w:rPr>
        <w:t>Outflow</w:t>
      </w:r>
    </w:p>
    <w:p w:rsidR="008370A1" w:rsidRPr="005773B8" w:rsidRDefault="008370A1" w:rsidP="008370A1">
      <w:pPr>
        <w:pStyle w:val="ListParagraph"/>
        <w:numPr>
          <w:ilvl w:val="0"/>
          <w:numId w:val="7"/>
        </w:numPr>
        <w:rPr>
          <w:b/>
        </w:rPr>
      </w:pPr>
      <w:r w:rsidRPr="005773B8">
        <w:rPr>
          <w:b/>
        </w:rPr>
        <w:t>Dayflow</w:t>
      </w:r>
    </w:p>
    <w:p w:rsidR="008370A1" w:rsidRDefault="008370A1" w:rsidP="008370A1">
      <w:pPr>
        <w:pStyle w:val="Heading3"/>
        <w:rPr>
          <w:rFonts w:eastAsia="Calibri"/>
        </w:rPr>
      </w:pPr>
      <w:r w:rsidRPr="00EC45A6">
        <w:rPr>
          <w:rFonts w:eastAsia="Calibri"/>
        </w:rPr>
        <w:t>X2</w:t>
      </w:r>
    </w:p>
    <w:p w:rsidR="008370A1" w:rsidRPr="005773B8" w:rsidRDefault="008370A1" w:rsidP="00EC45A6">
      <w:pPr>
        <w:pStyle w:val="ListParagraph"/>
        <w:numPr>
          <w:ilvl w:val="0"/>
          <w:numId w:val="8"/>
        </w:numPr>
        <w:rPr>
          <w:b/>
        </w:rPr>
      </w:pPr>
      <w:r w:rsidRPr="005773B8">
        <w:rPr>
          <w:b/>
        </w:rPr>
        <w:t>Dayflow</w:t>
      </w:r>
    </w:p>
    <w:p w:rsidR="00EC45A6" w:rsidRPr="00EC45A6" w:rsidRDefault="00B840E8" w:rsidP="00EC45A6">
      <w:pPr>
        <w:pStyle w:val="Heading3"/>
        <w:rPr>
          <w:rFonts w:eastAsia="Calibri"/>
        </w:rPr>
      </w:pPr>
      <w:r>
        <w:rPr>
          <w:rFonts w:eastAsia="Calibri"/>
        </w:rPr>
        <w:t xml:space="preserve">Summer </w:t>
      </w:r>
      <w:r w:rsidR="00D24A03">
        <w:rPr>
          <w:rFonts w:eastAsia="Calibri"/>
        </w:rPr>
        <w:t>t</w:t>
      </w:r>
      <w:r w:rsidR="00EC45A6" w:rsidRPr="00EC45A6">
        <w:rPr>
          <w:rFonts w:eastAsia="Calibri"/>
        </w:rPr>
        <w:t>emperature</w:t>
      </w:r>
    </w:p>
    <w:p w:rsidR="0087007E" w:rsidRDefault="00EC45A6" w:rsidP="001E2011">
      <w:pPr>
        <w:pStyle w:val="ListParagraph"/>
        <w:numPr>
          <w:ilvl w:val="0"/>
          <w:numId w:val="5"/>
        </w:numPr>
      </w:pPr>
      <w:r w:rsidRPr="00EC45A6">
        <w:t>EMP</w:t>
      </w:r>
      <w:r w:rsidR="003B65F7">
        <w:t xml:space="preserve"> </w:t>
      </w:r>
    </w:p>
    <w:p w:rsidR="00EC45A6" w:rsidRDefault="00EC45A6" w:rsidP="00EC45A6">
      <w:pPr>
        <w:pStyle w:val="ListParagraph"/>
        <w:numPr>
          <w:ilvl w:val="0"/>
          <w:numId w:val="5"/>
        </w:numPr>
      </w:pPr>
      <w:r>
        <w:lastRenderedPageBreak/>
        <w:t>STN</w:t>
      </w:r>
    </w:p>
    <w:p w:rsidR="00EC45A6" w:rsidRPr="0038342B" w:rsidRDefault="00EC45A6" w:rsidP="0038342B">
      <w:pPr>
        <w:pStyle w:val="ListParagraph"/>
        <w:numPr>
          <w:ilvl w:val="0"/>
          <w:numId w:val="5"/>
        </w:numPr>
      </w:pPr>
      <w:r>
        <w:t>EDSM</w:t>
      </w:r>
    </w:p>
    <w:p w:rsidR="00EC45A6" w:rsidRDefault="00D24A03" w:rsidP="00EC45A6">
      <w:pPr>
        <w:pStyle w:val="Heading3"/>
        <w:rPr>
          <w:rFonts w:eastAsia="Calibri"/>
        </w:rPr>
      </w:pPr>
      <w:r>
        <w:rPr>
          <w:rFonts w:eastAsia="Calibri"/>
        </w:rPr>
        <w:t>Fall Secchi d</w:t>
      </w:r>
      <w:r w:rsidR="00EC45A6" w:rsidRPr="00EC45A6">
        <w:rPr>
          <w:rFonts w:eastAsia="Calibri"/>
        </w:rPr>
        <w:t>epth</w:t>
      </w:r>
    </w:p>
    <w:p w:rsidR="00EC45A6" w:rsidRDefault="00EC45A6" w:rsidP="00EC45A6">
      <w:pPr>
        <w:pStyle w:val="ListParagraph"/>
        <w:numPr>
          <w:ilvl w:val="0"/>
          <w:numId w:val="4"/>
        </w:numPr>
      </w:pPr>
      <w:r>
        <w:t>EMP</w:t>
      </w:r>
    </w:p>
    <w:p w:rsidR="00EC45A6" w:rsidRPr="00EC45A6" w:rsidRDefault="00EC45A6" w:rsidP="00EC45A6">
      <w:pPr>
        <w:pStyle w:val="ListParagraph"/>
        <w:numPr>
          <w:ilvl w:val="0"/>
          <w:numId w:val="4"/>
        </w:numPr>
        <w:rPr>
          <w:b/>
        </w:rPr>
      </w:pPr>
      <w:r w:rsidRPr="00EC45A6">
        <w:rPr>
          <w:b/>
        </w:rPr>
        <w:t>FMWT</w:t>
      </w:r>
    </w:p>
    <w:p w:rsidR="00EC45A6" w:rsidRPr="00EC45A6" w:rsidRDefault="00EC45A6" w:rsidP="00EC45A6">
      <w:pPr>
        <w:pStyle w:val="ListParagraph"/>
        <w:numPr>
          <w:ilvl w:val="0"/>
          <w:numId w:val="4"/>
        </w:numPr>
        <w:rPr>
          <w:b/>
        </w:rPr>
      </w:pPr>
      <w:r w:rsidRPr="00EC45A6">
        <w:rPr>
          <w:b/>
        </w:rPr>
        <w:t>EDSM</w:t>
      </w:r>
    </w:p>
    <w:p w:rsidR="00EC45A6" w:rsidRDefault="00A218A2" w:rsidP="00EC45A6">
      <w:pPr>
        <w:pStyle w:val="Heading3"/>
        <w:rPr>
          <w:rFonts w:eastAsia="Calibri"/>
        </w:rPr>
      </w:pPr>
      <w:r>
        <w:rPr>
          <w:rFonts w:eastAsia="Calibri"/>
        </w:rPr>
        <w:t>Fall s</w:t>
      </w:r>
      <w:r w:rsidR="00EC45A6" w:rsidRPr="00EC45A6">
        <w:rPr>
          <w:rFonts w:eastAsia="Calibri"/>
        </w:rPr>
        <w:t>alinity</w:t>
      </w:r>
    </w:p>
    <w:p w:rsidR="00EC45A6" w:rsidRPr="00EC45A6" w:rsidRDefault="00EC45A6" w:rsidP="00EC45A6">
      <w:pPr>
        <w:pStyle w:val="ListParagraph"/>
        <w:numPr>
          <w:ilvl w:val="0"/>
          <w:numId w:val="6"/>
        </w:numPr>
      </w:pPr>
      <w:r w:rsidRPr="00EC45A6">
        <w:t>EMP</w:t>
      </w:r>
    </w:p>
    <w:p w:rsidR="00EC45A6" w:rsidRPr="00EC45A6" w:rsidRDefault="00EC45A6" w:rsidP="00844C35">
      <w:pPr>
        <w:pStyle w:val="ListParagraph"/>
        <w:numPr>
          <w:ilvl w:val="0"/>
          <w:numId w:val="6"/>
        </w:numPr>
      </w:pPr>
      <w:r>
        <w:t>FMWT</w:t>
      </w:r>
    </w:p>
    <w:p w:rsidR="00EC45A6" w:rsidRPr="00EC45A6" w:rsidRDefault="00503A3F" w:rsidP="00EC45A6">
      <w:pPr>
        <w:pStyle w:val="Heading2"/>
        <w:rPr>
          <w:rFonts w:eastAsia="Times New Roman"/>
        </w:rPr>
      </w:pPr>
      <w:r>
        <w:rPr>
          <w:rFonts w:eastAsia="Times New Roman"/>
        </w:rPr>
        <w:t>Biotic variables</w:t>
      </w:r>
    </w:p>
    <w:p w:rsidR="00EC45A6" w:rsidRDefault="000A2736" w:rsidP="00EC45A6">
      <w:pPr>
        <w:pStyle w:val="Heading3"/>
        <w:rPr>
          <w:rFonts w:eastAsia="Calibri"/>
        </w:rPr>
      </w:pPr>
      <w:r>
        <w:rPr>
          <w:rFonts w:eastAsia="Calibri"/>
        </w:rPr>
        <w:t>Summer c</w:t>
      </w:r>
      <w:r w:rsidR="00EC45A6" w:rsidRPr="00EC45A6">
        <w:rPr>
          <w:rFonts w:eastAsia="Calibri"/>
        </w:rPr>
        <w:t>hlorophyll</w:t>
      </w:r>
      <w:r>
        <w:rPr>
          <w:rFonts w:eastAsia="Calibri"/>
        </w:rPr>
        <w:t xml:space="preserve"> concentrations</w:t>
      </w:r>
      <w:r w:rsidR="00EC45A6" w:rsidRPr="00EC45A6">
        <w:rPr>
          <w:rFonts w:eastAsia="Calibri"/>
        </w:rPr>
        <w:t xml:space="preserve"> </w:t>
      </w:r>
    </w:p>
    <w:p w:rsidR="00EC45A6" w:rsidRPr="007858E7" w:rsidRDefault="00EC45A6" w:rsidP="007858E7">
      <w:pPr>
        <w:pStyle w:val="ListParagraph"/>
        <w:numPr>
          <w:ilvl w:val="0"/>
          <w:numId w:val="9"/>
        </w:numPr>
        <w:rPr>
          <w:b/>
        </w:rPr>
      </w:pPr>
      <w:r w:rsidRPr="007858E7">
        <w:rPr>
          <w:b/>
        </w:rPr>
        <w:t>EMP</w:t>
      </w:r>
    </w:p>
    <w:p w:rsidR="00EC45A6" w:rsidRDefault="000A2736" w:rsidP="007858E7">
      <w:pPr>
        <w:pStyle w:val="Heading3"/>
        <w:rPr>
          <w:rFonts w:eastAsia="Calibri"/>
        </w:rPr>
      </w:pPr>
      <w:r>
        <w:rPr>
          <w:rFonts w:eastAsia="Calibri"/>
        </w:rPr>
        <w:t>Summer p</w:t>
      </w:r>
      <w:r w:rsidR="00EC45A6" w:rsidRPr="00EC45A6">
        <w:rPr>
          <w:rFonts w:eastAsia="Calibri"/>
        </w:rPr>
        <w:t>hytoplankton</w:t>
      </w:r>
      <w:r>
        <w:rPr>
          <w:rFonts w:eastAsia="Calibri"/>
        </w:rPr>
        <w:t xml:space="preserve"> composition</w:t>
      </w:r>
    </w:p>
    <w:p w:rsidR="007858E7" w:rsidRDefault="007858E7" w:rsidP="007858E7">
      <w:pPr>
        <w:pStyle w:val="ListParagraph"/>
        <w:numPr>
          <w:ilvl w:val="0"/>
          <w:numId w:val="10"/>
        </w:numPr>
        <w:rPr>
          <w:b/>
        </w:rPr>
      </w:pPr>
      <w:r w:rsidRPr="007858E7">
        <w:rPr>
          <w:b/>
        </w:rPr>
        <w:t>EMP</w:t>
      </w:r>
    </w:p>
    <w:p w:rsidR="004B0D19" w:rsidRDefault="000A2736" w:rsidP="004B0D19">
      <w:pPr>
        <w:pStyle w:val="Heading3"/>
      </w:pPr>
      <w:r>
        <w:t>Summer c</w:t>
      </w:r>
      <w:r w:rsidR="004B0D19">
        <w:t>yanobacteria</w:t>
      </w:r>
    </w:p>
    <w:p w:rsidR="004B0D19" w:rsidRPr="004B0D19" w:rsidRDefault="004B0D19" w:rsidP="004B0D19">
      <w:pPr>
        <w:pStyle w:val="ListParagraph"/>
        <w:numPr>
          <w:ilvl w:val="0"/>
          <w:numId w:val="14"/>
        </w:numPr>
      </w:pPr>
      <w:r>
        <w:rPr>
          <w:b/>
        </w:rPr>
        <w:t>EMP</w:t>
      </w:r>
    </w:p>
    <w:p w:rsidR="002158FD" w:rsidRPr="00E16139" w:rsidRDefault="000A2736" w:rsidP="002158FD">
      <w:pPr>
        <w:pStyle w:val="Heading3"/>
        <w:rPr>
          <w:rFonts w:eastAsia="Calibri"/>
          <w:i/>
        </w:rPr>
      </w:pPr>
      <w:r w:rsidRPr="000A2736">
        <w:rPr>
          <w:rFonts w:eastAsia="Calibri"/>
        </w:rPr>
        <w:t xml:space="preserve">Summer </w:t>
      </w:r>
      <w:r w:rsidR="002158FD" w:rsidRPr="00E16139">
        <w:rPr>
          <w:rFonts w:eastAsia="Calibri"/>
          <w:i/>
        </w:rPr>
        <w:t>Microcystis</w:t>
      </w:r>
    </w:p>
    <w:p w:rsidR="002158FD" w:rsidRDefault="002158FD" w:rsidP="00844C35">
      <w:pPr>
        <w:pStyle w:val="ListParagraph"/>
        <w:numPr>
          <w:ilvl w:val="0"/>
          <w:numId w:val="13"/>
        </w:numPr>
      </w:pPr>
      <w:r w:rsidRPr="007858E7">
        <w:rPr>
          <w:b/>
        </w:rPr>
        <w:t>EMP</w:t>
      </w:r>
    </w:p>
    <w:p w:rsidR="002158FD" w:rsidRPr="002158FD" w:rsidRDefault="002158FD" w:rsidP="007858E7">
      <w:pPr>
        <w:pStyle w:val="ListParagraph"/>
        <w:numPr>
          <w:ilvl w:val="0"/>
          <w:numId w:val="13"/>
        </w:numPr>
      </w:pPr>
      <w:r>
        <w:t>STN</w:t>
      </w:r>
    </w:p>
    <w:p w:rsidR="00EC45A6" w:rsidRDefault="00374581" w:rsidP="007858E7">
      <w:pPr>
        <w:pStyle w:val="Heading3"/>
        <w:rPr>
          <w:rFonts w:eastAsia="Calibri"/>
        </w:rPr>
      </w:pPr>
      <w:r>
        <w:rPr>
          <w:rFonts w:eastAsia="Calibri"/>
        </w:rPr>
        <w:t>Fall z</w:t>
      </w:r>
      <w:r w:rsidR="00EC45A6" w:rsidRPr="00EC45A6">
        <w:rPr>
          <w:rFonts w:eastAsia="Calibri"/>
        </w:rPr>
        <w:t>ooplankton</w:t>
      </w:r>
    </w:p>
    <w:p w:rsidR="007858E7" w:rsidRPr="007858E7" w:rsidRDefault="007858E7" w:rsidP="007858E7">
      <w:pPr>
        <w:pStyle w:val="ListParagraph"/>
        <w:numPr>
          <w:ilvl w:val="0"/>
          <w:numId w:val="11"/>
        </w:numPr>
        <w:rPr>
          <w:b/>
        </w:rPr>
      </w:pPr>
      <w:r w:rsidRPr="007858E7">
        <w:rPr>
          <w:b/>
        </w:rPr>
        <w:t>EMP</w:t>
      </w:r>
    </w:p>
    <w:p w:rsidR="00EC45A6" w:rsidRDefault="002A149B" w:rsidP="007858E7">
      <w:pPr>
        <w:pStyle w:val="Heading3"/>
        <w:rPr>
          <w:rFonts w:eastAsia="Calibri"/>
        </w:rPr>
      </w:pPr>
      <w:r>
        <w:rPr>
          <w:rFonts w:eastAsia="Calibri"/>
        </w:rPr>
        <w:t>Fall invasive b</w:t>
      </w:r>
      <w:r w:rsidR="00EC45A6" w:rsidRPr="00EC45A6">
        <w:rPr>
          <w:rFonts w:eastAsia="Calibri"/>
        </w:rPr>
        <w:t>ivalve biomass</w:t>
      </w:r>
    </w:p>
    <w:p w:rsidR="007858E7" w:rsidRPr="007858E7" w:rsidRDefault="007858E7" w:rsidP="007858E7">
      <w:pPr>
        <w:pStyle w:val="ListParagraph"/>
        <w:numPr>
          <w:ilvl w:val="0"/>
          <w:numId w:val="12"/>
        </w:numPr>
        <w:rPr>
          <w:b/>
        </w:rPr>
      </w:pPr>
      <w:r w:rsidRPr="007858E7">
        <w:rPr>
          <w:b/>
        </w:rPr>
        <w:t>EMP</w:t>
      </w:r>
    </w:p>
    <w:p w:rsidR="00EC45A6" w:rsidRPr="00EC45A6" w:rsidRDefault="00EC45A6" w:rsidP="007858E7">
      <w:pPr>
        <w:pStyle w:val="Heading3"/>
        <w:rPr>
          <w:rFonts w:eastAsia="Calibri"/>
        </w:rPr>
      </w:pPr>
      <w:r w:rsidRPr="00EC45A6">
        <w:rPr>
          <w:rFonts w:eastAsia="Calibri"/>
        </w:rPr>
        <w:t>Delta Smelt abundance</w:t>
      </w:r>
    </w:p>
    <w:p w:rsidR="004458B0" w:rsidRPr="00F26F5A" w:rsidRDefault="004B0D19" w:rsidP="004B0D19">
      <w:pPr>
        <w:pStyle w:val="ListParagraph"/>
        <w:numPr>
          <w:ilvl w:val="0"/>
          <w:numId w:val="15"/>
        </w:numPr>
        <w:rPr>
          <w:b/>
        </w:rPr>
      </w:pPr>
      <w:r w:rsidRPr="00F26F5A">
        <w:rPr>
          <w:b/>
        </w:rPr>
        <w:t>FMWT</w:t>
      </w:r>
    </w:p>
    <w:p w:rsidR="004B0D19" w:rsidRPr="00F26F5A" w:rsidRDefault="004B0D19" w:rsidP="004B0D19">
      <w:pPr>
        <w:pStyle w:val="ListParagraph"/>
        <w:numPr>
          <w:ilvl w:val="0"/>
          <w:numId w:val="15"/>
        </w:numPr>
        <w:rPr>
          <w:b/>
        </w:rPr>
      </w:pPr>
      <w:r w:rsidRPr="00F26F5A">
        <w:rPr>
          <w:b/>
        </w:rPr>
        <w:t>SKT</w:t>
      </w:r>
    </w:p>
    <w:p w:rsidR="004B0D19" w:rsidRPr="00F26F5A" w:rsidRDefault="004B0D19" w:rsidP="004B0D19">
      <w:pPr>
        <w:pStyle w:val="ListParagraph"/>
        <w:numPr>
          <w:ilvl w:val="0"/>
          <w:numId w:val="15"/>
        </w:numPr>
        <w:rPr>
          <w:b/>
        </w:rPr>
      </w:pPr>
      <w:r w:rsidRPr="00F26F5A">
        <w:rPr>
          <w:b/>
        </w:rPr>
        <w:t>STN</w:t>
      </w:r>
    </w:p>
    <w:p w:rsidR="004B0D19" w:rsidRPr="00F26F5A" w:rsidRDefault="004B0D19" w:rsidP="004B0D19">
      <w:pPr>
        <w:pStyle w:val="ListParagraph"/>
        <w:numPr>
          <w:ilvl w:val="0"/>
          <w:numId w:val="15"/>
        </w:numPr>
        <w:rPr>
          <w:b/>
        </w:rPr>
      </w:pPr>
      <w:r w:rsidRPr="00F26F5A">
        <w:rPr>
          <w:b/>
        </w:rPr>
        <w:t>20mm</w:t>
      </w:r>
    </w:p>
    <w:p w:rsidR="00B23EDC" w:rsidRDefault="00B23EDC" w:rsidP="004B0D19">
      <w:pPr>
        <w:pStyle w:val="ListParagraph"/>
        <w:numPr>
          <w:ilvl w:val="0"/>
          <w:numId w:val="15"/>
        </w:numPr>
      </w:pPr>
      <w:r>
        <w:t>EDSM</w:t>
      </w:r>
    </w:p>
    <w:p w:rsidR="006F53C2" w:rsidRDefault="006F53C2" w:rsidP="006F53C2">
      <w:pPr>
        <w:pStyle w:val="Heading1"/>
      </w:pPr>
      <w:r>
        <w:t>References</w:t>
      </w:r>
    </w:p>
    <w:p w:rsidR="006F53C2" w:rsidRPr="006F53C2" w:rsidRDefault="006F53C2" w:rsidP="0082254F">
      <w:pPr>
        <w:pStyle w:val="Bibliography"/>
      </w:pPr>
      <w:fldSimple w:instr=" ADDIN ZOTERO_BIBL {&quot;uncited&quot;:[],&quot;omitted&quot;:[],&quot;custom&quot;:[]} CSL_BIBLIOGRAPHY ">
        <w:r w:rsidRPr="006F53C2">
          <w:rPr>
            <w:rFonts w:ascii="Calibri" w:hAnsi="Calibri" w:cs="Calibri"/>
          </w:rPr>
          <w:t>Polansky, L., L. Mitchell, and K. B. Newman. 2019. Using Multistage Design-Based Methods to Construct Abundance Indices and Uncertainty Measures for Delta Smelt. Transactions of the American Fisheries Society 148:710–724.</w:t>
        </w:r>
      </w:fldSimple>
    </w:p>
    <w:sectPr w:rsidR="006F53C2" w:rsidRPr="006F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252E"/>
    <w:multiLevelType w:val="hybridMultilevel"/>
    <w:tmpl w:val="43E2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4284A"/>
    <w:multiLevelType w:val="hybridMultilevel"/>
    <w:tmpl w:val="43E2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84D24"/>
    <w:multiLevelType w:val="hybridMultilevel"/>
    <w:tmpl w:val="1AD2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87500"/>
    <w:multiLevelType w:val="hybridMultilevel"/>
    <w:tmpl w:val="AB48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544BE"/>
    <w:multiLevelType w:val="hybridMultilevel"/>
    <w:tmpl w:val="A59E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252C9"/>
    <w:multiLevelType w:val="hybridMultilevel"/>
    <w:tmpl w:val="ED66E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05833"/>
    <w:multiLevelType w:val="hybridMultilevel"/>
    <w:tmpl w:val="ED66E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C1C5A"/>
    <w:multiLevelType w:val="hybridMultilevel"/>
    <w:tmpl w:val="A2F8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D1D08"/>
    <w:multiLevelType w:val="hybridMultilevel"/>
    <w:tmpl w:val="021A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265B5"/>
    <w:multiLevelType w:val="hybridMultilevel"/>
    <w:tmpl w:val="14EE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D6A88"/>
    <w:multiLevelType w:val="hybridMultilevel"/>
    <w:tmpl w:val="4F1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E5C1C"/>
    <w:multiLevelType w:val="hybridMultilevel"/>
    <w:tmpl w:val="EDA8CE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51932"/>
    <w:multiLevelType w:val="hybridMultilevel"/>
    <w:tmpl w:val="BF5C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572058"/>
    <w:multiLevelType w:val="hybridMultilevel"/>
    <w:tmpl w:val="FA2E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76128"/>
    <w:multiLevelType w:val="hybridMultilevel"/>
    <w:tmpl w:val="F8A6B616"/>
    <w:lvl w:ilvl="0" w:tplc="92A69198">
      <w:start w:val="1"/>
      <w:numFmt w:val="decimal"/>
      <w:pStyle w:val="Style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3"/>
  </w:num>
  <w:num w:numId="3">
    <w:abstractNumId w:val="11"/>
  </w:num>
  <w:num w:numId="4">
    <w:abstractNumId w:val="8"/>
  </w:num>
  <w:num w:numId="5">
    <w:abstractNumId w:val="7"/>
  </w:num>
  <w:num w:numId="6">
    <w:abstractNumId w:val="9"/>
  </w:num>
  <w:num w:numId="7">
    <w:abstractNumId w:val="4"/>
  </w:num>
  <w:num w:numId="8">
    <w:abstractNumId w:val="3"/>
  </w:num>
  <w:num w:numId="9">
    <w:abstractNumId w:val="12"/>
  </w:num>
  <w:num w:numId="10">
    <w:abstractNumId w:val="6"/>
  </w:num>
  <w:num w:numId="11">
    <w:abstractNumId w:val="2"/>
  </w:num>
  <w:num w:numId="12">
    <w:abstractNumId w:val="0"/>
  </w:num>
  <w:num w:numId="13">
    <w:abstractNumId w:val="1"/>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A6"/>
    <w:rsid w:val="0004691B"/>
    <w:rsid w:val="000A2736"/>
    <w:rsid w:val="000D7C49"/>
    <w:rsid w:val="001E2011"/>
    <w:rsid w:val="002158FD"/>
    <w:rsid w:val="002565F0"/>
    <w:rsid w:val="002A149B"/>
    <w:rsid w:val="002B3C26"/>
    <w:rsid w:val="003063E7"/>
    <w:rsid w:val="00355FAC"/>
    <w:rsid w:val="00374581"/>
    <w:rsid w:val="0038342B"/>
    <w:rsid w:val="003902F6"/>
    <w:rsid w:val="003A1847"/>
    <w:rsid w:val="003B65F7"/>
    <w:rsid w:val="003C4D6B"/>
    <w:rsid w:val="003E720A"/>
    <w:rsid w:val="00423936"/>
    <w:rsid w:val="004416C2"/>
    <w:rsid w:val="004458B0"/>
    <w:rsid w:val="004779D8"/>
    <w:rsid w:val="004920A9"/>
    <w:rsid w:val="004B0D19"/>
    <w:rsid w:val="00503A3F"/>
    <w:rsid w:val="005349D2"/>
    <w:rsid w:val="005773B8"/>
    <w:rsid w:val="006C7F5C"/>
    <w:rsid w:val="006F53C2"/>
    <w:rsid w:val="0071695F"/>
    <w:rsid w:val="00751FFE"/>
    <w:rsid w:val="007858E7"/>
    <w:rsid w:val="00805951"/>
    <w:rsid w:val="0082254F"/>
    <w:rsid w:val="0083178B"/>
    <w:rsid w:val="008370A1"/>
    <w:rsid w:val="00844C35"/>
    <w:rsid w:val="0087007E"/>
    <w:rsid w:val="008C32DF"/>
    <w:rsid w:val="008D74DE"/>
    <w:rsid w:val="00940DF9"/>
    <w:rsid w:val="009836B3"/>
    <w:rsid w:val="00A218A2"/>
    <w:rsid w:val="00A9297D"/>
    <w:rsid w:val="00AB7603"/>
    <w:rsid w:val="00B23EDC"/>
    <w:rsid w:val="00B840E8"/>
    <w:rsid w:val="00C442ED"/>
    <w:rsid w:val="00D1211A"/>
    <w:rsid w:val="00D24A03"/>
    <w:rsid w:val="00E16139"/>
    <w:rsid w:val="00EC45A6"/>
    <w:rsid w:val="00F26F5A"/>
    <w:rsid w:val="00F82280"/>
    <w:rsid w:val="00F9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FECB"/>
  <w15:chartTrackingRefBased/>
  <w15:docId w15:val="{B1D0D9DE-472C-41F5-90D9-7D895637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4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4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4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C45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45A6"/>
    <w:rPr>
      <w:sz w:val="16"/>
      <w:szCs w:val="16"/>
    </w:rPr>
  </w:style>
  <w:style w:type="paragraph" w:styleId="CommentText">
    <w:name w:val="annotation text"/>
    <w:basedOn w:val="Normal"/>
    <w:link w:val="CommentTextChar"/>
    <w:uiPriority w:val="99"/>
    <w:semiHidden/>
    <w:unhideWhenUsed/>
    <w:rsid w:val="00EC45A6"/>
    <w:pPr>
      <w:spacing w:after="0"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EC45A6"/>
    <w:rPr>
      <w:rFonts w:ascii="Arial" w:hAnsi="Arial"/>
      <w:sz w:val="20"/>
      <w:szCs w:val="20"/>
    </w:rPr>
  </w:style>
  <w:style w:type="paragraph" w:customStyle="1" w:styleId="Style1">
    <w:name w:val="Style1"/>
    <w:basedOn w:val="List"/>
    <w:next w:val="List"/>
    <w:qFormat/>
    <w:rsid w:val="00EC45A6"/>
    <w:pPr>
      <w:numPr>
        <w:numId w:val="1"/>
      </w:numPr>
      <w:tabs>
        <w:tab w:val="num" w:pos="360"/>
      </w:tabs>
      <w:spacing w:after="0" w:line="240" w:lineRule="auto"/>
      <w:ind w:left="360"/>
    </w:pPr>
    <w:rPr>
      <w:rFonts w:ascii="Arial" w:hAnsi="Arial"/>
      <w:sz w:val="24"/>
    </w:rPr>
  </w:style>
  <w:style w:type="paragraph" w:styleId="List">
    <w:name w:val="List"/>
    <w:basedOn w:val="Normal"/>
    <w:uiPriority w:val="99"/>
    <w:semiHidden/>
    <w:unhideWhenUsed/>
    <w:rsid w:val="00EC45A6"/>
    <w:pPr>
      <w:ind w:left="360" w:hanging="360"/>
      <w:contextualSpacing/>
    </w:pPr>
  </w:style>
  <w:style w:type="paragraph" w:styleId="BalloonText">
    <w:name w:val="Balloon Text"/>
    <w:basedOn w:val="Normal"/>
    <w:link w:val="BalloonTextChar"/>
    <w:uiPriority w:val="99"/>
    <w:semiHidden/>
    <w:unhideWhenUsed/>
    <w:rsid w:val="00EC4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A6"/>
    <w:rPr>
      <w:rFonts w:ascii="Segoe UI" w:hAnsi="Segoe UI" w:cs="Segoe UI"/>
      <w:sz w:val="18"/>
      <w:szCs w:val="18"/>
    </w:rPr>
  </w:style>
  <w:style w:type="character" w:customStyle="1" w:styleId="Heading1Char">
    <w:name w:val="Heading 1 Char"/>
    <w:basedOn w:val="DefaultParagraphFont"/>
    <w:link w:val="Heading1"/>
    <w:uiPriority w:val="9"/>
    <w:rsid w:val="00EC4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45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45A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C45A6"/>
    <w:pPr>
      <w:ind w:left="720"/>
      <w:contextualSpacing/>
    </w:pPr>
  </w:style>
  <w:style w:type="character" w:customStyle="1" w:styleId="Heading4Char">
    <w:name w:val="Heading 4 Char"/>
    <w:basedOn w:val="DefaultParagraphFont"/>
    <w:link w:val="Heading4"/>
    <w:uiPriority w:val="9"/>
    <w:rsid w:val="00EC45A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E7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E72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F53C2"/>
    <w:pPr>
      <w:spacing w:after="0" w:line="480" w:lineRule="auto"/>
      <w:ind w:left="720" w:hanging="720"/>
    </w:pPr>
  </w:style>
  <w:style w:type="table" w:styleId="GridTable2">
    <w:name w:val="Grid Table 2"/>
    <w:basedOn w:val="TableNormal"/>
    <w:uiPriority w:val="47"/>
    <w:rsid w:val="003C4D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3C4D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870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0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07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Bashevkin, Sam@DeltaCouncil</dc:creator>
  <cp:keywords/>
  <dc:description/>
  <cp:lastModifiedBy>Bashevkin, Sam@DeltaCouncil</cp:lastModifiedBy>
  <cp:revision>43</cp:revision>
  <dcterms:created xsi:type="dcterms:W3CDTF">2019-09-10T22:47:00Z</dcterms:created>
  <dcterms:modified xsi:type="dcterms:W3CDTF">2019-11-01T21:52:00Z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id="xJeyijV7"/&gt;&lt;style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