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Requirement Specification Document</w:t>
      </w:r>
    </w:p>
    <w:p>
      <w:pPr>
        <w:spacing w:after="80"/>
      </w:pPr>
      <w:r>
        <w:rPr>
          <w:rFonts w:ascii="Calibri" w:hAnsi="Calibri"/>
          <w:b/>
          <w:color w:val="2B6CB0"/>
          <w:sz w:val="32"/>
        </w:rPr>
        <w:t>Seller and Inventory Management System</w:t>
      </w:r>
    </w:p>
    <w:p>
      <w:pPr>
        <w:spacing w:after="360"/>
      </w:pPr>
      <w:r>
        <w:rPr>
          <w:rFonts w:ascii="Calibri" w:hAnsi="Calibri"/>
          <w:i/>
          <w:color w:val="718096"/>
          <w:sz w:val="24"/>
        </w:rPr>
        <w:t>Task Name 3 – Requirement Analysis and Seller/Inventory Module</w:t>
      </w:r>
    </w:p>
    <w:tbl>
      <w:tblPr>
        <w:tblW w:type="auto" w:w="0"/>
        <w:jc w:val="center"/>
        <w:tblLayout w:type="fixed"/>
        <w:tblLook w:firstColumn="1" w:firstRow="1" w:lastColumn="0" w:lastRow="0" w:noHBand="0" w:noVBand="1" w:val="04A0"/>
      </w:tblPr>
      <w:tblGrid>
        <w:gridCol w:w="4680"/>
        <w:gridCol w:w="4680"/>
      </w:tblGrid>
      <w:tr>
        <w:tc>
          <w:tcPr>
            <w:tcW w:type="dxa" w:w="2880"/>
            <w:shd w:fill="F7FAFC"/>
          </w:tcPr>
          <w:p>
            <w:pPr>
              <w:spacing w:after="40"/>
            </w:pPr>
            <w:r>
              <w:rPr>
                <w:b/>
                <w:color w:val="1A365D"/>
              </w:rPr>
              <w:t>Student Name</w:t>
            </w:r>
          </w:p>
        </w:tc>
        <w:tc>
          <w:tcPr>
            <w:tcW w:type="dxa" w:w="6480"/>
            <w:shd w:fill="F7FAFC"/>
          </w:tcPr>
          <w:p>
            <w:pPr>
              <w:spacing w:after="40"/>
            </w:pPr>
            <w:r>
              <w:rPr>
                <w:color w:val="2D3748"/>
              </w:rPr>
              <w:t>Baskar s</w:t>
            </w:r>
          </w:p>
        </w:tc>
      </w:tr>
      <w:tr>
        <w:tc>
          <w:tcPr>
            <w:tcW w:type="dxa" w:w="2880"/>
            <w:shd w:fill="F7FAFC"/>
          </w:tcPr>
          <w:p>
            <w:pPr>
              <w:spacing w:after="40"/>
            </w:pPr>
            <w:r>
              <w:rPr>
                <w:b/>
                <w:color w:val="1A365D"/>
              </w:rPr>
              <w:t>Register Number</w:t>
            </w:r>
          </w:p>
        </w:tc>
        <w:tc>
          <w:tcPr>
            <w:tcW w:type="dxa" w:w="6480"/>
            <w:shd w:fill="F7FAFC"/>
          </w:tcPr>
          <w:p>
            <w:pPr>
              <w:spacing w:after="40"/>
            </w:pPr>
            <w:r>
              <w:rPr>
                <w:color w:val="2D3748"/>
              </w:rPr>
              <w:t>TU6253210211005</w:t>
            </w:r>
          </w:p>
        </w:tc>
      </w:tr>
      <w:tr>
        <w:tc>
          <w:tcPr>
            <w:tcW w:type="dxa" w:w="2880"/>
            <w:shd w:fill="F7FAFC"/>
          </w:tcPr>
          <w:p>
            <w:pPr>
              <w:spacing w:after="40"/>
            </w:pPr>
            <w:r>
              <w:rPr>
                <w:b/>
                <w:color w:val="1A365D"/>
              </w:rPr>
              <w:t>Project Title</w:t>
            </w:r>
          </w:p>
        </w:tc>
        <w:tc>
          <w:tcPr>
            <w:tcW w:type="dxa" w:w="6480"/>
            <w:shd w:fill="F7FAFC"/>
          </w:tcPr>
          <w:p>
            <w:pPr>
              <w:spacing w:after="40"/>
            </w:pPr>
            <w:r>
              <w:rPr>
                <w:color w:val="2D3748"/>
              </w:rPr>
              <w:t>Seller and Inventory Management System</w:t>
            </w:r>
          </w:p>
        </w:tc>
      </w:tr>
      <w:tr>
        <w:tc>
          <w:tcPr>
            <w:tcW w:type="dxa" w:w="2880"/>
            <w:shd w:fill="F7FAFC"/>
          </w:tcPr>
          <w:p>
            <w:pPr>
              <w:spacing w:after="40"/>
            </w:pPr>
            <w:r>
              <w:rPr>
                <w:b/>
                <w:color w:val="1A365D"/>
              </w:rPr>
              <w:t>Task Name</w:t>
            </w:r>
          </w:p>
        </w:tc>
        <w:tc>
          <w:tcPr>
            <w:tcW w:type="dxa" w:w="6480"/>
            <w:shd w:fill="F7FAFC"/>
          </w:tcPr>
          <w:p>
            <w:pPr>
              <w:spacing w:after="40"/>
            </w:pPr>
            <w:r>
              <w:rPr>
                <w:color w:val="2D3748"/>
              </w:rPr>
              <w:t>Task Name 3 (DBMS)</w:t>
            </w:r>
          </w:p>
        </w:tc>
      </w:tr>
    </w:tbl>
    <w:p>
      <w:pPr>
        <w:spacing w:after="240"/>
      </w:pPr>
    </w:p>
    <w:p>
      <w:pPr>
        <w:keepNext/>
        <w:spacing w:before="320" w:after="120"/>
      </w:pPr>
      <w:r>
        <w:rPr>
          <w:rFonts w:ascii="Calibri" w:hAnsi="Calibri"/>
          <w:b/>
          <w:color w:val="1A365D"/>
          <w:sz w:val="28"/>
        </w:rPr>
        <w:t>1. Executive Summary &amp; Purpose</w:t>
      </w:r>
    </w:p>
    <w:p>
      <w:pPr>
        <w:keepNext/>
        <w:spacing w:before="240" w:after="80"/>
      </w:pPr>
      <w:r>
        <w:rPr>
          <w:rFonts w:ascii="Calibri" w:hAnsi="Calibri"/>
          <w:b/>
          <w:color w:val="2B6CB0"/>
          <w:sz w:val="24"/>
        </w:rPr>
        <w:t>1.1 Purpose</w:t>
      </w:r>
    </w:p>
    <w:p>
      <w:r>
        <w:t>This document outlines the operational specs and relational schema for the Seller and Inventory Management System. The core intent is to structure vendor onboarding, map inventory allocations across multivariant products, establish threshold-driven availability tracking, and output automated analytical reports on stock status.</w:t>
      </w:r>
    </w:p>
    <w:p>
      <w:pPr>
        <w:keepNext/>
        <w:spacing w:before="240" w:after="80"/>
      </w:pPr>
      <w:r>
        <w:rPr>
          <w:rFonts w:ascii="Calibri" w:hAnsi="Calibri"/>
          <w:b/>
          <w:color w:val="2B6CB0"/>
          <w:sz w:val="24"/>
        </w:rPr>
        <w:t>1.2 System Scope</w:t>
      </w:r>
    </w:p>
    <w:p>
      <w:r>
        <w:t>The scope encompasses defining normalized database entities for Merchant Accounts, Item Catalogs, and Warehouse Inventories. It provides mapping rules connecting merchant accounts to item listings, dynamically flags out-of-stock SKUs, and compiles operational inventory metrics.</w:t>
      </w:r>
    </w:p>
    <w:p>
      <w:pPr>
        <w:keepNext/>
        <w:spacing w:before="240" w:after="80"/>
      </w:pPr>
      <w:r>
        <w:rPr>
          <w:rFonts w:ascii="Calibri" w:hAnsi="Calibri"/>
          <w:b/>
          <w:color w:val="2B6CB0"/>
          <w:sz w:val="24"/>
        </w:rPr>
        <w:t>1.3 Target User Profiles</w:t>
      </w:r>
    </w:p>
    <w:p>
      <w:pPr>
        <w:pStyle w:val="ListBullet"/>
        <w:spacing w:after="60"/>
      </w:pPr>
      <w:r>
        <w:rPr>
          <w:b/>
        </w:rPr>
        <w:t xml:space="preserve">Merchant Stakeholders / Vendors – </w:t>
      </w:r>
      <w:r>
        <w:t>maintain store profiles, alter item catalogs, and audit stock levels</w:t>
      </w:r>
    </w:p>
    <w:p>
      <w:pPr>
        <w:pStyle w:val="ListBullet"/>
        <w:spacing w:after="60"/>
      </w:pPr>
      <w:r>
        <w:rPr>
          <w:b/>
        </w:rPr>
        <w:t xml:space="preserve">Warehouse Fulfillment Lead – </w:t>
      </w:r>
      <w:r>
        <w:t>monitor safety thresholds, manage incoming goods, and process stock status updates</w:t>
      </w:r>
    </w:p>
    <w:p>
      <w:pPr>
        <w:pStyle w:val="ListBullet"/>
        <w:spacing w:after="60"/>
      </w:pPr>
      <w:r>
        <w:rPr>
          <w:b/>
        </w:rPr>
        <w:t xml:space="preserve">Database Engineers – </w:t>
      </w:r>
      <w:r>
        <w:t>enforce schema integrity, maintain primary/foreign key constraints, and optimize query indexes</w:t>
      </w:r>
    </w:p>
    <w:p>
      <w:pPr>
        <w:keepNext/>
        <w:spacing w:before="320" w:after="120"/>
      </w:pPr>
      <w:r>
        <w:rPr>
          <w:rFonts w:ascii="Calibri" w:hAnsi="Calibri"/>
          <w:b/>
          <w:color w:val="1A365D"/>
          <w:sz w:val="28"/>
        </w:rPr>
        <w:t>2. Key System Objectives</w:t>
      </w:r>
    </w:p>
    <w:p>
      <w:r>
        <w:t>The primary operational deliverables assigned under Task 3 are:</w:t>
      </w:r>
    </w:p>
    <w:p>
      <w:pPr>
        <w:pStyle w:val="ListBullet"/>
        <w:spacing w:after="60"/>
      </w:pPr>
      <w:r>
        <w:t>Construct normalized Seller and Inventory tables adhering to Third Normal Form (3NF).</w:t>
      </w:r>
    </w:p>
    <w:p>
      <w:pPr>
        <w:pStyle w:val="ListBullet"/>
        <w:spacing w:after="60"/>
      </w:pPr>
      <w:r>
        <w:t>Define relational foreign keys connecting registered sellers to product items and stock balances.</w:t>
      </w:r>
    </w:p>
    <w:p>
      <w:pPr>
        <w:pStyle w:val="ListBullet"/>
        <w:spacing w:after="60"/>
      </w:pPr>
      <w:r>
        <w:t>Implement data maintenance controls for updating merchant product catalog details.</w:t>
      </w:r>
    </w:p>
    <w:p>
      <w:pPr>
        <w:pStyle w:val="ListBullet"/>
        <w:spacing w:after="60"/>
      </w:pPr>
      <w:r>
        <w:t>Automate stock flag classification ('Available' vs 'Unavailable') based on unit thresholds.</w:t>
      </w:r>
    </w:p>
    <w:p>
      <w:pPr>
        <w:pStyle w:val="ListBullet"/>
        <w:spacing w:after="60"/>
      </w:pPr>
      <w:r>
        <w:t>Deliver detailed inventory status reporting modules for inventory management and vendor auditing.</w:t>
      </w:r>
    </w:p>
    <w:p>
      <w:pPr>
        <w:keepNext/>
        <w:spacing w:before="320" w:after="120"/>
      </w:pPr>
      <w:r>
        <w:rPr>
          <w:rFonts w:ascii="Calibri" w:hAnsi="Calibri"/>
          <w:b/>
          <w:color w:val="1A365D"/>
          <w:sz w:val="28"/>
        </w:rPr>
        <w:t>3. Functional Requirements Specification</w:t>
      </w:r>
    </w:p>
    <w:p>
      <w:r>
        <w:t>The functional capabilities defined for the DBMS implementation include:</w:t>
      </w:r>
    </w:p>
    <w:tbl>
      <w:tblPr>
        <w:tblW w:type="auto" w:w="0"/>
        <w:jc w:val="center"/>
        <w:tblLayout w:type="fixed"/>
        <w:tblLook w:firstColumn="1" w:firstRow="1" w:lastColumn="0" w:lastRow="0" w:noHBand="0" w:noVBand="1" w:val="04A0"/>
      </w:tblPr>
      <w:tblGrid>
        <w:gridCol w:w="4680"/>
        <w:gridCol w:w="4680"/>
      </w:tblGrid>
      <w:tr>
        <w:tc>
          <w:tcPr>
            <w:tcW w:type="dxa" w:w="1440"/>
            <w:shd w:fill="1A365D"/>
          </w:tcPr>
          <w:p>
            <w:pPr>
              <w:spacing w:after="80" w:before="80"/>
              <w:jc w:val="left"/>
            </w:pPr>
            <w:r>
              <w:rPr>
                <w:b/>
                <w:color w:val="FFFFFF"/>
              </w:rPr>
              <w:t>Req ID</w:t>
            </w:r>
          </w:p>
        </w:tc>
        <w:tc>
          <w:tcPr>
            <w:tcW w:type="dxa" w:w="7920"/>
            <w:shd w:fill="1A365D"/>
          </w:tcPr>
          <w:p>
            <w:pPr>
              <w:spacing w:after="80" w:before="80"/>
              <w:jc w:val="left"/>
            </w:pPr>
            <w:r>
              <w:rPr>
                <w:b/>
                <w:color w:val="FFFFFF"/>
              </w:rPr>
              <w:t>Requirement Description</w:t>
            </w:r>
          </w:p>
        </w:tc>
      </w:tr>
      <w:tr>
        <w:tc>
          <w:tcPr>
            <w:tcW w:type="dxa" w:w="1440"/>
            <w:shd w:fill="F7FAFC"/>
          </w:tcPr>
          <w:p>
            <w:pPr>
              <w:spacing w:after="60" w:before="60"/>
            </w:pPr>
            <w:r>
              <w:rPr>
                <w:b/>
              </w:rPr>
              <w:t>FR-101</w:t>
            </w:r>
          </w:p>
        </w:tc>
        <w:tc>
          <w:tcPr>
            <w:tcW w:type="dxa" w:w="7920"/>
            <w:shd w:fill="F7FAFC"/>
          </w:tcPr>
          <w:p>
            <w:pPr>
              <w:spacing w:after="60" w:before="60"/>
            </w:pPr>
            <w:r>
              <w:t>The system shall maintain schema integrity for Seller and Inventory entities using primary and composite foreign keys.</w:t>
            </w:r>
          </w:p>
        </w:tc>
      </w:tr>
      <w:tr>
        <w:tc>
          <w:tcPr>
            <w:tcW w:type="dxa" w:w="1440"/>
            <w:shd w:fill="FFFFFF"/>
          </w:tcPr>
          <w:p>
            <w:pPr>
              <w:spacing w:after="60" w:before="60"/>
            </w:pPr>
            <w:r>
              <w:rPr>
                <w:b/>
              </w:rPr>
              <w:t>FR-102</w:t>
            </w:r>
          </w:p>
        </w:tc>
        <w:tc>
          <w:tcPr>
            <w:tcW w:type="dxa" w:w="7920"/>
            <w:shd w:fill="FFFFFF"/>
          </w:tcPr>
          <w:p>
            <w:pPr>
              <w:spacing w:after="60" w:before="60"/>
            </w:pPr>
            <w:r>
              <w:t>The system shall link seller records with product catalog SKUs and stock inventory quantities.</w:t>
            </w:r>
          </w:p>
        </w:tc>
      </w:tr>
      <w:tr>
        <w:tc>
          <w:tcPr>
            <w:tcW w:type="dxa" w:w="1440"/>
            <w:shd w:fill="F7FAFC"/>
          </w:tcPr>
          <w:p>
            <w:pPr>
              <w:spacing w:after="60" w:before="60"/>
            </w:pPr>
            <w:r>
              <w:rPr>
                <w:b/>
              </w:rPr>
              <w:t>FR-103</w:t>
            </w:r>
          </w:p>
        </w:tc>
        <w:tc>
          <w:tcPr>
            <w:tcW w:type="dxa" w:w="7920"/>
            <w:shd w:fill="F7FAFC"/>
          </w:tcPr>
          <w:p>
            <w:pPr>
              <w:spacing w:after="60" w:before="60"/>
            </w:pPr>
            <w:r>
              <w:t>The system shall provide authorized merchants interface capabilities to add, edit, and deactivate product profiles.</w:t>
            </w:r>
          </w:p>
        </w:tc>
      </w:tr>
      <w:tr>
        <w:tc>
          <w:tcPr>
            <w:tcW w:type="dxa" w:w="1440"/>
            <w:shd w:fill="FFFFFF"/>
          </w:tcPr>
          <w:p>
            <w:pPr>
              <w:spacing w:after="60" w:before="60"/>
            </w:pPr>
            <w:r>
              <w:rPr>
                <w:b/>
              </w:rPr>
              <w:t>FR-104</w:t>
            </w:r>
          </w:p>
        </w:tc>
        <w:tc>
          <w:tcPr>
            <w:tcW w:type="dxa" w:w="7920"/>
            <w:shd w:fill="FFFFFF"/>
          </w:tcPr>
          <w:p>
            <w:pPr>
              <w:spacing w:after="60" w:before="60"/>
            </w:pPr>
            <w:r>
              <w:t>The system shall evaluate real-time quantity levels and dynamically assign stock flags ('Available' / 'Unavailable').</w:t>
            </w:r>
          </w:p>
        </w:tc>
      </w:tr>
      <w:tr>
        <w:tc>
          <w:tcPr>
            <w:tcW w:type="dxa" w:w="1440"/>
            <w:shd w:fill="F7FAFC"/>
          </w:tcPr>
          <w:p>
            <w:pPr>
              <w:spacing w:after="60" w:before="60"/>
            </w:pPr>
            <w:r>
              <w:rPr>
                <w:b/>
              </w:rPr>
              <w:t>FR-105</w:t>
            </w:r>
          </w:p>
        </w:tc>
        <w:tc>
          <w:tcPr>
            <w:tcW w:type="dxa" w:w="7920"/>
            <w:shd w:fill="F7FAFC"/>
          </w:tcPr>
          <w:p>
            <w:pPr>
              <w:spacing w:after="60" w:before="60"/>
            </w:pPr>
            <w:r>
              <w:t>The system shall enable inventory personnel to query stock balances filtered by seller ID, product category, or stock status.</w:t>
            </w:r>
          </w:p>
        </w:tc>
      </w:tr>
      <w:tr>
        <w:tc>
          <w:tcPr>
            <w:tcW w:type="dxa" w:w="1440"/>
            <w:shd w:fill="FFFFFF"/>
          </w:tcPr>
          <w:p>
            <w:pPr>
              <w:spacing w:after="60" w:before="60"/>
            </w:pPr>
            <w:r>
              <w:rPr>
                <w:b/>
              </w:rPr>
              <w:t>FR-106</w:t>
            </w:r>
          </w:p>
        </w:tc>
        <w:tc>
          <w:tcPr>
            <w:tcW w:type="dxa" w:w="7920"/>
            <w:shd w:fill="FFFFFF"/>
          </w:tcPr>
          <w:p>
            <w:pPr>
              <w:spacing w:after="60" w:before="60"/>
            </w:pPr>
            <w:r>
              <w:t>The system shall generate automated inventory reports highlighting active stock, low-stock thresholds, and zero-inventory alerts.</w:t>
            </w:r>
          </w:p>
        </w:tc>
      </w:tr>
    </w:tbl>
    <w:p>
      <w:pPr>
        <w:keepNext/>
        <w:spacing w:before="320" w:after="120"/>
      </w:pPr>
      <w:r>
        <w:rPr>
          <w:rFonts w:ascii="Calibri" w:hAnsi="Calibri"/>
          <w:b/>
          <w:color w:val="1A365D"/>
          <w:sz w:val="28"/>
        </w:rPr>
        <w:t>4. Non-Functional Quality Attributes</w:t>
      </w:r>
    </w:p>
    <w:p>
      <w:pPr>
        <w:pStyle w:val="ListBullet"/>
        <w:spacing w:after="80"/>
      </w:pPr>
      <w:r>
        <w:rPr>
          <w:b/>
        </w:rPr>
        <w:t xml:space="preserve">Query Performance: </w:t>
      </w:r>
      <w:r>
        <w:t>Inventory status queries and seller catalog lookups must return within 1.2 seconds under nominal load.</w:t>
      </w:r>
    </w:p>
    <w:p>
      <w:pPr>
        <w:pStyle w:val="ListBullet"/>
        <w:spacing w:after="80"/>
      </w:pPr>
      <w:r>
        <w:rPr>
          <w:b/>
        </w:rPr>
        <w:t xml:space="preserve">Referential Integrity: </w:t>
      </w:r>
      <w:r>
        <w:t>Database CASCADE constraints must safeguard against orphaned stock records when seller accounts are updated.</w:t>
      </w:r>
    </w:p>
    <w:p>
      <w:pPr>
        <w:pStyle w:val="ListBullet"/>
        <w:spacing w:after="80"/>
      </w:pPr>
      <w:r>
        <w:rPr>
          <w:b/>
        </w:rPr>
        <w:t xml:space="preserve">Access Security: </w:t>
      </w:r>
      <w:r>
        <w:t>Row-level security policies must limit seller product modifications exclusively to the authentic vendor account.</w:t>
      </w:r>
    </w:p>
    <w:p>
      <w:pPr>
        <w:pStyle w:val="ListBullet"/>
        <w:spacing w:after="80"/>
      </w:pPr>
      <w:r>
        <w:rPr>
          <w:b/>
        </w:rPr>
        <w:t xml:space="preserve">Schema Scalability: </w:t>
      </w:r>
      <w:r>
        <w:t>The relational model must comfortably scale to accommodate millions of stock records without performance degradation.</w:t>
      </w:r>
    </w:p>
    <w:p>
      <w:pPr>
        <w:keepNext/>
        <w:spacing w:before="320" w:after="120"/>
      </w:pPr>
      <w:r>
        <w:rPr>
          <w:rFonts w:ascii="Calibri" w:hAnsi="Calibri"/>
          <w:b/>
          <w:color w:val="1A365D"/>
          <w:sz w:val="28"/>
        </w:rPr>
        <w:t>5. Entity Schema &amp; Data Dictionary</w:t>
      </w:r>
    </w:p>
    <w:p>
      <w:r>
        <w:t>The relational data definitions for Task 3 consist of the following structure:</w:t>
      </w:r>
    </w:p>
    <w:p>
      <w:pPr>
        <w:keepNext/>
        <w:spacing w:before="240" w:after="80"/>
      </w:pPr>
      <w:r>
        <w:rPr>
          <w:rFonts w:ascii="Calibri" w:hAnsi="Calibri"/>
          <w:b/>
          <w:color w:val="2B6CB0"/>
          <w:sz w:val="24"/>
        </w:rPr>
        <w:t>5.1 Merchant Table (`Sellers`)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A365D"/>
          </w:tcPr>
          <w:p>
            <w:pPr>
              <w:spacing w:after="80" w:before="80"/>
              <w:jc w:val="left"/>
            </w:pPr>
            <w:r>
              <w:rPr>
                <w:b/>
                <w:color w:val="FFFFFF"/>
              </w:rPr>
              <w:t>Attribute Name</w:t>
            </w:r>
          </w:p>
        </w:tc>
        <w:tc>
          <w:tcPr>
            <w:tcW w:type="dxa" w:w="2448"/>
            <w:shd w:fill="1A365D"/>
          </w:tcPr>
          <w:p>
            <w:pPr>
              <w:spacing w:after="80" w:before="80"/>
              <w:jc w:val="left"/>
            </w:pPr>
            <w:r>
              <w:rPr>
                <w:b/>
                <w:color w:val="FFFFFF"/>
              </w:rPr>
              <w:t>Data Type</w:t>
            </w:r>
          </w:p>
        </w:tc>
        <w:tc>
          <w:tcPr>
            <w:tcW w:type="dxa" w:w="4320"/>
            <w:shd w:fill="1A365D"/>
          </w:tcPr>
          <w:p>
            <w:pPr>
              <w:spacing w:after="80" w:before="80"/>
              <w:jc w:val="left"/>
            </w:pPr>
            <w:r>
              <w:rPr>
                <w:b/>
                <w:color w:val="FFFFFF"/>
              </w:rPr>
              <w:t>Description</w:t>
            </w:r>
          </w:p>
        </w:tc>
      </w:tr>
      <w:tr>
        <w:tc>
          <w:tcPr>
            <w:tcW w:type="dxa" w:w="2592"/>
            <w:shd w:fill="F7FAFC"/>
          </w:tcPr>
          <w:p>
            <w:pPr>
              <w:spacing w:after="60" w:before="60"/>
            </w:pPr>
            <w:r>
              <w:rPr>
                <w:b/>
              </w:rPr>
              <w:t>seller_id</w:t>
            </w:r>
          </w:p>
        </w:tc>
        <w:tc>
          <w:tcPr>
            <w:tcW w:type="dxa" w:w="2448"/>
            <w:shd w:fill="F7FAFC"/>
          </w:tcPr>
          <w:p>
            <w:pPr>
              <w:spacing w:after="60" w:before="60"/>
            </w:pPr>
            <w:r>
              <w:t>INT (Primary Key)</w:t>
            </w:r>
          </w:p>
        </w:tc>
        <w:tc>
          <w:tcPr>
            <w:tcW w:type="dxa" w:w="4320"/>
            <w:shd w:fill="F7FAFC"/>
          </w:tcPr>
          <w:p>
            <w:pPr>
              <w:spacing w:after="60" w:before="60"/>
            </w:pPr>
            <w:r>
              <w:t>Unique primary identifier assigned to each seller account</w:t>
            </w:r>
          </w:p>
        </w:tc>
      </w:tr>
      <w:tr>
        <w:tc>
          <w:tcPr>
            <w:tcW w:type="dxa" w:w="2592"/>
            <w:shd w:fill="FFFFFF"/>
          </w:tcPr>
          <w:p>
            <w:pPr>
              <w:spacing w:after="60" w:before="60"/>
            </w:pPr>
            <w:r>
              <w:rPr>
                <w:b/>
              </w:rPr>
              <w:t>seller_name</w:t>
            </w:r>
          </w:p>
        </w:tc>
        <w:tc>
          <w:tcPr>
            <w:tcW w:type="dxa" w:w="2448"/>
            <w:shd w:fill="FFFFFF"/>
          </w:tcPr>
          <w:p>
            <w:pPr>
              <w:spacing w:after="60" w:before="60"/>
            </w:pPr>
            <w:r>
              <w:t>VARCHAR(120)</w:t>
            </w:r>
          </w:p>
        </w:tc>
        <w:tc>
          <w:tcPr>
            <w:tcW w:type="dxa" w:w="4320"/>
            <w:shd w:fill="FFFFFF"/>
          </w:tcPr>
          <w:p>
            <w:pPr>
              <w:spacing w:after="60" w:before="60"/>
            </w:pPr>
            <w:r>
              <w:t>Official business or merchant legal title</w:t>
            </w:r>
          </w:p>
        </w:tc>
      </w:tr>
      <w:tr>
        <w:tc>
          <w:tcPr>
            <w:tcW w:type="dxa" w:w="2592"/>
            <w:shd w:fill="F7FAFC"/>
          </w:tcPr>
          <w:p>
            <w:pPr>
              <w:spacing w:after="60" w:before="60"/>
            </w:pPr>
            <w:r>
              <w:rPr>
                <w:b/>
              </w:rPr>
              <w:t>contact_email</w:t>
            </w:r>
          </w:p>
        </w:tc>
        <w:tc>
          <w:tcPr>
            <w:tcW w:type="dxa" w:w="2448"/>
            <w:shd w:fill="F7FAFC"/>
          </w:tcPr>
          <w:p>
            <w:pPr>
              <w:spacing w:after="60" w:before="60"/>
            </w:pPr>
            <w:r>
              <w:t>VARCHAR(100)</w:t>
            </w:r>
          </w:p>
        </w:tc>
        <w:tc>
          <w:tcPr>
            <w:tcW w:type="dxa" w:w="4320"/>
            <w:shd w:fill="F7FAFC"/>
          </w:tcPr>
          <w:p>
            <w:pPr>
              <w:spacing w:after="60" w:before="60"/>
            </w:pPr>
            <w:r>
              <w:t>Primary administrative communication email address</w:t>
            </w:r>
          </w:p>
        </w:tc>
      </w:tr>
      <w:tr>
        <w:tc>
          <w:tcPr>
            <w:tcW w:type="dxa" w:w="2592"/>
            <w:shd w:fill="FFFFFF"/>
          </w:tcPr>
          <w:p>
            <w:pPr>
              <w:spacing w:after="60" w:before="60"/>
            </w:pPr>
            <w:r>
              <w:rPr>
                <w:b/>
              </w:rPr>
              <w:t>phone_no</w:t>
            </w:r>
          </w:p>
        </w:tc>
        <w:tc>
          <w:tcPr>
            <w:tcW w:type="dxa" w:w="2448"/>
            <w:shd w:fill="FFFFFF"/>
          </w:tcPr>
          <w:p>
            <w:pPr>
              <w:spacing w:after="60" w:before="60"/>
            </w:pPr>
            <w:r>
              <w:t>VARCHAR(20)</w:t>
            </w:r>
          </w:p>
        </w:tc>
        <w:tc>
          <w:tcPr>
            <w:tcW w:type="dxa" w:w="4320"/>
            <w:shd w:fill="FFFFFF"/>
          </w:tcPr>
          <w:p>
            <w:pPr>
              <w:spacing w:after="60" w:before="60"/>
            </w:pPr>
            <w:r>
              <w:t>Primary contact telephone number</w:t>
            </w:r>
          </w:p>
        </w:tc>
      </w:tr>
      <w:tr>
        <w:tc>
          <w:tcPr>
            <w:tcW w:type="dxa" w:w="2592"/>
            <w:shd w:fill="F7FAFC"/>
          </w:tcPr>
          <w:p>
            <w:pPr>
              <w:spacing w:after="60" w:before="60"/>
            </w:pPr>
            <w:r>
              <w:rPr>
                <w:b/>
              </w:rPr>
              <w:t>account_status</w:t>
            </w:r>
          </w:p>
        </w:tc>
        <w:tc>
          <w:tcPr>
            <w:tcW w:type="dxa" w:w="2448"/>
            <w:shd w:fill="F7FAFC"/>
          </w:tcPr>
          <w:p>
            <w:pPr>
              <w:spacing w:after="60" w:before="60"/>
            </w:pPr>
            <w:r>
              <w:t>VARCHAR(20)</w:t>
            </w:r>
          </w:p>
        </w:tc>
        <w:tc>
          <w:tcPr>
            <w:tcW w:type="dxa" w:w="4320"/>
            <w:shd w:fill="F7FAFC"/>
          </w:tcPr>
          <w:p>
            <w:pPr>
              <w:spacing w:after="60" w:before="60"/>
            </w:pPr>
            <w:r>
              <w:t>Current state of vendor account (Active, Suspended, Inactive)</w:t>
            </w:r>
          </w:p>
        </w:tc>
      </w:tr>
    </w:tbl>
    <w:p>
      <w:pPr>
        <w:keepNext/>
        <w:spacing w:before="240" w:after="80"/>
      </w:pPr>
      <w:r>
        <w:rPr>
          <w:rFonts w:ascii="Calibri" w:hAnsi="Calibri"/>
          <w:b/>
          <w:color w:val="2B6CB0"/>
          <w:sz w:val="24"/>
        </w:rPr>
        <w:t>5.2 Inventory / Stock Ledger Table (`Inventory`)</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A365D"/>
          </w:tcPr>
          <w:p>
            <w:pPr>
              <w:spacing w:after="80" w:before="80"/>
              <w:jc w:val="left"/>
            </w:pPr>
            <w:r>
              <w:rPr>
                <w:b/>
                <w:color w:val="FFFFFF"/>
              </w:rPr>
              <w:t>Attribute Name</w:t>
            </w:r>
          </w:p>
        </w:tc>
        <w:tc>
          <w:tcPr>
            <w:tcW w:type="dxa" w:w="2448"/>
            <w:shd w:fill="1A365D"/>
          </w:tcPr>
          <w:p>
            <w:pPr>
              <w:spacing w:after="80" w:before="80"/>
              <w:jc w:val="left"/>
            </w:pPr>
            <w:r>
              <w:rPr>
                <w:b/>
                <w:color w:val="FFFFFF"/>
              </w:rPr>
              <w:t>Data Type</w:t>
            </w:r>
          </w:p>
        </w:tc>
        <w:tc>
          <w:tcPr>
            <w:tcW w:type="dxa" w:w="4320"/>
            <w:shd w:fill="1A365D"/>
          </w:tcPr>
          <w:p>
            <w:pPr>
              <w:spacing w:after="80" w:before="80"/>
              <w:jc w:val="left"/>
            </w:pPr>
            <w:r>
              <w:rPr>
                <w:b/>
                <w:color w:val="FFFFFF"/>
              </w:rPr>
              <w:t>Description</w:t>
            </w:r>
          </w:p>
        </w:tc>
      </w:tr>
      <w:tr>
        <w:tc>
          <w:tcPr>
            <w:tcW w:type="dxa" w:w="2592"/>
            <w:shd w:fill="F7FAFC"/>
          </w:tcPr>
          <w:p>
            <w:pPr>
              <w:spacing w:after="60" w:before="60"/>
            </w:pPr>
            <w:r>
              <w:rPr>
                <w:b/>
              </w:rPr>
              <w:t>inventory_id</w:t>
            </w:r>
          </w:p>
        </w:tc>
        <w:tc>
          <w:tcPr>
            <w:tcW w:type="dxa" w:w="2448"/>
            <w:shd w:fill="F7FAFC"/>
          </w:tcPr>
          <w:p>
            <w:pPr>
              <w:spacing w:after="60" w:before="60"/>
            </w:pPr>
            <w:r>
              <w:t>INT (Primary Key)</w:t>
            </w:r>
          </w:p>
        </w:tc>
        <w:tc>
          <w:tcPr>
            <w:tcW w:type="dxa" w:w="4320"/>
            <w:shd w:fill="F7FAFC"/>
          </w:tcPr>
          <w:p>
            <w:pPr>
              <w:spacing w:after="60" w:before="60"/>
            </w:pPr>
            <w:r>
              <w:t>Primary surrogate key for the stock ledger record</w:t>
            </w:r>
          </w:p>
        </w:tc>
      </w:tr>
      <w:tr>
        <w:tc>
          <w:tcPr>
            <w:tcW w:type="dxa" w:w="2592"/>
            <w:shd w:fill="FFFFFF"/>
          </w:tcPr>
          <w:p>
            <w:pPr>
              <w:spacing w:after="60" w:before="60"/>
            </w:pPr>
            <w:r>
              <w:rPr>
                <w:b/>
              </w:rPr>
              <w:t>product_id</w:t>
            </w:r>
          </w:p>
        </w:tc>
        <w:tc>
          <w:tcPr>
            <w:tcW w:type="dxa" w:w="2448"/>
            <w:shd w:fill="FFFFFF"/>
          </w:tcPr>
          <w:p>
            <w:pPr>
              <w:spacing w:after="60" w:before="60"/>
            </w:pPr>
            <w:r>
              <w:t>INT (Foreign Key)</w:t>
            </w:r>
          </w:p>
        </w:tc>
        <w:tc>
          <w:tcPr>
            <w:tcW w:type="dxa" w:w="4320"/>
            <w:shd w:fill="FFFFFF"/>
          </w:tcPr>
          <w:p>
            <w:pPr>
              <w:spacing w:after="60" w:before="60"/>
            </w:pPr>
            <w:r>
              <w:t>Foreign key link identifying the specific product</w:t>
            </w:r>
          </w:p>
        </w:tc>
      </w:tr>
      <w:tr>
        <w:tc>
          <w:tcPr>
            <w:tcW w:type="dxa" w:w="2592"/>
            <w:shd w:fill="F7FAFC"/>
          </w:tcPr>
          <w:p>
            <w:pPr>
              <w:spacing w:after="60" w:before="60"/>
            </w:pPr>
            <w:r>
              <w:rPr>
                <w:b/>
              </w:rPr>
              <w:t>seller_id</w:t>
            </w:r>
          </w:p>
        </w:tc>
        <w:tc>
          <w:tcPr>
            <w:tcW w:type="dxa" w:w="2448"/>
            <w:shd w:fill="F7FAFC"/>
          </w:tcPr>
          <w:p>
            <w:pPr>
              <w:spacing w:after="60" w:before="60"/>
            </w:pPr>
            <w:r>
              <w:t>INT (Foreign Key)</w:t>
            </w:r>
          </w:p>
        </w:tc>
        <w:tc>
          <w:tcPr>
            <w:tcW w:type="dxa" w:w="4320"/>
            <w:shd w:fill="F7FAFC"/>
          </w:tcPr>
          <w:p>
            <w:pPr>
              <w:spacing w:after="60" w:before="60"/>
            </w:pPr>
            <w:r>
              <w:t>Foreign key link identifying the owning merchant</w:t>
            </w:r>
          </w:p>
        </w:tc>
      </w:tr>
      <w:tr>
        <w:tc>
          <w:tcPr>
            <w:tcW w:type="dxa" w:w="2592"/>
            <w:shd w:fill="FFFFFF"/>
          </w:tcPr>
          <w:p>
            <w:pPr>
              <w:spacing w:after="60" w:before="60"/>
            </w:pPr>
            <w:r>
              <w:rPr>
                <w:b/>
              </w:rPr>
              <w:t>units_in_stock</w:t>
            </w:r>
          </w:p>
        </w:tc>
        <w:tc>
          <w:tcPr>
            <w:tcW w:type="dxa" w:w="2448"/>
            <w:shd w:fill="FFFFFF"/>
          </w:tcPr>
          <w:p>
            <w:pPr>
              <w:spacing w:after="60" w:before="60"/>
            </w:pPr>
            <w:r>
              <w:t>INT</w:t>
            </w:r>
          </w:p>
        </w:tc>
        <w:tc>
          <w:tcPr>
            <w:tcW w:type="dxa" w:w="4320"/>
            <w:shd w:fill="FFFFFF"/>
          </w:tcPr>
          <w:p>
            <w:pPr>
              <w:spacing w:after="60" w:before="60"/>
            </w:pPr>
            <w:r>
              <w:t>Current physically available count of products</w:t>
            </w:r>
          </w:p>
        </w:tc>
      </w:tr>
      <w:tr>
        <w:tc>
          <w:tcPr>
            <w:tcW w:type="dxa" w:w="2592"/>
            <w:shd w:fill="F7FAFC"/>
          </w:tcPr>
          <w:p>
            <w:pPr>
              <w:spacing w:after="60" w:before="60"/>
            </w:pPr>
            <w:r>
              <w:rPr>
                <w:b/>
              </w:rPr>
              <w:t>stock_status</w:t>
            </w:r>
          </w:p>
        </w:tc>
        <w:tc>
          <w:tcPr>
            <w:tcW w:type="dxa" w:w="2448"/>
            <w:shd w:fill="F7FAFC"/>
          </w:tcPr>
          <w:p>
            <w:pPr>
              <w:spacing w:after="60" w:before="60"/>
            </w:pPr>
            <w:r>
              <w:t>VARCHAR(25)</w:t>
            </w:r>
          </w:p>
        </w:tc>
        <w:tc>
          <w:tcPr>
            <w:tcW w:type="dxa" w:w="4320"/>
            <w:shd w:fill="F7FAFC"/>
          </w:tcPr>
          <w:p>
            <w:pPr>
              <w:spacing w:after="60" w:before="60"/>
            </w:pPr>
            <w:r>
              <w:t>Automated status flag ('Available' or 'Unavailable')</w:t>
            </w:r>
          </w:p>
        </w:tc>
      </w:tr>
      <w:tr>
        <w:tc>
          <w:tcPr>
            <w:tcW w:type="dxa" w:w="2592"/>
            <w:shd w:fill="FFFFFF"/>
          </w:tcPr>
          <w:p>
            <w:pPr>
              <w:spacing w:after="60" w:before="60"/>
            </w:pPr>
            <w:r>
              <w:rPr>
                <w:b/>
              </w:rPr>
              <w:t>updated_at</w:t>
            </w:r>
          </w:p>
        </w:tc>
        <w:tc>
          <w:tcPr>
            <w:tcW w:type="dxa" w:w="2448"/>
            <w:shd w:fill="FFFFFF"/>
          </w:tcPr>
          <w:p>
            <w:pPr>
              <w:spacing w:after="60" w:before="60"/>
            </w:pPr>
            <w:r>
              <w:t>TIMESTAMP</w:t>
            </w:r>
          </w:p>
        </w:tc>
        <w:tc>
          <w:tcPr>
            <w:tcW w:type="dxa" w:w="4320"/>
            <w:shd w:fill="FFFFFF"/>
          </w:tcPr>
          <w:p>
            <w:pPr>
              <w:spacing w:after="60" w:before="60"/>
            </w:pPr>
            <w:r>
              <w:t>System timestamp recording the last inventory alteration</w:t>
            </w:r>
          </w:p>
        </w:tc>
      </w:tr>
    </w:tbl>
    <w:p>
      <w:pPr>
        <w:keepNext/>
        <w:spacing w:before="320" w:after="120"/>
      </w:pPr>
      <w:r>
        <w:rPr>
          <w:rFonts w:ascii="Calibri" w:hAnsi="Calibri"/>
          <w:b/>
          <w:color w:val="1A365D"/>
          <w:sz w:val="28"/>
        </w:rPr>
        <w:t>6. Summary &amp; Next Steps</w:t>
      </w:r>
    </w:p>
    <w:p>
      <w:r>
        <w:t>This Requirement Specification Document provides a tailored relational architecture for the Seller and Inventory Management System. The design supports reliable tracking of vendor stock, catalog updates, availability status triggers, and reporting capabilities.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