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52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RR-TB</w:t>
      </w:r>
      <w:r>
        <w:t xml:space="preserve"> </w:t>
      </w:r>
      <w:r>
        <w:t xml:space="preserve">Updates:</w:t>
      </w:r>
      <w:r>
        <w:t xml:space="preserve"> </w:t>
      </w:r>
      <w:r>
        <w:t xml:space="preserve">September</w:t>
      </w:r>
      <w:r>
        <w:t xml:space="preserve"> </w:t>
      </w:r>
      <w:r>
        <w:t xml:space="preserve">28,</w:t>
      </w:r>
      <w:r>
        <w:t xml:space="preserve"> </w:t>
      </w:r>
      <w:r>
        <w:t xml:space="preserve">2023</w:t>
      </w:r>
    </w:p>
    <w:bookmarkStart w:id="24" w:name="project-aim"/>
    <w:p>
      <w:pPr>
        <w:pStyle w:val="Heading1"/>
      </w:pPr>
      <w:r>
        <w:t xml:space="preserve">Project Aim</w:t>
      </w:r>
    </w:p>
    <w:p>
      <w:pPr>
        <w:numPr>
          <w:ilvl w:val="0"/>
          <w:numId w:val="1001"/>
        </w:numPr>
        <w:pStyle w:val="Compact"/>
      </w:pPr>
      <w:r>
        <w:t xml:space="preserve">Back out trends in the prevalence of Rifampin resistant TB (RR-TB) over time using Xpert testing data in Sinan</w:t>
      </w:r>
    </w:p>
    <w:p>
      <w:pPr>
        <w:numPr>
          <w:ilvl w:val="0"/>
          <w:numId w:val="1001"/>
        </w:numPr>
        <w:pStyle w:val="Compact"/>
      </w:pPr>
      <w:r>
        <w:t xml:space="preserve">Develop a relatively simple model that accounts for variation in roll-out of Xpert over time and across geographies (e.g. by state), as well as potential bias in who is getting tested with Xpert</w:t>
      </w:r>
    </w:p>
    <w:bookmarkStart w:id="23" w:name="trends-in-xpert-testing-overtime"/>
    <w:p>
      <w:pPr>
        <w:pStyle w:val="Heading3"/>
      </w:pPr>
      <w:r>
        <w:t xml:space="preserve">Trends in Xpert testing overtime</w:t>
      </w:r>
    </w:p>
    <w:p>
      <w:pPr>
        <w:pStyle w:val="FirstParagraph"/>
      </w:pPr>
      <w:r>
        <w:drawing>
          <wp:inline>
            <wp:extent cx="5334000" cy="32004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tt_gam_plots_files/figure-docx/testing%20over%20time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As of 2019:</w:t>
      </w:r>
    </w:p>
    <w:p>
      <w:pPr>
        <w:numPr>
          <w:ilvl w:val="1"/>
          <w:numId w:val="1003"/>
        </w:numPr>
      </w:pPr>
      <w:r>
        <w:t xml:space="preserve">~ 40% of cases were being tested with Xpert, compared to ~ 3% in 2014 and 23.5% in 2015, on average</w:t>
      </w:r>
    </w:p>
    <w:p>
      <w:pPr>
        <w:numPr>
          <w:ilvl w:val="1"/>
          <w:numId w:val="1003"/>
        </w:numPr>
      </w:pPr>
      <w:r>
        <w:t xml:space="preserve">Mato Grosso, Pará, and Pernambuco had the lowest average testing coverage</w:t>
      </w:r>
    </w:p>
    <w:p>
      <w:pPr>
        <w:numPr>
          <w:ilvl w:val="1"/>
          <w:numId w:val="1003"/>
        </w:numPr>
      </w:pPr>
      <w:r>
        <w:t xml:space="preserve">Roraima, Amazonas, and Rondônia had the highest average testing coverage</w:t>
      </w:r>
    </w:p>
    <w:p>
      <w:r>
        <w:br w:type="page"/>
      </w:r>
    </w:p>
    <w:bookmarkEnd w:id="23"/>
    <w:bookmarkEnd w:id="24"/>
    <w:bookmarkStart w:id="28" w:name="model-specification"/>
    <w:p>
      <w:pPr>
        <w:pStyle w:val="Heading1"/>
      </w:pPr>
      <w:r>
        <w:t xml:space="preserve">Model Specification</w:t>
      </w:r>
    </w:p>
    <w:bookmarkStart w:id="25" w:name="overview"/>
    <w:p>
      <w:pPr>
        <w:pStyle w:val="Heading3"/>
      </w:pPr>
      <w:r>
        <w:t xml:space="preserve">Overview</w:t>
      </w:r>
    </w:p>
    <w:p>
      <w:pPr>
        <w:numPr>
          <w:ilvl w:val="0"/>
          <w:numId w:val="1004"/>
        </w:numPr>
      </w:pPr>
      <w:r>
        <w:t xml:space="preserve">State-level hierarchical generalized additive model (GAM) that models the prevalence of RR-TB positive cases per quarter among incident TB cases between 2014-2019</w:t>
      </w:r>
    </w:p>
    <w:p>
      <w:pPr>
        <w:numPr>
          <w:ilvl w:val="0"/>
          <w:numId w:val="1004"/>
        </w:numPr>
      </w:pPr>
      <w:r>
        <w:t xml:space="preserve">Fit smoothing functions to reduce the noise we were seeing in previous models</w:t>
      </w:r>
    </w:p>
    <w:p>
      <w:pPr>
        <w:numPr>
          <w:ilvl w:val="0"/>
          <w:numId w:val="1004"/>
        </w:numPr>
      </w:pPr>
      <w:r>
        <w:t xml:space="preserve">Models risk of positivity by characteristics of patient and municipality where they reside</w:t>
      </w:r>
    </w:p>
    <w:p>
      <w:pPr>
        <w:numPr>
          <w:ilvl w:val="1"/>
          <w:numId w:val="1005"/>
        </w:numPr>
        <w:pStyle w:val="Compact"/>
      </w:pPr>
      <w:r>
        <w:t xml:space="preserve">Note: Between 2014-2019, ~3,300 cases diagnosed outside of patient’s state of residence; ~88,000 cases diagnosed outside patient’s municipality of residence</w:t>
      </w:r>
    </w:p>
    <w:p>
      <w:pPr>
        <w:numPr>
          <w:ilvl w:val="0"/>
          <w:numId w:val="1004"/>
        </w:numPr>
      </w:pPr>
      <w:r>
        <w:t xml:space="preserve">Separate models for new TB cases, re-entry cases, and relapsed cases</w:t>
      </w:r>
    </w:p>
    <w:bookmarkEnd w:id="25"/>
    <w:bookmarkStart w:id="26" w:name="set-up"/>
    <w:p>
      <w:pPr>
        <w:pStyle w:val="Heading3"/>
      </w:pPr>
      <w:r>
        <w:t xml:space="preserve">Set Up</w:t>
      </w:r>
    </w:p>
    <w:p>
      <w:pPr>
        <w:pStyle w:val="SourceCode"/>
      </w:pPr>
      <w:r>
        <w:rPr>
          <w:rStyle w:val="NormalTok"/>
        </w:rPr>
        <w:t xml:space="preserve">result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(state, </w:t>
      </w:r>
      <w:r>
        <w:rPr>
          <w:rStyle w:val="AttributeTok"/>
        </w:rPr>
        <w:t xml:space="preserve">bs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(time)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</w:t>
      </w:r>
      <w:r>
        <w:rPr>
          <w:rStyle w:val="NormalTok"/>
        </w:rPr>
        <w:t xml:space="preserve">(time,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state, </w:t>
      </w:r>
      <w:r>
        <w:rPr>
          <w:rStyle w:val="AttributeTok"/>
        </w:rPr>
        <w:t xml:space="preserve">id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age_cat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hiv_status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sex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health_unit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bf_cat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urban_cat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has_prison</w:t>
      </w:r>
    </w:p>
    <w:p>
      <w:pPr>
        <w:numPr>
          <w:ilvl w:val="0"/>
          <w:numId w:val="1006"/>
        </w:numPr>
      </w:pPr>
      <w:r>
        <w:t xml:space="preserve">Random intercept for each state (patient state of residence)</w:t>
      </w:r>
    </w:p>
    <w:p>
      <w:pPr>
        <w:numPr>
          <w:ilvl w:val="0"/>
          <w:numId w:val="1006"/>
        </w:numPr>
      </w:pPr>
      <w:r>
        <w:t xml:space="preserve">A different smooth function for time by state with a shared smoothing parameter</w:t>
      </w:r>
    </w:p>
    <w:p>
      <w:pPr>
        <w:numPr>
          <w:ilvl w:val="0"/>
          <w:numId w:val="1006"/>
        </w:numPr>
      </w:pPr>
      <w:r>
        <w:t xml:space="preserve">Each state-level smoothing parameter varies around a grand smooth function for time to allow for pooling across states</w:t>
      </w:r>
    </w:p>
    <w:p>
      <w:pPr>
        <w:numPr>
          <w:ilvl w:val="0"/>
          <w:numId w:val="1006"/>
        </w:numPr>
      </w:pPr>
      <w:r>
        <w:t xml:space="preserve">Fixed effects for patient-level characteristics:</w:t>
      </w:r>
    </w:p>
    <w:p>
      <w:pPr>
        <w:numPr>
          <w:ilvl w:val="1"/>
          <w:numId w:val="1007"/>
        </w:numPr>
        <w:pStyle w:val="Compact"/>
      </w:pPr>
      <w:r>
        <w:t xml:space="preserve">Age</w:t>
      </w:r>
    </w:p>
    <w:p>
      <w:pPr>
        <w:numPr>
          <w:ilvl w:val="1"/>
          <w:numId w:val="1007"/>
        </w:numPr>
        <w:pStyle w:val="Compact"/>
      </w:pPr>
      <w:r>
        <w:t xml:space="preserve">HIV status</w:t>
      </w:r>
    </w:p>
    <w:p>
      <w:pPr>
        <w:numPr>
          <w:ilvl w:val="1"/>
          <w:numId w:val="1007"/>
        </w:numPr>
        <w:pStyle w:val="Compact"/>
      </w:pPr>
      <w:r>
        <w:t xml:space="preserve">Sex</w:t>
      </w:r>
    </w:p>
    <w:p>
      <w:pPr>
        <w:numPr>
          <w:ilvl w:val="1"/>
          <w:numId w:val="1007"/>
        </w:numPr>
        <w:pStyle w:val="Compact"/>
      </w:pPr>
      <w:r>
        <w:t xml:space="preserve">Level of health unit of diagnosis - Based on CNES merge</w:t>
      </w:r>
    </w:p>
    <w:p>
      <w:pPr>
        <w:numPr>
          <w:ilvl w:val="0"/>
          <w:numId w:val="1006"/>
        </w:numPr>
      </w:pPr>
      <w:r>
        <w:t xml:space="preserve">Fixed effects for municipality-level characteristics:</w:t>
      </w:r>
    </w:p>
    <w:p>
      <w:pPr>
        <w:numPr>
          <w:ilvl w:val="1"/>
          <w:numId w:val="1008"/>
        </w:numPr>
        <w:pStyle w:val="Compact"/>
      </w:pPr>
      <w:r>
        <w:t xml:space="preserve">Urbanicity (cat) - Percent of the population in urban setting (2010 census)</w:t>
      </w:r>
    </w:p>
    <w:p>
      <w:pPr>
        <w:numPr>
          <w:ilvl w:val="1"/>
          <w:numId w:val="1008"/>
        </w:numPr>
        <w:pStyle w:val="Compact"/>
      </w:pPr>
      <w:r>
        <w:t xml:space="preserve">Bolsa Familia coverage (cat) - Percent of the population benefiting from BF (BF: SAGICAD, 2018 - earliest year available; Denominator: 2010 Census)</w:t>
      </w:r>
    </w:p>
    <w:p>
      <w:pPr>
        <w:numPr>
          <w:ilvl w:val="1"/>
          <w:numId w:val="1008"/>
        </w:numPr>
        <w:pStyle w:val="Compact"/>
      </w:pPr>
      <w:r>
        <w:t xml:space="preserve">Presence of prison during year (SISPEN)</w:t>
      </w:r>
    </w:p>
    <w:p>
      <w:pPr>
        <w:numPr>
          <w:ilvl w:val="1"/>
          <w:numId w:val="1008"/>
        </w:numPr>
        <w:pStyle w:val="Compact"/>
      </w:pPr>
      <w:r>
        <w:t xml:space="preserve">FHS Coverage - Number of health teams per 4,000 people (Forthcoming)</w:t>
      </w:r>
    </w:p>
    <w:bookmarkEnd w:id="26"/>
    <w:bookmarkStart w:id="27" w:name="specifications"/>
    <w:p>
      <w:pPr>
        <w:pStyle w:val="Heading3"/>
      </w:pPr>
      <w:r>
        <w:t xml:space="preserve">Specifications:</w:t>
      </w:r>
    </w:p>
    <w:p>
      <w:pPr>
        <w:numPr>
          <w:ilvl w:val="0"/>
          <w:numId w:val="1009"/>
        </w:numPr>
      </w:pPr>
      <w:r>
        <w:t xml:space="preserve">Model 1 - Adjusted:</w:t>
      </w:r>
    </w:p>
    <w:p>
      <w:pPr>
        <w:numPr>
          <w:ilvl w:val="1"/>
          <w:numId w:val="1010"/>
        </w:numPr>
        <w:pStyle w:val="Compact"/>
      </w:pPr>
      <w:r>
        <w:t xml:space="preserve">Patient-level: HIV status, sex, age, health unit level</w:t>
      </w:r>
    </w:p>
    <w:p>
      <w:pPr>
        <w:numPr>
          <w:ilvl w:val="1"/>
          <w:numId w:val="1010"/>
        </w:numPr>
        <w:pStyle w:val="Compact"/>
      </w:pPr>
      <w:r>
        <w:t xml:space="preserve">Municipality: BF coverage, urbanicity, presence of prison</w:t>
      </w:r>
    </w:p>
    <w:p>
      <w:pPr>
        <w:numPr>
          <w:ilvl w:val="0"/>
          <w:numId w:val="1009"/>
        </w:numPr>
      </w:pPr>
      <w:r>
        <w:t xml:space="preserve">Model 2 - Adjusted; Restricted &gt; 2015</w:t>
      </w:r>
    </w:p>
    <w:p>
      <w:pPr>
        <w:numPr>
          <w:ilvl w:val="0"/>
          <w:numId w:val="1009"/>
        </w:numPr>
      </w:pPr>
      <w:r>
        <w:t xml:space="preserve">Run separately by case type (e.g. new, relapse, re-entry) and for all cases</w:t>
      </w:r>
    </w:p>
    <w:p>
      <w:r>
        <w:br w:type="page"/>
      </w:r>
    </w:p>
    <w:bookmarkEnd w:id="27"/>
    <w:bookmarkEnd w:id="28"/>
    <w:bookmarkStart w:id="33" w:name="model-output"/>
    <w:p>
      <w:pPr>
        <w:pStyle w:val="Heading1"/>
      </w:pPr>
      <w:r>
        <w:t xml:space="preserve">Model Output</w:t>
      </w:r>
    </w:p>
    <w:bookmarkStart w:id="32" w:name="new-cases"/>
    <w:p>
      <w:pPr>
        <w:pStyle w:val="Heading2"/>
      </w:pPr>
      <w:r>
        <w:t xml:space="preserve">New cases</w:t>
      </w:r>
    </w:p>
    <w:p>
      <w:pPr>
        <w:numPr>
          <w:ilvl w:val="0"/>
          <w:numId w:val="1011"/>
        </w:numPr>
      </w:pPr>
      <w:r>
        <w:t xml:space="preserve">Model A - Adjusted:</w:t>
      </w:r>
    </w:p>
    <w:p>
      <w:pPr>
        <w:numPr>
          <w:ilvl w:val="1"/>
          <w:numId w:val="1012"/>
        </w:numPr>
        <w:pStyle w:val="Compact"/>
      </w:pPr>
      <w:r>
        <w:t xml:space="preserve">Patient-level: HIV status, sex, age (cat), health unit</w:t>
      </w:r>
    </w:p>
    <w:p>
      <w:pPr>
        <w:numPr>
          <w:ilvl w:val="1"/>
          <w:numId w:val="1012"/>
        </w:numPr>
        <w:pStyle w:val="Compact"/>
      </w:pPr>
      <w:r>
        <w:t xml:space="preserve">Municipality: Pct average BF coverage (cat), pct pop in urban area, presence of prison</w:t>
      </w:r>
    </w:p>
    <w:p>
      <w:pPr>
        <w:numPr>
          <w:ilvl w:val="0"/>
          <w:numId w:val="1011"/>
        </w:numPr>
      </w:pPr>
      <w:r>
        <w:t xml:space="preserve">Model B - Model A + interaction term (HIV, sex, age)</w:t>
      </w:r>
    </w:p>
    <w:p>
      <w:pPr>
        <w:numPr>
          <w:ilvl w:val="0"/>
          <w:numId w:val="1011"/>
        </w:numPr>
      </w:pPr>
      <w:r>
        <w:t xml:space="preserve">Model C - Model A, restricted to &gt;2015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tt_gam_plots_files/figure-docx/plot%20-%201-2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br w:type="page"/>
      </w:r>
    </w:p>
    <w:bookmarkEnd w:id="32"/>
    <w:bookmarkEnd w:id="33"/>
    <w:bookmarkStart w:id="42" w:name="re-entry-cases"/>
    <w:p>
      <w:pPr>
        <w:pStyle w:val="Heading1"/>
      </w:pPr>
      <w:r>
        <w:t xml:space="preserve">Re-Entry Cases</w:t>
      </w:r>
    </w:p>
    <w:bookmarkStart w:id="37" w:name="fixed-axes"/>
    <w:p>
      <w:pPr>
        <w:pStyle w:val="Heading2"/>
      </w:pPr>
      <w:r>
        <w:t xml:space="preserve">Fixed Axes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tt_gam_plots_files/figure-docx/plot%20-%20re-entry%20adjusted%20model%20FIXED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1" w:name="varied-axes"/>
    <w:p>
      <w:pPr>
        <w:pStyle w:val="Heading2"/>
      </w:pPr>
      <w:r>
        <w:t xml:space="preserve">Varied Axes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tt_gam_plots_files/figure-docx/plot%20-%20re-entry%20adjusted%20model%20VARIED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bookmarkEnd w:id="41"/>
    <w:bookmarkEnd w:id="42"/>
    <w:bookmarkStart w:id="51" w:name="relapse-cases"/>
    <w:p>
      <w:pPr>
        <w:pStyle w:val="Heading1"/>
      </w:pPr>
      <w:r>
        <w:t xml:space="preserve">Relapse Cases</w:t>
      </w:r>
    </w:p>
    <w:bookmarkStart w:id="46" w:name="fixed-axes-1"/>
    <w:p>
      <w:pPr>
        <w:pStyle w:val="Heading2"/>
      </w:pPr>
      <w:r>
        <w:t xml:space="preserve">Fixed Axes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tt_gam_plots_files/figure-docx/plot%20-%20relapse%20adjusted%20model%20FIXED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varied-axes-1"/>
    <w:p>
      <w:pPr>
        <w:pStyle w:val="Heading2"/>
      </w:pPr>
      <w:r>
        <w:t xml:space="preserve">Varied Axes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tt_gam_plots_files/figure-docx/plot%20-%20relapse%20adjusted%20model%20VARIED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0"/>
    <w:bookmarkEnd w:id="51"/>
    <w:bookmarkStart w:id="55" w:name="all-cases-e.g.-diagnoses-types-combined"/>
    <w:p>
      <w:pPr>
        <w:pStyle w:val="Heading1"/>
      </w:pPr>
      <w:r>
        <w:t xml:space="preserve">All cases (e.g. Diagnoses types combined)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tt_gam_plots_files/figure-docx/plot%20-%20all%20cases%20FIXED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going-forward"/>
    <w:p>
      <w:pPr>
        <w:pStyle w:val="Heading1"/>
      </w:pPr>
      <w:r>
        <w:t xml:space="preserve">Going Forward:</w:t>
      </w:r>
    </w:p>
    <w:p>
      <w:pPr>
        <w:numPr>
          <w:ilvl w:val="0"/>
          <w:numId w:val="1013"/>
        </w:numPr>
        <w:pStyle w:val="Compact"/>
      </w:pPr>
      <w:r>
        <w:t xml:space="preserve">Add in FHS coverage</w:t>
      </w:r>
    </w:p>
    <w:p>
      <w:pPr>
        <w:numPr>
          <w:ilvl w:val="0"/>
          <w:numId w:val="1013"/>
        </w:numPr>
        <w:pStyle w:val="Compact"/>
      </w:pPr>
      <w:r>
        <w:t xml:space="preserve">Aggregate to health region (to overcome noise when working with small municipalities)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52" Target="media/rId5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RR-TB Updates: September 28, 2023</dc:title>
  <dc:creator/>
  <cp:keywords/>
  <dcterms:created xsi:type="dcterms:W3CDTF">2023-09-26T15:20:30Z</dcterms:created>
  <dcterms:modified xsi:type="dcterms:W3CDTF">2023-09-26T15:20:30Z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