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Report</w:t>
      </w:r>
    </w:p>
    <w:p>
      <w:r>
        <w:t>The dataset consists of 148 rows (observations) and 7 columns (features), 3 of which are numeric.</w:t>
      </w:r>
    </w:p>
    <w:p>
      <w:pPr>
        <w:pStyle w:val="Heading1"/>
        <w:spacing w:before="300" w:after="140"/>
      </w:pPr>
      <w:r>
        <w:t>Overview of Numeric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count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avg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stddev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min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25%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50%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75%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b/>
                <w:sz w:val="17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rate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148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3.6331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0.4023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2.6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3.3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3.7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3.9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4.6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votes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144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265.7292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662.4903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205.5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4884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approx_cost(for two people)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145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415.5172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221.6978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100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200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400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600</w:t>
            </w:r>
          </w:p>
        </w:tc>
        <w:tc>
          <w:tcPr>
            <w:tcW w:type="dxa" w:w="1008"/>
          </w:tcPr>
          <w:p>
            <w:r>
              <w:rPr>
                <w:rFonts w:ascii="Courier New" w:hAnsi="Courier New"/>
                <w:sz w:val="17"/>
              </w:rPr>
              <w:t>950</w:t>
            </w:r>
          </w:p>
        </w:tc>
      </w:tr>
    </w:tbl>
    <w:p/>
    <w:p>
      <w:pPr>
        <w:pStyle w:val="Heading1"/>
        <w:spacing w:before="300" w:after="140"/>
      </w:pPr>
      <w:r>
        <w:t>Overview of Categorical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296"/>
        <w:gridCol w:w="1296"/>
        <w:gridCol w:w="1296"/>
        <w:gridCol w:w="1296"/>
        <w:gridCol w:w="1296"/>
      </w:tblGrid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b/>
                <w:sz w:val="17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b/>
                <w:sz w:val="17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b/>
                <w:sz w:val="17"/>
              </w:rPr>
              <w:t>top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b/>
                <w:sz w:val="17"/>
              </w:rPr>
              <w:t>freq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b/>
                <w:sz w:val="17"/>
              </w:rPr>
              <w:t>relative freq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name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148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145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San Churro Cafe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1.35%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online_order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148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No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90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60.81%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book_table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148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No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140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94.59%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  <w:sz w:val="17"/>
              </w:rPr>
              <w:t>listed_in(type)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148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Dining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110</w:t>
            </w:r>
          </w:p>
        </w:tc>
        <w:tc>
          <w:tcPr>
            <w:tcW w:type="dxa" w:w="1296"/>
          </w:tcPr>
          <w:p>
            <w:r>
              <w:rPr>
                <w:rFonts w:ascii="Courier New" w:hAnsi="Courier New"/>
                <w:sz w:val="17"/>
              </w:rPr>
              <w:t>74.32%</w:t>
            </w:r>
          </w:p>
        </w:tc>
      </w:tr>
    </w:tbl>
    <w:p/>
    <w:p>
      <w:r>
        <w:br w:type="page"/>
      </w:r>
    </w:p>
    <w:p>
      <w:pPr>
        <w:pStyle w:val="Heading1"/>
        <w:spacing w:before="0" w:after="0"/>
      </w:pPr>
      <w:r>
        <w:t>1. Univariate Analysis</w:t>
      </w:r>
    </w:p>
    <w:p>
      <w:pPr>
        <w:pStyle w:val="Heading2"/>
        <w:spacing w:before="240" w:after="100"/>
      </w:pPr>
      <w:r>
        <w:t>1.1 Name</w:t>
      </w:r>
    </w:p>
    <w:p>
      <w:r>
        <w:t>Name is a categorical variable with 145 unique values. None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Mode (Most frequent)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Onesta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 frequency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</w:pPr>
      <w:r>
        <w:t>1.2 Online_Order</w:t>
      </w:r>
    </w:p>
    <w:p>
      <w:r>
        <w:t>Online_order is a boolean variable with 2 unique values. None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Mode (Most frequent)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 frequency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90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</w:pPr>
      <w:r>
        <w:t>1.3 Book_Table</w:t>
      </w:r>
    </w:p>
    <w:p>
      <w:r>
        <w:t>Book_table is a boolean variable with 2 unique values. None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Mode (Most frequent)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 frequency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140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</w:pPr>
      <w:r>
        <w:t>1.4 Rate</w:t>
      </w:r>
    </w:p>
    <w:p>
      <w:r>
        <w:t>Rate is a numeric variable with 19 unique values. None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3.6331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Standard Deviation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0.4023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2.6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Lower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3.3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3.7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Upper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3.9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4.6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Skewness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-0.156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Kurtosis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-0.4369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</w:pPr>
      <w:r>
        <w:t>Tests for Normality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440"/>
        <w:gridCol w:w="2880"/>
      </w:tblGrid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7"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7"/>
              </w:rPr>
              <w:t>Conclusion at α = 0.05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D'Agostino's K-squared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0.3272502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Possibly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Kolmogorov-Smirnov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0.0000000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Shapiro-Wilk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0.0706234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Possibly normal</w:t>
            </w:r>
          </w:p>
        </w:tc>
      </w:tr>
    </w:tbl>
    <w:p/>
    <w:p>
      <w:pPr>
        <w:pStyle w:val="Heading2"/>
        <w:spacing w:before="240" w:after="100"/>
      </w:pPr>
      <w:r>
        <w:t>1.5 Votes</w:t>
      </w:r>
    </w:p>
    <w:p>
      <w:r>
        <w:t>Votes is a numeric variable with 88 unique values. 4 (2.70%)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265.7292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Standard Deviation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662.4903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Lower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6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39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Upper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205.5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4884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Skewness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4.8722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Kurtosis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27.6831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</w:pPr>
      <w:r>
        <w:t>Tests for Normality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440"/>
        <w:gridCol w:w="2880"/>
      </w:tblGrid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7"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7"/>
              </w:rPr>
              <w:t>Conclusion at α = 0.05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D'Agostino's K-squared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0.0000000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Kolmogorov-Smirnov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0.0000000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Shapiro-Wilk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0.0000000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</w:tbl>
    <w:p/>
    <w:p>
      <w:pPr>
        <w:pStyle w:val="Heading2"/>
        <w:spacing w:before="240" w:after="100"/>
      </w:pPr>
      <w:r>
        <w:t>1.6 Approx_Cost(For Two People)</w:t>
      </w:r>
    </w:p>
    <w:p>
      <w:r>
        <w:t>Approx_cost(for two people) is a numeric variable with 18 unique values. 3 (2.03%)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415.5172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Standard Deviation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221.6978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100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Lower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200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Median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400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Upper Quartile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600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950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Skewness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0.4859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Kurtosis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-0.8294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jc w:val="center"/>
      </w:pPr>
      <w:r>
        <w:t>Tests for Normality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440"/>
        <w:gridCol w:w="2880"/>
      </w:tblGrid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b/>
                <w:sz w:val="17"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7"/>
              </w:rPr>
              <w:t>Conclusion at α = 0.05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D'Agostino's K-squared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0.0002153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Kolmogorov-Smirnov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0.0000000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  <w:tr>
        <w:tc>
          <w:tcPr>
            <w:tcW w:type="dxa" w:w="3168"/>
          </w:tcPr>
          <w:p>
            <w:r>
              <w:rPr>
                <w:rFonts w:ascii="Courier New" w:hAnsi="Courier New"/>
                <w:b/>
                <w:sz w:val="17"/>
              </w:rPr>
              <w:t>Shapiro-Wilk test</w:t>
            </w:r>
          </w:p>
        </w:tc>
        <w:tc>
          <w:tcPr>
            <w:tcW w:type="dxa" w:w="1440"/>
          </w:tcPr>
          <w:p>
            <w:r>
              <w:rPr>
                <w:rFonts w:ascii="Courier New" w:hAnsi="Courier New"/>
                <w:sz w:val="17"/>
              </w:rPr>
              <w:t>0.0000029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7"/>
              </w:rPr>
              <w:t>Unlikely to be normal</w:t>
            </w:r>
          </w:p>
        </w:tc>
      </w:tr>
    </w:tbl>
    <w:p/>
    <w:p>
      <w:pPr>
        <w:pStyle w:val="Heading2"/>
        <w:spacing w:before="240" w:after="100"/>
      </w:pPr>
      <w:r>
        <w:t>1.7 Listed_In(Type)</w:t>
      </w:r>
    </w:p>
    <w:p>
      <w:r>
        <w:t>Listed_in(type) is a categorical variable with 4 unique values. None of its values are missing.</w:t>
      </w:r>
    </w:p>
    <w:p>
      <w:pPr>
        <w:pStyle w:val="Heading4"/>
        <w:jc w:val="center"/>
      </w:pPr>
      <w:r>
        <w:t>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</w:tblGrid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Mode (Most frequent)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Dining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ourier New" w:hAnsi="Courier New"/>
                <w:sz w:val="20"/>
              </w:rPr>
              <w:t>Maximum frequency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20"/>
              </w:rPr>
              <w:t>110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00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40"/>
      </w:pPr>
      <w:r>
        <w:t>2. Bivariate Analysis</w:t>
      </w:r>
    </w:p>
    <w:p>
      <w:pPr>
        <w:pStyle w:val="Heading2"/>
        <w:spacing w:before="300" w:after="140"/>
      </w:pPr>
      <w:r>
        <w:t>2.1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66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0" w:after="140"/>
      </w:pPr>
      <w:r>
        <w:t>2.2 Regression Plots (Top 20)</w:t>
      </w:r>
    </w:p>
    <w:p>
      <w:pPr>
        <w:pStyle w:val="Heading3"/>
        <w:spacing w:before="320" w:after="100"/>
      </w:pPr>
      <w:r>
        <w:t>2.2.1 Rate Vs Votes</w:t>
      </w:r>
    </w:p>
    <w:p>
      <w:r>
        <w:t>Rate and Votes have moderate positive correlation (0.50).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20" w:after="100"/>
      </w:pPr>
      <w:r>
        <w:t>2.2.2 Votes Vs Approx_Cost(For Two People)</w:t>
      </w:r>
    </w:p>
    <w:p>
      <w:r>
        <w:t>Votes and Approx_Cost(For Two People) have weak positive correlation (0.34).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20" w:after="100"/>
      </w:pPr>
      <w:r>
        <w:t>2.2.3 Rate Vs Approx_Cost(For Two People)</w:t>
      </w:r>
    </w:p>
    <w:p>
      <w:r>
        <w:t>Rate and Approx_Cost(For Two People) have weak positive correlation (0.30).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014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01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