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Rival Ad Stack — Solo Execution Business Plan</w:t>
      </w:r>
    </w:p>
    <w:p>
      <w:pPr>
        <w:jc w:val="left"/>
      </w:pPr>
      <w:r>
        <w:t>Bel Consulting OÜ (Estonia), a daughter of Starz Energies (US)</w:t>
        <w:br/>
      </w:r>
      <w:r>
        <w:t>Date: November 01, 2025</w:t>
        <w:br/>
        <w:t>Confidential — For internal use only</w:t>
      </w:r>
    </w:p>
    <w:p>
      <w:r>
        <w:br w:type="page"/>
      </w:r>
    </w:p>
    <w:p>
      <w:pPr>
        <w:pStyle w:val="Heading1"/>
      </w:pPr>
      <w:r>
        <w:t>Executive Summary</w:t>
      </w:r>
    </w:p>
    <w:p>
      <w:r>
        <w:t>Mission &amp; Wedge</w:t>
      </w:r>
    </w:p>
    <w:p>
      <w:pPr>
        <w:pStyle w:val="ListBullet"/>
      </w:pPr>
      <w:r>
        <w:t xml:space="preserve">Build and launch a Unity‑rival ad mediation platform for mobile games that is OTA‑proof, ANR‑minimal, privacy‑first, and trust‑led. </w:t>
      </w:r>
    </w:p>
    <w:p>
      <w:pPr>
        <w:pStyle w:val="ListBullet"/>
      </w:pPr>
      <w:r>
        <w:t>Win on reliability (staged/signed configs, automatic rollback), transparency (per‑impression bid landscape), and cash trust (weekly multi‑rail payouts).</w:t>
      </w:r>
    </w:p>
    <w:p>
      <w:pPr>
        <w:pStyle w:val="ListBullet"/>
      </w:pPr>
      <w:r>
        <w:t>Solo‑founder playbook: ship a GA‑credible MVP in 120 days by (1) strict scope control, (2) off‑the‑shelf infra and libraries, (3) AI‑agent assisted coding and documentation, (4) targeted contractors only for iOS QA, security pen‑test, and certification paperwork.</w:t>
      </w:r>
    </w:p>
    <w:p/>
    <w:p>
      <w:r>
        <w:t>Target Customers &amp; Offer</w:t>
      </w:r>
    </w:p>
    <w:p>
      <w:pPr>
        <w:pStyle w:val="ListBullet"/>
      </w:pPr>
      <w:r>
        <w:t>ICP: Mid‑tier mobile studios (Unity/Unreal/Native), $1–10M ARR, frustrated with black‑box auctions, ANR issues, and monthly payout cadence.</w:t>
      </w:r>
    </w:p>
    <w:p>
      <w:pPr>
        <w:pStyle w:val="ListBullet"/>
      </w:pPr>
      <w:r>
        <w:t>Offer: Revenue‑parity guarantee for 60 days, weekly payouts, open adapter spec, public reliability dashboard, migration tooling from Unity/LevelPlay.</w:t>
      </w:r>
    </w:p>
    <w:p/>
    <w:p>
      <w:r>
        <w:t>Milestones (120‑day path)</w:t>
      </w:r>
    </w:p>
    <w:p>
      <w:pPr>
        <w:pStyle w:val="ListBullet"/>
      </w:pPr>
      <w:r>
        <w:t>Day 30: SDK cores (Android/iOS/Unity), Config Service with signing/rollback, Auction MVP, Reporting API alpha, status page live.</w:t>
      </w:r>
    </w:p>
    <w:p>
      <w:pPr>
        <w:pStyle w:val="ListBullet"/>
      </w:pPr>
      <w:r>
        <w:t>Day 60: OMSDK + privacy bridges (iOS AAK, Android Attribution), Payments v1 (primary+backup rail, ledger), app‑ads.txt/schain enforcement.</w:t>
      </w:r>
    </w:p>
    <w:p>
      <w:pPr>
        <w:pStyle w:val="ListBullet"/>
      </w:pPr>
      <w:r>
        <w:t>Day 90: Auto‑floors + experiments, fraud/quality v1, review queue, design‑partner pilots (3–5 apps).</w:t>
      </w:r>
    </w:p>
    <w:p>
      <w:pPr>
        <w:pStyle w:val="ListBullet"/>
      </w:pPr>
      <w:r>
        <w:t>Day 120: Public beta, reliability dashboard, SOC 2 Type I prep, revenue‑parity program, load/DR tests, initial GTM push.</w:t>
      </w:r>
    </w:p>
    <w:p/>
    <w:p>
      <w:r>
        <w:t>Key SLOs &amp; Acceptance</w:t>
      </w:r>
    </w:p>
    <w:p>
      <w:pPr>
        <w:pStyle w:val="ListBullet"/>
      </w:pPr>
      <w:r>
        <w:t>SDK crash‑free ≥ 99.9% (7‑day), ANR contribution ≤ 0.02% (90‑day), auction p99 ≤ 100 ms at 1M QPS, payout success ≥ 99.95% weekly.</w:t>
      </w:r>
    </w:p>
    <w:p>
      <w:r>
        <w:br w:type="page"/>
      </w:r>
    </w:p>
    <w:p>
      <w:pPr>
        <w:pStyle w:val="Heading1"/>
      </w:pPr>
      <w:r>
        <w:t>Founder Operating Model (Solo)</w:t>
      </w:r>
    </w:p>
    <w:p>
      <w:r>
        <w:t>Working Model (Solo + AI + Targeted Contractors)</w:t>
      </w:r>
    </w:p>
    <w:p>
      <w:pPr>
        <w:pStyle w:val="ListBullet"/>
      </w:pPr>
      <w:r>
        <w:t>Time split (weekly): 45% engineering, 20% GTM/sales, 15% SRE/ops, 10% compliance, 10% finance/admin.</w:t>
      </w:r>
    </w:p>
    <w:p>
      <w:pPr>
        <w:pStyle w:val="ListBullet"/>
      </w:pPr>
      <w:r>
        <w:t>AI‑Agent loop (VS Code): generate scaffolds from SRS, enforce size/threading gates, create SDK stubs, OpenRTB handlers, NestJS reporting, Terraform infra, tests.</w:t>
      </w:r>
    </w:p>
    <w:p>
      <w:pPr>
        <w:pStyle w:val="ListBullet"/>
      </w:pPr>
      <w:r>
        <w:t xml:space="preserve">Contractors (time‑boxed): </w:t>
      </w:r>
    </w:p>
    <w:p>
      <w:r>
        <w:t xml:space="preserve">  – iOS device matrix QA (2–3 weeks at Day 45–60). </w:t>
      </w:r>
    </w:p>
    <w:p>
      <w:r>
        <w:t xml:space="preserve">  – Security pen‑test &amp; SOC 2 readiness (2 weeks at Day 90–110). </w:t>
      </w:r>
    </w:p>
    <w:p>
      <w:r>
        <w:t xml:space="preserve">  – Certification paperwork with SSPs (rolling, 10–15 hours total).</w:t>
      </w:r>
    </w:p>
    <w:p/>
    <w:p>
      <w:r>
        <w:t>Daily Cadence (Mon–Sat)</w:t>
      </w:r>
    </w:p>
    <w:p>
      <w:pPr>
        <w:pStyle w:val="ListBullet"/>
      </w:pPr>
      <w:r>
        <w:t>Morning (2h): Production &amp; CI checks, metrics (SLOs, incidents), triage.</w:t>
      </w:r>
    </w:p>
    <w:p>
      <w:pPr>
        <w:pStyle w:val="ListBullet"/>
      </w:pPr>
      <w:r>
        <w:t xml:space="preserve">Build blocks (2×2h): Code + tests (agent‑assisted). </w:t>
      </w:r>
    </w:p>
    <w:p>
      <w:pPr>
        <w:pStyle w:val="ListBullet"/>
      </w:pPr>
      <w:r>
        <w:t>GTM hour (1h): Outbound to studios, follow‑ups, demo scheduling.</w:t>
      </w:r>
    </w:p>
    <w:p>
      <w:pPr>
        <w:pStyle w:val="ListBullet"/>
      </w:pPr>
      <w:r>
        <w:t>Admin hour (0.5h): Compliance/finops.</w:t>
      </w:r>
    </w:p>
    <w:p>
      <w:pPr>
        <w:pStyle w:val="ListBullet"/>
      </w:pPr>
      <w:r>
        <w:t>Buffer (0.5h): Unplanned issues.</w:t>
      </w:r>
    </w:p>
    <w:p/>
    <w:p>
      <w:r>
        <w:t>Weekly Rhythm</w:t>
      </w:r>
    </w:p>
    <w:p>
      <w:pPr>
        <w:pStyle w:val="ListBullet"/>
      </w:pPr>
      <w:r>
        <w:t>Mon: Roadmap planning, acceptance criteria for the week, partner follow‑ups.</w:t>
      </w:r>
    </w:p>
    <w:p>
      <w:pPr>
        <w:pStyle w:val="ListBullet"/>
      </w:pPr>
      <w:r>
        <w:t>Wed: Design‑partner office hours, migration tooling support.</w:t>
      </w:r>
    </w:p>
    <w:p>
      <w:pPr>
        <w:pStyle w:val="ListBullet"/>
      </w:pPr>
      <w:r>
        <w:t>Fri: Release candidate, reliability dashboard update, public changelog.</w:t>
      </w:r>
    </w:p>
    <w:p>
      <w:pPr>
        <w:pStyle w:val="ListBullet"/>
      </w:pPr>
      <w:r>
        <w:t>Sat: Founder long block (strategy / architecture / docs).</w:t>
      </w:r>
    </w:p>
    <w:p/>
    <w:p>
      <w:r>
        <w:t>Runbooks (abbreviated)</w:t>
      </w:r>
    </w:p>
    <w:p>
      <w:pPr>
        <w:pStyle w:val="ListBullet"/>
      </w:pPr>
      <w:r>
        <w:t>Incident: kill‑switch → rollback → status update → RCA within 48h.</w:t>
      </w:r>
    </w:p>
    <w:p>
      <w:pPr>
        <w:pStyle w:val="ListBullet"/>
      </w:pPr>
      <w:r>
        <w:t>Payout: weekly batch + failover; anomalies auto‑alert; manual review queue.</w:t>
      </w:r>
    </w:p>
    <w:p>
      <w:pPr>
        <w:pStyle w:val="ListBullet"/>
      </w:pPr>
      <w:r>
        <w:t>Config: staged rollout (1%→5%→25%→100%) with crash/ANR SLO gates.</w:t>
      </w:r>
    </w:p>
    <w:p>
      <w:r>
        <w:br w:type="page"/>
      </w:r>
    </w:p>
    <w:p>
      <w:pPr>
        <w:pStyle w:val="Heading1"/>
      </w:pPr>
      <w:r>
        <w:t>Product &amp; Technical Summary</w:t>
      </w:r>
    </w:p>
    <w:p>
      <w:r>
        <w:t>Product &amp; Technical Summary (from the Enhanced SRS v2.0)</w:t>
      </w:r>
    </w:p>
    <w:p>
      <w:pPr>
        <w:pStyle w:val="ListBullet"/>
      </w:pPr>
      <w:r>
        <w:t>SDK: Core ≤500KB with modular adapters; strict threading (no network/disk on UI), circuit breakers, quarantine, predictive caching; OMSDK integrated.</w:t>
      </w:r>
    </w:p>
    <w:p>
      <w:pPr>
        <w:pStyle w:val="ListBullet"/>
      </w:pPr>
      <w:r>
        <w:t>Config Safety: Ed25519‑signed typed configs, staged rollouts with SLO‑guarded auto‑rollback, global kill‑switch.</w:t>
      </w:r>
    </w:p>
    <w:p>
      <w:pPr>
        <w:pStyle w:val="ListBullet"/>
      </w:pPr>
      <w:r>
        <w:t>Auction: Hybrid (server‑side header bidding primary, minimal client HB secondary) with deterministic waterfall fallback; Thompson/UCB auto‑floors; per‑impression bid‑landscape transparency.</w:t>
      </w:r>
    </w:p>
    <w:p>
      <w:pPr>
        <w:pStyle w:val="ListBullet"/>
      </w:pPr>
      <w:r>
        <w:t>Privacy &amp; Measurement: iOS AdAttributionKit + Android Privacy Sandbox Attribution; MMP bridges (Adjust/AppsFlyer/Singular).</w:t>
      </w:r>
    </w:p>
    <w:p>
      <w:pPr>
        <w:pStyle w:val="ListBullet"/>
      </w:pPr>
      <w:r>
        <w:t>Data Plane &amp; Reporting: streaming → ClickHouse/BigQuery; Reporting API (REST), per‑impression exports, anomaly alerting.</w:t>
      </w:r>
    </w:p>
    <w:p>
      <w:pPr>
        <w:pStyle w:val="ListBullet"/>
      </w:pPr>
      <w:r>
        <w:t>Payments: Double‑entry ledger, multi‑rail (Tipalti + Wise/Payoneer/SEPA) with automatic failover and real‑time payout status.</w:t>
      </w:r>
    </w:p>
    <w:p>
      <w:pPr>
        <w:pStyle w:val="ListBullet"/>
      </w:pPr>
      <w:r>
        <w:t>SRE: OpenTelemetry, Prometheus/Grafana, status and RCAs; SOC 2 Type I at GA.</w:t>
      </w:r>
    </w:p>
    <w:p>
      <w:r>
        <w:t>(See the provided Enhanced SRS v2.0 for full technical detail.)</w:t>
      </w:r>
    </w:p>
    <w:p>
      <w:r>
        <w:br w:type="page"/>
      </w:r>
    </w:p>
    <w:p>
      <w:pPr>
        <w:pStyle w:val="Heading1"/>
      </w:pPr>
      <w:r>
        <w:t>Roadmap (120 Days)</w:t>
      </w:r>
    </w:p>
    <w:p>
      <w:r>
        <w:t>Execution Roadmap (120 Days)</w:t>
      </w:r>
    </w:p>
    <w:p>
      <w:r>
        <w:t>Phase I — Foundation (Days 0–30)</w:t>
      </w:r>
    </w:p>
    <w:p>
      <w:pPr>
        <w:pStyle w:val="ListBullet"/>
      </w:pPr>
      <w:r>
        <w:t>SDK cores (Android/iOS/Unity) w/ StrictMode &amp; main‑thread assertions; adapter interface; deterministic test‑ads.</w:t>
      </w:r>
    </w:p>
    <w:p>
      <w:pPr>
        <w:pStyle w:val="ListBullet"/>
      </w:pPr>
      <w:r>
        <w:t>Config Service (signing, schema validation, staged rollouts, kill‑switch, auto‑rollback); status page.</w:t>
      </w:r>
    </w:p>
    <w:p>
      <w:pPr>
        <w:pStyle w:val="ListBullet"/>
      </w:pPr>
      <w:r>
        <w:t>Auction MVP (OpenRTB 2.6 S2S + minimal client HB; waterfall fallback; timeouts ≤120ms); Reporting API alpha; log streaming.</w:t>
      </w:r>
    </w:p>
    <w:p/>
    <w:p>
      <w:r>
        <w:t>Phase II — Privacy &amp; Payments (Days 31–60)</w:t>
      </w:r>
    </w:p>
    <w:p>
      <w:pPr>
        <w:pStyle w:val="ListBullet"/>
      </w:pPr>
      <w:r>
        <w:t>OMSDK integration; enforce app‑ads.txt, sellers.json, schain.</w:t>
      </w:r>
    </w:p>
    <w:p>
      <w:pPr>
        <w:pStyle w:val="ListBullet"/>
      </w:pPr>
      <w:r>
        <w:t>iOS AAK + Android Attribution Reporting bridges.</w:t>
      </w:r>
    </w:p>
    <w:p>
      <w:pPr>
        <w:pStyle w:val="ListBullet"/>
      </w:pPr>
      <w:r>
        <w:t>Payments v1: Primary rail + one backup; double‑entry ledger; payout console; failover drills.</w:t>
      </w:r>
    </w:p>
    <w:p/>
    <w:p>
      <w:r>
        <w:t>Phase III — Intelligence &amp; Quality (Days 61–90)</w:t>
      </w:r>
    </w:p>
    <w:p>
      <w:pPr>
        <w:pStyle w:val="ListBullet"/>
      </w:pPr>
      <w:r>
        <w:t>Auto‑floors via bandits, experimentation service; adapter watchdogs, circuit breakers.</w:t>
      </w:r>
    </w:p>
    <w:p>
      <w:pPr>
        <w:pStyle w:val="ListBullet"/>
      </w:pPr>
      <w:r>
        <w:t>Fraud/quality v1 (GIVT + device integrity + creative scanning); publisher review queue.</w:t>
      </w:r>
    </w:p>
    <w:p>
      <w:pPr>
        <w:pStyle w:val="ListBullet"/>
      </w:pPr>
      <w:r>
        <w:t>Design‑partner pilots and Unity migration tools; initial case studies.</w:t>
      </w:r>
    </w:p>
    <w:p/>
    <w:p>
      <w:r>
        <w:t>Phase IV — Launch Prep (Days 91–120)</w:t>
      </w:r>
    </w:p>
    <w:p>
      <w:pPr>
        <w:pStyle w:val="ListBullet"/>
      </w:pPr>
      <w:r>
        <w:t>Public reliability dashboard; revenue‑parity program.</w:t>
      </w:r>
    </w:p>
    <w:p>
      <w:pPr>
        <w:pStyle w:val="ListBullet"/>
      </w:pPr>
      <w:r>
        <w:t>Fraud v2 (behavioral/SIVT); load test to 1M QPS, DR tests.</w:t>
      </w:r>
    </w:p>
    <w:p>
      <w:pPr>
        <w:pStyle w:val="ListBullet"/>
      </w:pPr>
      <w:r>
        <w:t>SOC 2 Type I prep; GA packaging, docs, support readiness; public beta launch.</w:t>
      </w:r>
    </w:p>
    <w:p>
      <w:r>
        <w:br w:type="page"/>
      </w:r>
    </w:p>
    <w:p>
      <w:pPr>
        <w:pStyle w:val="Heading1"/>
      </w:pPr>
      <w:r>
        <w:t>Go‑to‑Market &amp; Sales</w:t>
      </w:r>
    </w:p>
    <w:p>
      <w:r>
        <w:t>Go‑to‑Market &amp; Sales Motions (Solo)</w:t>
      </w:r>
    </w:p>
    <w:p>
      <w:r>
        <w:t>Positioning</w:t>
      </w:r>
    </w:p>
    <w:p>
      <w:pPr>
        <w:pStyle w:val="ListBullet"/>
      </w:pPr>
      <w:r>
        <w:t xml:space="preserve">“Transparent, OTA‑proof, weekly‑pay mediation for mobile games.” </w:t>
      </w:r>
    </w:p>
    <w:p>
      <w:pPr>
        <w:pStyle w:val="ListBullet"/>
      </w:pPr>
      <w:r>
        <w:t>Proofs: live reliability dashboard, per‑impression landscapes, payout health meter.</w:t>
      </w:r>
    </w:p>
    <w:p/>
    <w:p>
      <w:r>
        <w:t>Channels &amp; Tactics</w:t>
      </w:r>
    </w:p>
    <w:p>
      <w:pPr>
        <w:pStyle w:val="ListBullet"/>
      </w:pPr>
      <w:r>
        <w:t xml:space="preserve">Founder‑led outbound to Unity/LevelPlay refugees (top 500 mid‑tier studios). </w:t>
      </w:r>
    </w:p>
    <w:p>
      <w:pPr>
        <w:pStyle w:val="ListBullet"/>
      </w:pPr>
      <w:r>
        <w:t>Revenue‑parity guarantee (60 days), 15‑minute SDK quick‑start, white‑glove migration.</w:t>
      </w:r>
    </w:p>
    <w:p>
      <w:pPr>
        <w:pStyle w:val="ListBullet"/>
      </w:pPr>
      <w:r>
        <w:t>Developer community (Discord), public changelogs, open adapter spec.</w:t>
      </w:r>
    </w:p>
    <w:p/>
    <w:p>
      <w:r>
        <w:t>Funnel</w:t>
      </w:r>
    </w:p>
    <w:p>
      <w:pPr>
        <w:pStyle w:val="ListBullet"/>
      </w:pPr>
      <w:r>
        <w:t xml:space="preserve">TOFU: case studies, incident RCAs, Unity migration blog series, conference meetups (GDC/Unite). </w:t>
      </w:r>
    </w:p>
    <w:p>
      <w:pPr>
        <w:pStyle w:val="ListBullet"/>
      </w:pPr>
      <w:r>
        <w:t>MOFU: technical demos, SDK pilot in a single title, weekly revenue emails, comparative ANR report.</w:t>
      </w:r>
    </w:p>
    <w:p>
      <w:pPr>
        <w:pStyle w:val="ListBullet"/>
      </w:pPr>
      <w:r>
        <w:t>BOFU: contract with SLA credits, onboarding plan, migration window (1–2 weeks).</w:t>
      </w:r>
    </w:p>
    <w:p/>
    <w:p>
      <w:r>
        <w:t>Pricing</w:t>
      </w:r>
    </w:p>
    <w:p>
      <w:pPr>
        <w:pStyle w:val="ListBullet"/>
      </w:pPr>
      <w:r>
        <w:t>Free ≤ $10k monthly revenue; 2.5% $10k–$100k; 2.0% $100k–$1M; 1.5% enterprise with SLAs and priority support.</w:t>
      </w:r>
    </w:p>
    <w:p>
      <w:r>
        <w:br w:type="page"/>
      </w:r>
    </w:p>
    <w:p>
      <w:pPr>
        <w:pStyle w:val="Heading1"/>
      </w:pPr>
      <w:r>
        <w:t>Demand &amp; Partner Strategy</w:t>
      </w:r>
    </w:p>
    <w:p>
      <w:r>
        <w:t>Demand &amp; Partner Strategy</w:t>
      </w:r>
    </w:p>
    <w:p>
      <w:pPr>
        <w:pStyle w:val="ListBullet"/>
      </w:pPr>
      <w:r>
        <w:t>Wave‑1 SSPs via OpenRTB 2.6 S2S (self‑serve sandboxes first) to minimize certification time.</w:t>
      </w:r>
    </w:p>
    <w:p>
      <w:pPr>
        <w:pStyle w:val="ListBullet"/>
      </w:pPr>
      <w:r>
        <w:t>Add Prebid‑compatible bidders for client HB density.</w:t>
      </w:r>
    </w:p>
    <w:p>
      <w:pPr>
        <w:pStyle w:val="ListBullet"/>
      </w:pPr>
      <w:r>
        <w:t>Build migration tools for Unity/LevelPlay; open adapter interface for third‑party contributors.</w:t>
      </w:r>
    </w:p>
    <w:p>
      <w:pPr>
        <w:pStyle w:val="ListBullet"/>
      </w:pPr>
      <w:r>
        <w:t>Co‑marketing: publish weekly ANR and payout reliability metrics for design partners.</w:t>
      </w:r>
    </w:p>
    <w:p>
      <w:r>
        <w:br w:type="page"/>
      </w:r>
    </w:p>
    <w:p>
      <w:pPr>
        <w:pStyle w:val="Heading1"/>
      </w:pPr>
      <w:r>
        <w:t>Finance &amp; Unit Economics</w:t>
      </w:r>
    </w:p>
    <w:p>
      <w:r>
        <w:t>Finance &amp; Unit Economics (6‑month runway)</w:t>
      </w:r>
    </w:p>
    <w:p>
      <w:r>
        <w:t>Costs (monthly, lean cloud)</w:t>
      </w:r>
    </w:p>
    <w:p>
      <w:pPr>
        <w:pStyle w:val="ListBullet"/>
      </w:pPr>
      <w:r>
        <w:t>Compute/DB/Queue/Storage/Observability/CDN: ~$3.5–4.0k</w:t>
      </w:r>
    </w:p>
    <w:p>
      <w:pPr>
        <w:pStyle w:val="ListBullet"/>
      </w:pPr>
      <w:r>
        <w:t>Compliance &amp; security: ~$0.2k/month equivalent; one‑time pen‑test $10–15k.</w:t>
      </w:r>
    </w:p>
    <w:p>
      <w:pPr>
        <w:pStyle w:val="ListBullet"/>
      </w:pPr>
      <w:r>
        <w:t>Devices &amp; labs (one‑time): ~$2k.</w:t>
      </w:r>
    </w:p>
    <w:p/>
    <w:p>
      <w:r>
        <w:t>Revenue Model (conservative)</w:t>
      </w:r>
    </w:p>
    <w:p>
      <w:pPr>
        <w:pStyle w:val="ListBullet"/>
      </w:pPr>
      <w:r>
        <w:t>Design partners ramp from 3→30 apps by month 6. Avg monthly ad revenue per app $5k. Take rate 2.5%.</w:t>
      </w:r>
    </w:p>
    <w:p>
      <w:pPr>
        <w:pStyle w:val="ListBullet"/>
      </w:pPr>
      <w:r>
        <w:t>Month‑6: ~30 apps × $5k × 2.5% ≈ $3.75k MRR (pre‑scale). Requires seed or internal bridging.</w:t>
      </w:r>
    </w:p>
    <w:p/>
    <w:p>
      <w:r>
        <w:t>Funding Plan</w:t>
      </w:r>
    </w:p>
    <w:p>
      <w:pPr>
        <w:pStyle w:val="ListBullet"/>
      </w:pPr>
      <w:r>
        <w:t>Seed: $300–500k to cover infra, compliance, GTM, and targeted contractors to GA.</w:t>
      </w:r>
    </w:p>
    <w:p>
      <w:pPr>
        <w:pStyle w:val="ListBullet"/>
      </w:pPr>
      <w:r>
        <w:t>Use of funds: 30% infra, 25% compliance/pen‑test/legal, 25% GTM, 20% contractors.</w:t>
      </w:r>
    </w:p>
    <w:p>
      <w:r>
        <w:br w:type="page"/>
      </w:r>
    </w:p>
    <w:p>
      <w:pPr>
        <w:pStyle w:val="Heading1"/>
      </w:pPr>
      <w:r>
        <w:t>Compliance, Legal &amp; Risk</w:t>
      </w:r>
    </w:p>
    <w:p>
      <w:r>
        <w:t>Compliance, Legal &amp; Risk</w:t>
      </w:r>
    </w:p>
    <w:p>
      <w:pPr>
        <w:pStyle w:val="ListBullet"/>
      </w:pPr>
      <w:r>
        <w:t>Privacy: GDPR/CCPA/GPP/TCF 2.2 signals; ATT prompts; COPPA safe‑mode; DPIAs for core data flows.</w:t>
      </w:r>
    </w:p>
    <w:p>
      <w:pPr>
        <w:pStyle w:val="ListBullet"/>
      </w:pPr>
      <w:r>
        <w:t>Security: KMS‑backed config signing, TLS 1.3, PII minimization, 90‑day retention defaults, SBOM, code‑signing.</w:t>
      </w:r>
    </w:p>
    <w:p>
      <w:pPr>
        <w:pStyle w:val="ListBullet"/>
      </w:pPr>
      <w:r>
        <w:t>SOC 2: Type I at GA; Type II within 12 months; external auditor engaged by Day 100.</w:t>
      </w:r>
    </w:p>
    <w:p>
      <w:pPr>
        <w:pStyle w:val="ListBullet"/>
      </w:pPr>
      <w:r>
        <w:t xml:space="preserve">Risk Register &amp; Mitigations: </w:t>
      </w:r>
    </w:p>
    <w:p>
      <w:r>
        <w:t xml:space="preserve">  – Network certification delays → prioritize OpenRTB partners, parallelize paperwork.</w:t>
      </w:r>
    </w:p>
    <w:p>
      <w:r>
        <w:t xml:space="preserve">  – Demand concentration → BYO demand tools; direct‑deal templates; adapter marketplace.</w:t>
      </w:r>
    </w:p>
    <w:p>
      <w:r>
        <w:t xml:space="preserve">  – SDK bloat → CI size gates; modular adapters.</w:t>
      </w:r>
    </w:p>
    <w:p>
      <w:r>
        <w:t xml:space="preserve">  – Cascade failures → kill‑switches; staged rollouts; chaos drills and DR tests.</w:t>
      </w:r>
    </w:p>
    <w:p>
      <w:r>
        <w:t xml:space="preserve">  – Cash flow → revenue‑based financing and payout buffers.</w:t>
      </w:r>
    </w:p>
    <w:p>
      <w:r>
        <w:br w:type="page"/>
      </w:r>
    </w:p>
    <w:p>
      <w:pPr>
        <w:pStyle w:val="Heading1"/>
      </w:pPr>
      <w:r>
        <w:t>KPIs &amp; Dashboards</w:t>
      </w:r>
    </w:p>
    <w:p>
      <w:r>
        <w:t>KPIs &amp; Operating Dashboards</w:t>
      </w:r>
    </w:p>
    <w:p>
      <w:r>
        <w:t>Technical SLOs</w:t>
      </w:r>
    </w:p>
    <w:p>
      <w:pPr>
        <w:pStyle w:val="ListBullet"/>
      </w:pPr>
      <w:r>
        <w:t>Crash‑free ≥ 99.9%; ANR ≤ 0.02%; auction p99 ≤ 100 ms; API availability ≥ 99.9%; payout success ≥ 99.95%.</w:t>
      </w:r>
    </w:p>
    <w:p/>
    <w:p>
      <w:r>
        <w:t>Business KPIs</w:t>
      </w:r>
    </w:p>
    <w:p>
      <w:pPr>
        <w:pStyle w:val="ListBullet"/>
      </w:pPr>
      <w:r>
        <w:t>TTI ≤ 15 min; active apps; gross ad spend; take rate; churn ≤ 5%; publisher NPS ≥ 50.</w:t>
      </w:r>
    </w:p>
    <w:p/>
    <w:p>
      <w:r>
        <w:t>Dashboards</w:t>
      </w:r>
    </w:p>
    <w:p>
      <w:pPr>
        <w:pStyle w:val="ListBullet"/>
      </w:pPr>
      <w:r>
        <w:t>Reliability (SDK health, ANR contribution, latency), Auction (win rate, floors), Monetization (eCPM/fill/revenue), Payout (success/latency/rails health), Incidents (MTTR, RCAs).</w:t>
      </w:r>
    </w:p>
    <w:p>
      <w:r>
        <w:br w:type="page"/>
      </w:r>
    </w:p>
    <w:p>
      <w:pPr>
        <w:pStyle w:val="Heading1"/>
      </w:pPr>
      <w:r>
        <w:t>First 30‑Day Solo Calendar</w:t>
      </w:r>
    </w:p>
    <w:p>
      <w:r>
        <w:t>First 30‑Day Solo Calendar (example)</w:t>
      </w:r>
    </w:p>
    <w:p>
      <w:r>
        <w:t>Week 1: Monorepo + CI gates; Config signing &amp; schema; Android SDK skeleton; status site stub.</w:t>
      </w:r>
    </w:p>
    <w:p>
      <w:r>
        <w:t>Week 2: iOS SDK skeleton; Unity wrapper; staged rollout controller; OpenRTB request models; basic auction loop.</w:t>
      </w:r>
    </w:p>
    <w:p>
      <w:r>
        <w:t>Week 3: Waterfall fallback; Reporting API alpha; ClickHouse/BigQuery DDL; sample apps; load test (10k QPS).</w:t>
      </w:r>
    </w:p>
    <w:p>
      <w:r>
        <w:t>Week 4: OMSDK scaffolds; consent parsing (TCF/GPP); app‑ads.txt enforcement; payment ledger schema; partner outreach start.</w:t>
      </w:r>
    </w:p>
    <w:p>
      <w:r>
        <w:br w:type="page"/>
      </w:r>
    </w:p>
    <w:p>
      <w:pPr>
        <w:pStyle w:val="Heading1"/>
      </w:pPr>
      <w:r>
        <w:t>Appendices</w:t>
      </w:r>
    </w:p>
    <w:p>
      <w:r>
        <w:t>Appendix A — Roles &amp; Outsourcing</w:t>
      </w:r>
    </w:p>
    <w:p>
      <w:pPr>
        <w:pStyle w:val="ListBullet"/>
      </w:pPr>
      <w:r>
        <w:t>iOS QA (device matrix), Security pen‑test, SOC 2 readiness, Certification paperwork.</w:t>
      </w:r>
    </w:p>
    <w:p/>
    <w:p>
      <w:r>
        <w:t>Appendix B — Sales Assets</w:t>
      </w:r>
    </w:p>
    <w:p>
      <w:pPr>
        <w:pStyle w:val="ListBullet"/>
      </w:pPr>
      <w:r>
        <w:t>One‑pager (value prop, SLOs, pricing), Live dashboard links, Unity migration guide, sample contract with SLA credits.</w:t>
      </w:r>
    </w:p>
    <w:p/>
    <w:p>
      <w:r>
        <w:t>Appendix C — Acceptance Checklist</w:t>
      </w:r>
    </w:p>
    <w:p>
      <w:pPr>
        <w:pStyle w:val="ListBullet"/>
      </w:pPr>
      <w:r>
        <w:t>SDK crash‑free ≥ 99.9% &amp; ANR ≤ 0.02% (≥100k sessions), ≥$10k payouts with failover, 3–5 demand partners live, 3+ design partners migrated, status page + RCAs, load/DR tests passed, SOC 2 Type I scheduled.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