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w:t>
      </w:r>
      <w:proofErr w:type="gramStart"/>
      <w:r>
        <w:rPr>
          <w:rFonts w:ascii="Times New Roman" w:hAnsi="Times New Roman" w:cs="Times New Roman"/>
          <w:sz w:val="24"/>
          <w:szCs w:val="24"/>
        </w:rPr>
        <w:t>años de edad</w:t>
      </w:r>
      <w:proofErr w:type="gramEnd"/>
      <w:r>
        <w:rPr>
          <w:rFonts w:ascii="Times New Roman" w:hAnsi="Times New Roman" w:cs="Times New Roman"/>
          <w:sz w:val="24"/>
          <w:szCs w:val="24"/>
        </w:rPr>
        <w:t xml:space="preserve">,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proofErr w:type="spellStart"/>
      <w:r w:rsidRPr="0082271D">
        <w:rPr>
          <w:rFonts w:ascii="Times New Roman" w:hAnsi="Times New Roman" w:cs="Times New Roman"/>
          <w:i/>
          <w:iCs/>
          <w:sz w:val="24"/>
          <w:szCs w:val="24"/>
        </w:rPr>
        <w:t>outliers</w:t>
      </w:r>
      <w:proofErr w:type="spellEnd"/>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Se encuentra que el coeficiente asociado a la variable de género (mujer) se reduce para ambos modelos (3.1) y (3.2), con lo cual, podríamos afirmar que la estimación por MCO podría estar sesgada por valores atípicos (</w:t>
      </w:r>
      <w:proofErr w:type="spellStart"/>
      <w:r>
        <w:rPr>
          <w:rFonts w:ascii="Times New Roman" w:hAnsi="Times New Roman" w:cs="Times New Roman"/>
          <w:i/>
          <w:sz w:val="24"/>
          <w:szCs w:val="24"/>
        </w:rPr>
        <w:t>outliers</w:t>
      </w:r>
      <w:proofErr w:type="spellEnd"/>
      <w:r>
        <w:rPr>
          <w:rFonts w:ascii="Times New Roman" w:hAnsi="Times New Roman" w:cs="Times New Roman"/>
          <w:i/>
          <w:sz w:val="24"/>
          <w:szCs w:val="24"/>
        </w:rPr>
        <w:t>)</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w:t>
      </w:r>
      <w:proofErr w:type="spellStart"/>
      <w:r w:rsidRPr="006B0B23">
        <w:rPr>
          <w:rFonts w:ascii="Times New Roman" w:hAnsi="Times New Roman" w:cs="Times New Roman"/>
          <w:sz w:val="24"/>
          <w:szCs w:val="24"/>
        </w:rPr>
        <w:t>cuentaPropia</w:t>
      </w:r>
      <w:proofErr w:type="spellEnd"/>
      <w:r w:rsidRPr="006B0B23">
        <w:rPr>
          <w:rFonts w:ascii="Times New Roman" w:hAnsi="Times New Roman" w:cs="Times New Roman"/>
          <w:sz w:val="24"/>
          <w:szCs w:val="24"/>
        </w:rPr>
        <w:t xml:space="preserve">,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lastRenderedPageBreak/>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Ahora bien, dado que esperamos que al controlar por las características del empleado y de su trabajo la brecha se reduzca, y los hallazgos difieren de esto, decidimos estimar nuevamente 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ii</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proofErr w:type="spellStart"/>
      <w:r w:rsidRPr="008C6012">
        <w:rPr>
          <w:rFonts w:ascii="Times New Roman" w:hAnsi="Times New Roman" w:cs="Times New Roman"/>
          <w:b/>
          <w:bCs/>
          <w:sz w:val="24"/>
          <w:szCs w:val="24"/>
        </w:rPr>
        <w:t>iii</w:t>
      </w:r>
      <w:proofErr w:type="spellEnd"/>
      <w:r w:rsidRPr="008C6012">
        <w:rPr>
          <w:rFonts w:ascii="Times New Roman" w:hAnsi="Times New Roman" w:cs="Times New Roman"/>
          <w:b/>
          <w:bCs/>
          <w:sz w:val="24"/>
          <w:szCs w:val="24"/>
        </w:rPr>
        <w:t>.</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w:t>
      </w:r>
      <w:r>
        <w:rPr>
          <w:rFonts w:ascii="Times New Roman" w:hAnsi="Times New Roman" w:cs="Times New Roman"/>
          <w:sz w:val="24"/>
          <w:szCs w:val="24"/>
        </w:rPr>
        <w:lastRenderedPageBreak/>
        <w:t xml:space="preserve">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 xml:space="preserve">tas variables y </w:t>
      </w:r>
      <w:proofErr w:type="spellStart"/>
      <w:r>
        <w:rPr>
          <w:rFonts w:ascii="Times New Roman" w:hAnsi="Times New Roman" w:cs="Times New Roman"/>
          <w:sz w:val="24"/>
          <w:szCs w:val="24"/>
        </w:rPr>
        <w:t>cuentaPropia</w:t>
      </w:r>
      <w:proofErr w:type="spellEnd"/>
      <w:r w:rsidRPr="007F6257">
        <w:rPr>
          <w:rFonts w:ascii="Times New Roman" w:hAnsi="Times New Roman" w:cs="Times New Roman"/>
          <w:sz w:val="24"/>
          <w:szCs w:val="24"/>
        </w:rPr>
        <w:t xml:space="preserve"> (</w:t>
      </w:r>
      <w:proofErr w:type="spellStart"/>
      <w:r w:rsidRPr="007F6257">
        <w:rPr>
          <w:rFonts w:ascii="Times New Roman" w:hAnsi="Times New Roman" w:cs="Times New Roman"/>
          <w:sz w:val="24"/>
          <w:szCs w:val="24"/>
        </w:rPr>
        <w:t>Guataquí</w:t>
      </w:r>
      <w:proofErr w:type="spellEnd"/>
      <w:r w:rsidRPr="007F6257">
        <w:rPr>
          <w:rFonts w:ascii="Times New Roman" w:hAnsi="Times New Roman" w:cs="Times New Roman"/>
          <w:sz w:val="24"/>
          <w:szCs w:val="24"/>
        </w:rPr>
        <w:t xml:space="preserve">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iv</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4B43D170" w14:textId="77777777" w:rsidR="00AC72B3" w:rsidRDefault="00AC72B3" w:rsidP="00AC72B3">
      <w:pPr>
        <w:jc w:val="both"/>
        <w:rPr>
          <w:rFonts w:ascii="Times New Roman" w:hAnsi="Times New Roman" w:cs="Times New Roman"/>
          <w:sz w:val="24"/>
          <w:szCs w:val="24"/>
        </w:rPr>
      </w:pPr>
      <w:r w:rsidRPr="00AC72B3">
        <w:rPr>
          <w:rFonts w:ascii="Times New Roman" w:hAnsi="Times New Roman" w:cs="Times New Roman"/>
          <w:sz w:val="24"/>
          <w:szCs w:val="24"/>
        </w:rPr>
        <w:t>La tabla 7 presenta los</w:t>
      </w:r>
      <w:r>
        <w:rPr>
          <w:rFonts w:ascii="Times New Roman" w:hAnsi="Times New Roman" w:cs="Times New Roman"/>
          <w:sz w:val="24"/>
          <w:szCs w:val="24"/>
        </w:rPr>
        <w:t xml:space="preserve"> resultados de la estimación del modelo con el mejor ajuste, el modelo (8). En primer lugar, vemos que el R</w:t>
      </w:r>
      <w:r w:rsidRPr="00C9776B">
        <w:rPr>
          <w:rFonts w:ascii="Times New Roman" w:hAnsi="Times New Roman" w:cs="Times New Roman"/>
          <w:sz w:val="24"/>
          <w:szCs w:val="24"/>
          <w:vertAlign w:val="superscript"/>
        </w:rPr>
        <w:t>2</w:t>
      </w:r>
      <w:r>
        <w:rPr>
          <w:rFonts w:ascii="Times New Roman" w:hAnsi="Times New Roman" w:cs="Times New Roman"/>
          <w:sz w:val="24"/>
          <w:szCs w:val="24"/>
        </w:rPr>
        <w:t xml:space="preserve"> es de 0.189, que indica que el 18.9% de la variación en el ingreso se explica por variaciones de las covariables del modelo. Por otro lado, vemos que el p-valor asociado a la prueba de significancia conjunta rechaza la hipótesis nula de no significancia, por lo cual, podemos afirmar con un nivel de confianza del 99% que las variables son significativas en conjunto. </w:t>
      </w:r>
    </w:p>
    <w:p w14:paraId="03C69B72"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A nivel individual, todas las variables incluidas en el modelo son significativas para explicar el ingreso al 5%, además de tener el signo esperado. Los resultados indican que los años de educación, el ser trabajador independiente y la edad (hasta el punto de inflexión) tienen un impacto positivo en el ingreso; mientras que ser mujer, trabajar en una microempresa y la edad (después del pico) afectan negativamente el ingreso.</w:t>
      </w:r>
    </w:p>
    <w:p w14:paraId="75460B26"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Por último, resaltamos el hecho de que un año de educación adicional tiene un impacto en el ingreso superior para las mujeres que, para los hombres, y menor para personas independientes que para los asalariados.</w:t>
      </w:r>
    </w:p>
    <w:p w14:paraId="1B26AD7D" w14:textId="77777777" w:rsidR="00AC72B3" w:rsidRDefault="00AC72B3" w:rsidP="00AC72B3">
      <w:pPr>
        <w:jc w:val="center"/>
        <w:rPr>
          <w:rFonts w:ascii="Times New Roman" w:hAnsi="Times New Roman" w:cs="Times New Roman"/>
          <w:b/>
          <w:sz w:val="24"/>
          <w:szCs w:val="24"/>
        </w:rPr>
      </w:pPr>
      <w:r>
        <w:rPr>
          <w:rFonts w:ascii="Times New Roman" w:hAnsi="Times New Roman" w:cs="Times New Roman"/>
          <w:b/>
          <w:sz w:val="24"/>
          <w:szCs w:val="24"/>
        </w:rPr>
        <w:t>Tabla 7</w:t>
      </w:r>
      <w:r w:rsidRPr="00C47A65">
        <w:rPr>
          <w:rFonts w:ascii="Times New Roman" w:hAnsi="Times New Roman" w:cs="Times New Roman"/>
          <w:b/>
          <w:sz w:val="24"/>
          <w:szCs w:val="24"/>
        </w:rPr>
        <w:t xml:space="preserve">. </w:t>
      </w:r>
      <w:r>
        <w:rPr>
          <w:rFonts w:ascii="Times New Roman" w:hAnsi="Times New Roman" w:cs="Times New Roman"/>
          <w:b/>
          <w:sz w:val="24"/>
          <w:szCs w:val="24"/>
        </w:rPr>
        <w:t>Modelo (8)</w:t>
      </w:r>
    </w:p>
    <w:tbl>
      <w:tblPr>
        <w:tblStyle w:val="TableGrid"/>
        <w:tblW w:w="4277" w:type="dxa"/>
        <w:jc w:val="center"/>
        <w:tblLook w:val="04A0" w:firstRow="1" w:lastRow="0" w:firstColumn="1" w:lastColumn="0" w:noHBand="0" w:noVBand="1"/>
      </w:tblPr>
      <w:tblGrid>
        <w:gridCol w:w="2664"/>
        <w:gridCol w:w="1613"/>
      </w:tblGrid>
      <w:tr w:rsidR="00AC72B3" w14:paraId="79DB871B" w14:textId="77777777" w:rsidTr="00BD561A">
        <w:trPr>
          <w:jc w:val="center"/>
        </w:trPr>
        <w:tc>
          <w:tcPr>
            <w:tcW w:w="2664" w:type="dxa"/>
            <w:tcBorders>
              <w:left w:val="single" w:sz="4" w:space="0" w:color="FFFFFF"/>
              <w:right w:val="single" w:sz="4" w:space="0" w:color="FFFFFF"/>
            </w:tcBorders>
          </w:tcPr>
          <w:p w14:paraId="35DA517A"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13749096" w14:textId="77777777" w:rsidR="00AC72B3" w:rsidRDefault="00AC72B3"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AC72B3" w14:paraId="37A6AA42" w14:textId="77777777" w:rsidTr="00BD561A">
        <w:trPr>
          <w:jc w:val="center"/>
        </w:trPr>
        <w:tc>
          <w:tcPr>
            <w:tcW w:w="2664" w:type="dxa"/>
            <w:tcBorders>
              <w:left w:val="single" w:sz="4" w:space="0" w:color="FFFFFF"/>
              <w:right w:val="single" w:sz="4" w:space="0" w:color="FFFFFF"/>
            </w:tcBorders>
          </w:tcPr>
          <w:p w14:paraId="75DB14FC"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70C10340"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(8)</w:t>
            </w:r>
          </w:p>
        </w:tc>
      </w:tr>
      <w:tr w:rsidR="00AC72B3" w14:paraId="18369AF1" w14:textId="77777777" w:rsidTr="00BD561A">
        <w:trPr>
          <w:jc w:val="center"/>
        </w:trPr>
        <w:tc>
          <w:tcPr>
            <w:tcW w:w="2664" w:type="dxa"/>
            <w:tcBorders>
              <w:left w:val="single" w:sz="4" w:space="0" w:color="FFFFFF"/>
              <w:bottom w:val="single" w:sz="4" w:space="0" w:color="FFFFFF"/>
              <w:right w:val="single" w:sz="4" w:space="0" w:color="FFFFFF"/>
            </w:tcBorders>
          </w:tcPr>
          <w:p w14:paraId="0FDE712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613" w:type="dxa"/>
            <w:tcBorders>
              <w:left w:val="single" w:sz="4" w:space="0" w:color="FFFFFF"/>
              <w:bottom w:val="single" w:sz="4" w:space="0" w:color="FFFFFF"/>
              <w:right w:val="single" w:sz="4" w:space="0" w:color="FFFFFF"/>
            </w:tcBorders>
          </w:tcPr>
          <w:p w14:paraId="63A6DFF2"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11.48***</w:t>
            </w:r>
          </w:p>
          <w:p w14:paraId="13EA2268" w14:textId="77777777" w:rsidR="00AC72B3" w:rsidRPr="00847CE3"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(0.24)</w:t>
            </w:r>
          </w:p>
        </w:tc>
      </w:tr>
      <w:tr w:rsidR="00AC72B3" w14:paraId="3A21DAA0"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01E2DB02"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
        </w:tc>
        <w:tc>
          <w:tcPr>
            <w:tcW w:w="1613" w:type="dxa"/>
            <w:tcBorders>
              <w:top w:val="single" w:sz="4" w:space="0" w:color="FFFFFF"/>
              <w:left w:val="single" w:sz="4" w:space="0" w:color="FFFFFF"/>
              <w:bottom w:val="single" w:sz="4" w:space="0" w:color="FFFFFF"/>
              <w:right w:val="single" w:sz="4" w:space="0" w:color="FFFFFF"/>
            </w:tcBorders>
          </w:tcPr>
          <w:p w14:paraId="76F88BD4"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0.07***</w:t>
            </w:r>
          </w:p>
          <w:p w14:paraId="38193563"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(0.01)</w:t>
            </w:r>
          </w:p>
        </w:tc>
      </w:tr>
      <w:tr w:rsidR="00AC72B3" w14:paraId="64B3C3A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3FCD06CA"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w:t>
            </w:r>
          </w:p>
        </w:tc>
        <w:tc>
          <w:tcPr>
            <w:tcW w:w="1613" w:type="dxa"/>
            <w:tcBorders>
              <w:top w:val="single" w:sz="4" w:space="0" w:color="FFFFFF"/>
              <w:left w:val="single" w:sz="4" w:space="0" w:color="FFFFFF"/>
              <w:bottom w:val="single" w:sz="4" w:space="0" w:color="FFFFFF"/>
              <w:right w:val="single" w:sz="4" w:space="0" w:color="FFFFFF"/>
            </w:tcBorders>
          </w:tcPr>
          <w:p w14:paraId="378A44FB"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p w14:paraId="4E85239B"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tc>
      </w:tr>
      <w:tr w:rsidR="00AC72B3" w14:paraId="1EC551D3"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5F65CF68"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613" w:type="dxa"/>
            <w:tcBorders>
              <w:top w:val="single" w:sz="4" w:space="0" w:color="FFFFFF"/>
              <w:left w:val="single" w:sz="4" w:space="0" w:color="FFFFFF"/>
              <w:bottom w:val="single" w:sz="4" w:space="0" w:color="FFFFFF"/>
              <w:right w:val="single" w:sz="4" w:space="0" w:color="FFFFFF"/>
            </w:tcBorders>
          </w:tcPr>
          <w:p w14:paraId="5FD2BEA4"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32E88F11"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2C71D38B"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2E0CC8B"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613" w:type="dxa"/>
            <w:tcBorders>
              <w:top w:val="single" w:sz="4" w:space="0" w:color="FFFFFF"/>
              <w:left w:val="single" w:sz="4" w:space="0" w:color="FFFFFF"/>
              <w:bottom w:val="single" w:sz="4" w:space="0" w:color="FFFFFF"/>
              <w:right w:val="single" w:sz="4" w:space="0" w:color="FFFFFF"/>
            </w:tcBorders>
          </w:tcPr>
          <w:p w14:paraId="5513AF8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-0.95***</w:t>
            </w:r>
          </w:p>
          <w:p w14:paraId="6F410536"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(0.14)</w:t>
            </w:r>
          </w:p>
        </w:tc>
      </w:tr>
      <w:tr w:rsidR="00AC72B3" w14:paraId="1A1D438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36C4"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CBACAA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1.83***</w:t>
            </w:r>
          </w:p>
          <w:p w14:paraId="34FE4802"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(0.39)</w:t>
            </w:r>
          </w:p>
        </w:tc>
      </w:tr>
      <w:tr w:rsidR="00AC72B3" w14:paraId="2127DE9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FB5555B"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613" w:type="dxa"/>
            <w:tcBorders>
              <w:top w:val="single" w:sz="4" w:space="0" w:color="FFFFFF"/>
              <w:left w:val="single" w:sz="4" w:space="0" w:color="FFFFFF"/>
              <w:bottom w:val="single" w:sz="4" w:space="0" w:color="FFFFFF"/>
              <w:right w:val="single" w:sz="4" w:space="0" w:color="FFFFFF"/>
            </w:tcBorders>
          </w:tcPr>
          <w:p w14:paraId="1A987BCC"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1.11***</w:t>
            </w:r>
          </w:p>
          <w:p w14:paraId="66D1FEC6"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07A1172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19295C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613" w:type="dxa"/>
            <w:tcBorders>
              <w:top w:val="single" w:sz="4" w:space="0" w:color="FFFFFF"/>
              <w:left w:val="single" w:sz="4" w:space="0" w:color="FFFFFF"/>
              <w:bottom w:val="single" w:sz="4" w:space="0" w:color="FFFFFF"/>
              <w:right w:val="single" w:sz="4" w:space="0" w:color="FFFFFF"/>
            </w:tcBorders>
          </w:tcPr>
          <w:p w14:paraId="3F88CE1B" w14:textId="77777777" w:rsidR="00AC72B3" w:rsidRPr="00177B2E" w:rsidRDefault="00AC72B3" w:rsidP="00BD561A">
            <w:pPr>
              <w:jc w:val="center"/>
              <w:rPr>
                <w:rFonts w:ascii="Times New Roman" w:hAnsi="Times New Roman" w:cs="Times New Roman"/>
                <w:sz w:val="24"/>
                <w:szCs w:val="24"/>
              </w:rPr>
            </w:pPr>
            <w:r w:rsidRPr="002524EF">
              <w:rPr>
                <w:rFonts w:ascii="Times New Roman" w:hAnsi="Times New Roman" w:cs="Times New Roman"/>
                <w:sz w:val="24"/>
                <w:szCs w:val="24"/>
              </w:rPr>
              <w:t>-</w:t>
            </w:r>
            <w:r w:rsidRPr="00177B2E">
              <w:rPr>
                <w:rFonts w:ascii="Times New Roman" w:hAnsi="Times New Roman" w:cs="Times New Roman"/>
                <w:sz w:val="24"/>
                <w:szCs w:val="24"/>
              </w:rPr>
              <w:t>0.00***</w:t>
            </w:r>
          </w:p>
          <w:p w14:paraId="7E57C157"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782B12FA"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01E00D"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4FD24F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-0.57***</w:t>
            </w:r>
          </w:p>
          <w:p w14:paraId="3E810F0C"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62A7FC99"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783F5EF"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 mujer (=1)</w:t>
            </w:r>
          </w:p>
        </w:tc>
        <w:tc>
          <w:tcPr>
            <w:tcW w:w="1613" w:type="dxa"/>
            <w:tcBorders>
              <w:top w:val="single" w:sz="4" w:space="0" w:color="FFFFFF"/>
              <w:left w:val="single" w:sz="4" w:space="0" w:color="FFFFFF"/>
              <w:bottom w:val="single" w:sz="4" w:space="0" w:color="FFFFFF"/>
              <w:right w:val="single" w:sz="4" w:space="0" w:color="FFFFFF"/>
            </w:tcBorders>
          </w:tcPr>
          <w:p w14:paraId="0C7EA81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0.04***</w:t>
            </w:r>
          </w:p>
          <w:p w14:paraId="720270A2"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666634A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1925C43"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 xml:space="preserve">edad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6EA58A5"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-0.03*</w:t>
            </w:r>
          </w:p>
          <w:p w14:paraId="275797C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(0.02)</w:t>
            </w:r>
          </w:p>
        </w:tc>
      </w:tr>
      <w:tr w:rsidR="00AC72B3" w14:paraId="1DE90E3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9FE23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edad2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25A156F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p w14:paraId="3991800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27D42179" w14:textId="77777777" w:rsidTr="00BD561A">
        <w:trPr>
          <w:jc w:val="center"/>
        </w:trPr>
        <w:tc>
          <w:tcPr>
            <w:tcW w:w="2664" w:type="dxa"/>
            <w:tcBorders>
              <w:top w:val="single" w:sz="4" w:space="0" w:color="FFFFFF"/>
              <w:left w:val="single" w:sz="4" w:space="0" w:color="FFFFFF"/>
              <w:right w:val="single" w:sz="4" w:space="0" w:color="FFFFFF"/>
            </w:tcBorders>
          </w:tcPr>
          <w:p w14:paraId="10D2477E" w14:textId="77777777" w:rsidR="00AC72B3" w:rsidRPr="00847CE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right w:val="single" w:sz="4" w:space="0" w:color="FFFFFF"/>
            </w:tcBorders>
          </w:tcPr>
          <w:p w14:paraId="6E0D708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14A20CDC"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1FE81728" w14:textId="77777777" w:rsidTr="00BD561A">
        <w:trPr>
          <w:jc w:val="center"/>
        </w:trPr>
        <w:tc>
          <w:tcPr>
            <w:tcW w:w="2664" w:type="dxa"/>
            <w:tcBorders>
              <w:left w:val="single" w:sz="4" w:space="0" w:color="FFFFFF"/>
              <w:bottom w:val="single" w:sz="4" w:space="0" w:color="FFFFFF"/>
              <w:right w:val="single" w:sz="4" w:space="0" w:color="FFFFFF"/>
            </w:tcBorders>
          </w:tcPr>
          <w:p w14:paraId="1014F8B9"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613" w:type="dxa"/>
            <w:tcBorders>
              <w:left w:val="single" w:sz="4" w:space="0" w:color="FFFFFF"/>
              <w:bottom w:val="single" w:sz="4" w:space="0" w:color="FFFFFF"/>
              <w:right w:val="single" w:sz="4" w:space="0" w:color="FFFFFF"/>
            </w:tcBorders>
          </w:tcPr>
          <w:p w14:paraId="0F969BEA"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0.189</w:t>
            </w:r>
          </w:p>
        </w:tc>
      </w:tr>
      <w:tr w:rsidR="00AC72B3" w14:paraId="45BDD6F5"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276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613" w:type="dxa"/>
            <w:tcBorders>
              <w:top w:val="single" w:sz="4" w:space="0" w:color="FFFFFF"/>
              <w:left w:val="single" w:sz="4" w:space="0" w:color="FFFFFF"/>
              <w:bottom w:val="single" w:sz="4" w:space="0" w:color="FFFFFF"/>
              <w:right w:val="single" w:sz="4" w:space="0" w:color="FFFFFF"/>
            </w:tcBorders>
          </w:tcPr>
          <w:p w14:paraId="4A6CA9E0"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0.188</w:t>
            </w:r>
          </w:p>
        </w:tc>
      </w:tr>
      <w:tr w:rsidR="00AC72B3" w14:paraId="57B676E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EEC5404"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613" w:type="dxa"/>
            <w:tcBorders>
              <w:top w:val="single" w:sz="4" w:space="0" w:color="FFFFFF"/>
              <w:left w:val="single" w:sz="4" w:space="0" w:color="FFFFFF"/>
              <w:bottom w:val="single" w:sz="4" w:space="0" w:color="FFFFFF"/>
              <w:right w:val="single" w:sz="4" w:space="0" w:color="FFFFFF"/>
            </w:tcBorders>
          </w:tcPr>
          <w:p w14:paraId="6B5FDD37"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222.627</w:t>
            </w:r>
            <w:r w:rsidRPr="00847CE3">
              <w:rPr>
                <w:rFonts w:ascii="Times New Roman" w:hAnsi="Times New Roman" w:cs="Times New Roman"/>
                <w:sz w:val="24"/>
                <w:szCs w:val="24"/>
              </w:rPr>
              <w:t>***</w:t>
            </w:r>
          </w:p>
        </w:tc>
      </w:tr>
      <w:tr w:rsidR="00AC72B3" w14:paraId="56F46F4C" w14:textId="77777777" w:rsidTr="00BD561A">
        <w:trPr>
          <w:jc w:val="center"/>
        </w:trPr>
        <w:tc>
          <w:tcPr>
            <w:tcW w:w="2664" w:type="dxa"/>
            <w:tcBorders>
              <w:top w:val="single" w:sz="4" w:space="0" w:color="FFFFFF"/>
              <w:left w:val="single" w:sz="4" w:space="0" w:color="FFFFFF"/>
              <w:right w:val="single" w:sz="4" w:space="0" w:color="FFFFFF"/>
            </w:tcBorders>
          </w:tcPr>
          <w:p w14:paraId="0DFD23F7"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613" w:type="dxa"/>
            <w:tcBorders>
              <w:top w:val="single" w:sz="4" w:space="0" w:color="FFFFFF"/>
              <w:left w:val="single" w:sz="4" w:space="0" w:color="FFFFFF"/>
              <w:right w:val="single" w:sz="4" w:space="0" w:color="FFFFFF"/>
            </w:tcBorders>
          </w:tcPr>
          <w:p w14:paraId="4359613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11,478</w:t>
            </w:r>
          </w:p>
        </w:tc>
      </w:tr>
    </w:tbl>
    <w:p w14:paraId="7A5EA666" w14:textId="77777777" w:rsidR="00AC72B3" w:rsidRDefault="00AC72B3" w:rsidP="00AC72B3">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1C22978F" w14:textId="77777777" w:rsidR="00AC72B3" w:rsidRDefault="00AC72B3" w:rsidP="00AC72B3">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0FBE69C9" w14:textId="77777777" w:rsidR="000B05C3" w:rsidRDefault="000B05C3" w:rsidP="000B05C3">
      <w:pPr>
        <w:spacing w:before="240"/>
        <w:jc w:val="both"/>
        <w:rPr>
          <w:rFonts w:ascii="Times New Roman" w:hAnsi="Times New Roman" w:cs="Times New Roman"/>
          <w:sz w:val="24"/>
          <w:szCs w:val="24"/>
        </w:rPr>
      </w:pPr>
      <w:r w:rsidRPr="003F587E">
        <w:rPr>
          <w:rFonts w:ascii="Times New Roman" w:hAnsi="Times New Roman" w:cs="Times New Roman"/>
          <w:b/>
          <w:bCs/>
          <w:sz w:val="24"/>
          <w:szCs w:val="24"/>
        </w:rPr>
        <w:t>v.</w:t>
      </w:r>
      <w:r>
        <w:rPr>
          <w:rFonts w:ascii="Times New Roman" w:hAnsi="Times New Roman" w:cs="Times New Roman"/>
          <w:sz w:val="24"/>
          <w:szCs w:val="24"/>
        </w:rPr>
        <w:t xml:space="preserve"> </w:t>
      </w:r>
      <w:r w:rsidRPr="006C535D">
        <w:rPr>
          <w:rFonts w:ascii="Times New Roman" w:hAnsi="Times New Roman" w:cs="Times New Roman"/>
          <w:sz w:val="24"/>
          <w:szCs w:val="24"/>
        </w:rPr>
        <w:t xml:space="preserve">La estadística de </w:t>
      </w:r>
      <w:proofErr w:type="spellStart"/>
      <w:r w:rsidRPr="0082271D">
        <w:rPr>
          <w:rFonts w:ascii="Times New Roman" w:hAnsi="Times New Roman" w:cs="Times New Roman"/>
          <w:i/>
          <w:iCs/>
          <w:sz w:val="24"/>
          <w:szCs w:val="24"/>
        </w:rPr>
        <w:t>leverage</w:t>
      </w:r>
      <w:proofErr w:type="spellEnd"/>
      <w:r w:rsidRPr="006C535D">
        <w:rPr>
          <w:rFonts w:ascii="Times New Roman" w:hAnsi="Times New Roman" w:cs="Times New Roman"/>
          <w:sz w:val="24"/>
          <w:szCs w:val="24"/>
        </w:rPr>
        <w:t xml:space="preserve"> (α) nos indica esos </w:t>
      </w:r>
      <w:proofErr w:type="spellStart"/>
      <w:r w:rsidRPr="0082271D">
        <w:rPr>
          <w:rFonts w:ascii="Times New Roman" w:hAnsi="Times New Roman" w:cs="Times New Roman"/>
          <w:i/>
          <w:iCs/>
          <w:sz w:val="24"/>
          <w:szCs w:val="24"/>
        </w:rPr>
        <w:t>outliers</w:t>
      </w:r>
      <w:proofErr w:type="spellEnd"/>
      <w:r w:rsidRPr="006C535D">
        <w:rPr>
          <w:rFonts w:ascii="Times New Roman" w:hAnsi="Times New Roman" w:cs="Times New Roman"/>
          <w:sz w:val="24"/>
          <w:szCs w:val="24"/>
        </w:rPr>
        <w:t xml:space="preserve"> u observaciones que tienen una gran</w:t>
      </w:r>
      <w:r>
        <w:rPr>
          <w:rFonts w:ascii="Times New Roman" w:hAnsi="Times New Roman" w:cs="Times New Roman"/>
          <w:sz w:val="24"/>
          <w:szCs w:val="24"/>
        </w:rPr>
        <w:t xml:space="preserve"> influencia en la estimación. Luego de calcular esta medida para observación en la muestra de prueba se encuentra a a</w:t>
      </w:r>
      <w:r w:rsidRPr="006C535D">
        <w:rPr>
          <w:rFonts w:ascii="Times New Roman" w:hAnsi="Times New Roman" w:cs="Times New Roman"/>
          <w:sz w:val="24"/>
          <w:szCs w:val="24"/>
        </w:rPr>
        <w:t>quellos que tienen ingresos muy altos</w:t>
      </w:r>
      <w:r>
        <w:rPr>
          <w:rFonts w:ascii="Times New Roman" w:hAnsi="Times New Roman" w:cs="Times New Roman"/>
          <w:sz w:val="24"/>
          <w:szCs w:val="24"/>
        </w:rPr>
        <w:t xml:space="preserve"> (valores atípicos)</w:t>
      </w:r>
      <w:r w:rsidRPr="006C535D">
        <w:rPr>
          <w:rFonts w:ascii="Times New Roman" w:hAnsi="Times New Roman" w:cs="Times New Roman"/>
          <w:sz w:val="24"/>
          <w:szCs w:val="24"/>
        </w:rPr>
        <w:t xml:space="preserve"> y tienen un (α) elevado (Gráfica </w:t>
      </w:r>
      <w:r>
        <w:rPr>
          <w:rFonts w:ascii="Times New Roman" w:hAnsi="Times New Roman" w:cs="Times New Roman"/>
          <w:sz w:val="24"/>
          <w:szCs w:val="24"/>
        </w:rPr>
        <w:t>8</w:t>
      </w:r>
      <w:r w:rsidRPr="006C535D">
        <w:rPr>
          <w:rFonts w:ascii="Times New Roman" w:hAnsi="Times New Roman" w:cs="Times New Roman"/>
          <w:sz w:val="24"/>
          <w:szCs w:val="24"/>
        </w:rPr>
        <w:t xml:space="preserve">), </w:t>
      </w:r>
      <w:r>
        <w:rPr>
          <w:rFonts w:ascii="Times New Roman" w:hAnsi="Times New Roman" w:cs="Times New Roman"/>
          <w:sz w:val="24"/>
          <w:szCs w:val="24"/>
        </w:rPr>
        <w:t xml:space="preserve">estas observaciones </w:t>
      </w:r>
      <w:r w:rsidRPr="006C535D">
        <w:rPr>
          <w:rFonts w:ascii="Times New Roman" w:hAnsi="Times New Roman" w:cs="Times New Roman"/>
          <w:sz w:val="24"/>
          <w:szCs w:val="24"/>
        </w:rPr>
        <w:t xml:space="preserve">demuestran que están muy por encima del ingreso promedio </w:t>
      </w:r>
      <w:r>
        <w:rPr>
          <w:rFonts w:ascii="Times New Roman" w:hAnsi="Times New Roman" w:cs="Times New Roman"/>
          <w:sz w:val="24"/>
          <w:szCs w:val="24"/>
        </w:rPr>
        <w:t>y podrían</w:t>
      </w:r>
      <w:r w:rsidRPr="006C535D">
        <w:rPr>
          <w:rFonts w:ascii="Times New Roman" w:hAnsi="Times New Roman" w:cs="Times New Roman"/>
          <w:sz w:val="24"/>
          <w:szCs w:val="24"/>
        </w:rPr>
        <w:t xml:space="preserve"> estar </w:t>
      </w:r>
      <w:r>
        <w:rPr>
          <w:rFonts w:ascii="Times New Roman" w:hAnsi="Times New Roman" w:cs="Times New Roman"/>
          <w:sz w:val="24"/>
          <w:szCs w:val="24"/>
        </w:rPr>
        <w:t>sesgando</w:t>
      </w:r>
      <w:r w:rsidRPr="006C535D">
        <w:rPr>
          <w:rFonts w:ascii="Times New Roman" w:hAnsi="Times New Roman" w:cs="Times New Roman"/>
          <w:sz w:val="24"/>
          <w:szCs w:val="24"/>
        </w:rPr>
        <w:t xml:space="preserve"> el modelo. </w:t>
      </w:r>
      <w:r w:rsidRPr="004B606E">
        <w:rPr>
          <w:rFonts w:ascii="Times New Roman" w:hAnsi="Times New Roman" w:cs="Times New Roman"/>
          <w:sz w:val="24"/>
          <w:szCs w:val="24"/>
        </w:rPr>
        <w:t xml:space="preserve">No obstante, cuando se revisa a profundidad esas observaciones con ingresos muy altos, su </w:t>
      </w:r>
      <w:proofErr w:type="spellStart"/>
      <w:r w:rsidRPr="004B606E">
        <w:rPr>
          <w:rFonts w:ascii="Times New Roman" w:hAnsi="Times New Roman" w:cs="Times New Roman"/>
          <w:sz w:val="24"/>
          <w:szCs w:val="24"/>
        </w:rPr>
        <w:t>Hj</w:t>
      </w:r>
      <w:proofErr w:type="spellEnd"/>
      <w:r w:rsidRPr="004B606E">
        <w:rPr>
          <w:rFonts w:ascii="Times New Roman" w:hAnsi="Times New Roman" w:cs="Times New Roman"/>
          <w:sz w:val="24"/>
          <w:szCs w:val="24"/>
        </w:rPr>
        <w:t xml:space="preserve"> no está teniendo influencia en el (α), sino su </w:t>
      </w:r>
      <w:proofErr w:type="spellStart"/>
      <w:r w:rsidRPr="004B606E">
        <w:rPr>
          <w:rFonts w:ascii="Times New Roman" w:hAnsi="Times New Roman" w:cs="Times New Roman"/>
          <w:sz w:val="24"/>
          <w:szCs w:val="24"/>
        </w:rPr>
        <w:t>Uj</w:t>
      </w:r>
      <w:proofErr w:type="spellEnd"/>
      <w:r w:rsidRPr="004B606E">
        <w:rPr>
          <w:rFonts w:ascii="Times New Roman" w:hAnsi="Times New Roman" w:cs="Times New Roman"/>
          <w:sz w:val="24"/>
          <w:szCs w:val="24"/>
        </w:rPr>
        <w:t xml:space="preserve"> (peso de los </w:t>
      </w:r>
      <w:proofErr w:type="gramStart"/>
      <w:r w:rsidRPr="004B606E">
        <w:rPr>
          <w:rFonts w:ascii="Times New Roman" w:hAnsi="Times New Roman" w:cs="Times New Roman"/>
          <w:sz w:val="24"/>
          <w:szCs w:val="24"/>
        </w:rPr>
        <w:t>betas estimados</w:t>
      </w:r>
      <w:proofErr w:type="gramEnd"/>
      <w:r w:rsidRPr="004B606E">
        <w:rPr>
          <w:rFonts w:ascii="Times New Roman" w:hAnsi="Times New Roman" w:cs="Times New Roman"/>
          <w:sz w:val="24"/>
          <w:szCs w:val="24"/>
        </w:rPr>
        <w:t xml:space="preserve">). Además, el ingreso estimado está muy por debajo del ingreso reportado por lo que pueda que el modelo no este ajustado bien. Sin embargo, la DIAN puede utilizar estos puntos </w:t>
      </w:r>
      <w:proofErr w:type="spellStart"/>
      <w:r w:rsidRPr="004B606E">
        <w:rPr>
          <w:rFonts w:ascii="Times New Roman" w:hAnsi="Times New Roman" w:cs="Times New Roman"/>
          <w:sz w:val="24"/>
          <w:szCs w:val="24"/>
        </w:rPr>
        <w:t>leverage</w:t>
      </w:r>
      <w:proofErr w:type="spellEnd"/>
      <w:r w:rsidRPr="004B606E">
        <w:rPr>
          <w:rFonts w:ascii="Times New Roman" w:hAnsi="Times New Roman" w:cs="Times New Roman"/>
          <w:sz w:val="24"/>
          <w:szCs w:val="24"/>
        </w:rPr>
        <w:t xml:space="preserve"> para inspeccionar si los individuos están declarando el monto de renta correcto o están evadiendo y creando paraísos fiscales.</w:t>
      </w:r>
      <w:r>
        <w:rPr>
          <w:rFonts w:ascii="Times New Roman" w:hAnsi="Times New Roman" w:cs="Times New Roman"/>
          <w:sz w:val="24"/>
          <w:szCs w:val="24"/>
        </w:rPr>
        <w:t xml:space="preserve"> </w:t>
      </w:r>
    </w:p>
    <w:p w14:paraId="16ECF8EC" w14:textId="77777777" w:rsidR="000B05C3" w:rsidRPr="00E23FC1" w:rsidRDefault="000B05C3" w:rsidP="000B05C3">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0528" behindDoc="0" locked="0" layoutInCell="1" allowOverlap="1" wp14:anchorId="2168ACB0" wp14:editId="47B5AD62">
            <wp:simplePos x="0" y="0"/>
            <wp:positionH relativeFrom="margin">
              <wp:posOffset>1339215</wp:posOffset>
            </wp:positionH>
            <wp:positionV relativeFrom="paragraph">
              <wp:posOffset>210185</wp:posOffset>
            </wp:positionV>
            <wp:extent cx="2968949" cy="1854000"/>
            <wp:effectExtent l="0" t="0" r="3175" b="0"/>
            <wp:wrapNone/>
            <wp:docPr id="2" name="Imagen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8949" cy="18540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8</w:t>
      </w:r>
      <w:r w:rsidRPr="25FFD39A">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Outliers</w:t>
      </w:r>
      <w:proofErr w:type="spellEnd"/>
      <w:r>
        <w:rPr>
          <w:rFonts w:ascii="Times New Roman" w:hAnsi="Times New Roman" w:cs="Times New Roman"/>
          <w:b/>
          <w:bCs/>
          <w:sz w:val="24"/>
          <w:szCs w:val="24"/>
        </w:rPr>
        <w:t xml:space="preserve"> vs estadístico </w:t>
      </w:r>
      <w:proofErr w:type="spellStart"/>
      <w:r>
        <w:rPr>
          <w:rFonts w:ascii="Times New Roman" w:hAnsi="Times New Roman" w:cs="Times New Roman"/>
          <w:b/>
          <w:bCs/>
          <w:i/>
          <w:iCs/>
          <w:sz w:val="24"/>
          <w:szCs w:val="24"/>
        </w:rPr>
        <w:t>leverage</w:t>
      </w:r>
      <w:proofErr w:type="spellEnd"/>
    </w:p>
    <w:p w14:paraId="1C16325B" w14:textId="77777777" w:rsidR="000B05C3" w:rsidRDefault="000B05C3" w:rsidP="000B05C3">
      <w:pPr>
        <w:jc w:val="center"/>
        <w:rPr>
          <w:rFonts w:ascii="Times New Roman" w:hAnsi="Times New Roman" w:cs="Times New Roman"/>
          <w:b/>
          <w:bCs/>
          <w:sz w:val="24"/>
          <w:szCs w:val="24"/>
        </w:rPr>
      </w:pPr>
    </w:p>
    <w:p w14:paraId="1A967E84" w14:textId="77777777" w:rsidR="000B05C3" w:rsidRDefault="000B05C3" w:rsidP="000B05C3">
      <w:pPr>
        <w:jc w:val="center"/>
        <w:rPr>
          <w:rFonts w:ascii="Times New Roman" w:hAnsi="Times New Roman" w:cs="Times New Roman"/>
          <w:b/>
          <w:bCs/>
          <w:sz w:val="24"/>
          <w:szCs w:val="24"/>
        </w:rPr>
      </w:pPr>
    </w:p>
    <w:p w14:paraId="1A803CF0" w14:textId="77777777" w:rsidR="000B05C3" w:rsidRDefault="000B05C3" w:rsidP="000B05C3">
      <w:pPr>
        <w:jc w:val="center"/>
        <w:rPr>
          <w:rFonts w:ascii="Times New Roman" w:hAnsi="Times New Roman" w:cs="Times New Roman"/>
          <w:b/>
          <w:bCs/>
          <w:sz w:val="24"/>
          <w:szCs w:val="24"/>
        </w:rPr>
      </w:pPr>
    </w:p>
    <w:p w14:paraId="44AE7264" w14:textId="77777777" w:rsidR="000B05C3" w:rsidRDefault="000B05C3" w:rsidP="000B05C3">
      <w:pPr>
        <w:jc w:val="center"/>
        <w:rPr>
          <w:rFonts w:ascii="Times New Roman" w:hAnsi="Times New Roman" w:cs="Times New Roman"/>
          <w:b/>
          <w:bCs/>
          <w:sz w:val="24"/>
          <w:szCs w:val="24"/>
        </w:rPr>
      </w:pPr>
    </w:p>
    <w:p w14:paraId="736750CC" w14:textId="77777777" w:rsidR="000B05C3" w:rsidRDefault="000B05C3" w:rsidP="000B05C3">
      <w:pPr>
        <w:jc w:val="center"/>
        <w:rPr>
          <w:rFonts w:ascii="Times New Roman" w:hAnsi="Times New Roman" w:cs="Times New Roman"/>
          <w:b/>
          <w:bCs/>
          <w:sz w:val="24"/>
          <w:szCs w:val="24"/>
        </w:rPr>
      </w:pPr>
    </w:p>
    <w:p w14:paraId="5D93A695" w14:textId="77777777" w:rsidR="000B05C3" w:rsidRDefault="000B05C3" w:rsidP="000B05C3">
      <w:pPr>
        <w:jc w:val="center"/>
        <w:rPr>
          <w:rFonts w:ascii="Times New Roman" w:hAnsi="Times New Roman" w:cs="Times New Roman"/>
          <w:b/>
          <w:bCs/>
          <w:sz w:val="24"/>
          <w:szCs w:val="24"/>
        </w:rPr>
      </w:pPr>
    </w:p>
    <w:p w14:paraId="046A815E" w14:textId="77777777" w:rsidR="000B05C3" w:rsidRPr="006B0B2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04F1A175"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(b) Se realizó </w:t>
      </w:r>
      <w:proofErr w:type="gramStart"/>
      <w:r>
        <w:rPr>
          <w:rFonts w:ascii="Times New Roman" w:hAnsi="Times New Roman" w:cs="Times New Roman"/>
          <w:sz w:val="24"/>
          <w:szCs w:val="24"/>
        </w:rPr>
        <w:t>una cálculo</w:t>
      </w:r>
      <w:proofErr w:type="gramEnd"/>
      <w:r>
        <w:rPr>
          <w:rFonts w:ascii="Times New Roman" w:hAnsi="Times New Roman" w:cs="Times New Roman"/>
          <w:sz w:val="24"/>
          <w:szCs w:val="24"/>
        </w:rPr>
        <w:t xml:space="preserve"> de todos los modelos estimados hasta el momento utilizando ahora la técnica de validación cruzada en k-iteraciones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cross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validation</w:t>
      </w:r>
      <w:proofErr w:type="spellEnd"/>
      <w:r>
        <w:rPr>
          <w:rFonts w:ascii="Times New Roman" w:hAnsi="Times New Roman" w:cs="Times New Roman"/>
          <w:sz w:val="24"/>
          <w:szCs w:val="24"/>
        </w:rPr>
        <w:t xml:space="preserve"> en inglés), para evaluar las estimaciones mediante el entrenamiento de cada modelo en un subconjunto de datos y su posterior evaluación en el subconjunto complementario de los datos. </w:t>
      </w:r>
    </w:p>
    <w:p w14:paraId="44CBC2B8"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Después de ejecutar el procedimiento para cada uno de los modelos, calculamos su Error cuadrático medio (Anexo 4). Encontramos que el modelo (8) presentó el menor valor de </w:t>
      </w:r>
      <w:r>
        <w:rPr>
          <w:rFonts w:ascii="Times New Roman" w:hAnsi="Times New Roman" w:cs="Times New Roman"/>
          <w:i/>
          <w:iCs/>
          <w:sz w:val="24"/>
          <w:szCs w:val="24"/>
        </w:rPr>
        <w:t>MSE</w:t>
      </w:r>
      <w:r>
        <w:rPr>
          <w:rFonts w:ascii="Times New Roman" w:hAnsi="Times New Roman" w:cs="Times New Roman"/>
          <w:sz w:val="24"/>
          <w:szCs w:val="24"/>
        </w:rPr>
        <w:t xml:space="preserve">, con lo cual, este continúa siendo el que tiene el mejor ajuste dentro de los modelos estimados. De modo que, tanto en la estimación con el enfoque de validación como en la estimación por validación cruzada en k-iteraciones, este sigue siendo el mejor modelo. </w:t>
      </w:r>
    </w:p>
    <w:p w14:paraId="57F9F60B" w14:textId="77777777" w:rsidR="000B05C3" w:rsidRPr="00BF781D" w:rsidRDefault="000B05C3" w:rsidP="000B05C3">
      <w:pPr>
        <w:jc w:val="both"/>
      </w:pPr>
      <w:r>
        <w:rPr>
          <w:rFonts w:ascii="Times New Roman" w:hAnsi="Times New Roman" w:cs="Times New Roman"/>
          <w:sz w:val="24"/>
          <w:szCs w:val="24"/>
        </w:rPr>
        <w:lastRenderedPageBreak/>
        <w:t xml:space="preserve">Como se evidencia en la Gráfica 9, en términos relativos la calidad del ajuste de los diferentes modelos tiene el mismo comportamiento desde las dos aproximaciones. Destacamos que el ajuste mejora significativamente utilizando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CV</w:t>
      </w:r>
      <w:r>
        <w:rPr>
          <w:rFonts w:ascii="Times New Roman" w:hAnsi="Times New Roman" w:cs="Times New Roman"/>
          <w:sz w:val="24"/>
          <w:szCs w:val="24"/>
        </w:rPr>
        <w:t xml:space="preserve">, donde el </w:t>
      </w:r>
      <w:r>
        <w:rPr>
          <w:rFonts w:ascii="Times New Roman" w:hAnsi="Times New Roman" w:cs="Times New Roman"/>
          <w:i/>
          <w:iCs/>
          <w:sz w:val="24"/>
          <w:szCs w:val="24"/>
        </w:rPr>
        <w:t xml:space="preserve">MSE </w:t>
      </w:r>
      <w:r>
        <w:rPr>
          <w:rFonts w:ascii="Times New Roman" w:hAnsi="Times New Roman" w:cs="Times New Roman"/>
          <w:sz w:val="24"/>
          <w:szCs w:val="24"/>
        </w:rPr>
        <w:t xml:space="preserve">es menor en comparación con el otro enfoque y los resultados son más robustos. </w:t>
      </w:r>
    </w:p>
    <w:p w14:paraId="2B60DEBC" w14:textId="77777777" w:rsidR="000B05C3" w:rsidRDefault="000B05C3" w:rsidP="000B05C3">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1FC97374" wp14:editId="0E5EDD5E">
            <wp:simplePos x="0" y="0"/>
            <wp:positionH relativeFrom="margin">
              <wp:posOffset>414655</wp:posOffset>
            </wp:positionH>
            <wp:positionV relativeFrom="paragraph">
              <wp:posOffset>196801</wp:posOffset>
            </wp:positionV>
            <wp:extent cx="4782820" cy="2074545"/>
            <wp:effectExtent l="0" t="0" r="0" b="1905"/>
            <wp:wrapThrough wrapText="bothSides">
              <wp:wrapPolygon edited="0">
                <wp:start x="0" y="0"/>
                <wp:lineTo x="0" y="21421"/>
                <wp:lineTo x="21508" y="21421"/>
                <wp:lineTo x="21508" y="0"/>
                <wp:lineTo x="0" y="0"/>
              </wp:wrapPolygon>
            </wp:wrapThrough>
            <wp:docPr id="5" name="Imagen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2820" cy="2074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G</w:t>
      </w:r>
      <w:r w:rsidRPr="25FFD39A">
        <w:rPr>
          <w:rFonts w:ascii="Times New Roman" w:hAnsi="Times New Roman" w:cs="Times New Roman"/>
          <w:b/>
          <w:bCs/>
          <w:sz w:val="24"/>
          <w:szCs w:val="24"/>
        </w:rPr>
        <w:t xml:space="preserve">ráfica </w:t>
      </w:r>
      <w:r>
        <w:rPr>
          <w:rFonts w:ascii="Times New Roman" w:hAnsi="Times New Roman" w:cs="Times New Roman"/>
          <w:b/>
          <w:bCs/>
          <w:sz w:val="24"/>
          <w:szCs w:val="24"/>
        </w:rPr>
        <w:t>9</w:t>
      </w:r>
      <w:r w:rsidRPr="25FFD39A">
        <w:rPr>
          <w:rFonts w:ascii="Times New Roman" w:hAnsi="Times New Roman" w:cs="Times New Roman"/>
          <w:b/>
          <w:bCs/>
          <w:sz w:val="24"/>
          <w:szCs w:val="24"/>
        </w:rPr>
        <w:t>. Error cuadrático medio</w:t>
      </w:r>
    </w:p>
    <w:p w14:paraId="3E4DAADD" w14:textId="77777777" w:rsidR="000B05C3" w:rsidRDefault="000B05C3" w:rsidP="000B05C3">
      <w:pPr>
        <w:jc w:val="center"/>
        <w:rPr>
          <w:rFonts w:ascii="Times New Roman" w:hAnsi="Times New Roman" w:cs="Times New Roman"/>
          <w:b/>
          <w:bCs/>
          <w:sz w:val="24"/>
          <w:szCs w:val="24"/>
        </w:rPr>
      </w:pPr>
    </w:p>
    <w:p w14:paraId="44A0AE96" w14:textId="77777777" w:rsidR="000B05C3" w:rsidRDefault="000B05C3" w:rsidP="000B05C3">
      <w:pPr>
        <w:jc w:val="center"/>
        <w:rPr>
          <w:rFonts w:ascii="Times New Roman" w:hAnsi="Times New Roman" w:cs="Times New Roman"/>
          <w:b/>
          <w:bCs/>
          <w:sz w:val="24"/>
          <w:szCs w:val="24"/>
        </w:rPr>
      </w:pPr>
    </w:p>
    <w:p w14:paraId="63568336" w14:textId="77777777" w:rsidR="000B05C3" w:rsidRDefault="000B05C3" w:rsidP="000B05C3">
      <w:pPr>
        <w:jc w:val="center"/>
        <w:rPr>
          <w:rFonts w:ascii="Times New Roman" w:hAnsi="Times New Roman" w:cs="Times New Roman"/>
          <w:b/>
          <w:bCs/>
          <w:sz w:val="24"/>
          <w:szCs w:val="24"/>
        </w:rPr>
      </w:pPr>
    </w:p>
    <w:p w14:paraId="08F49CD7" w14:textId="77777777" w:rsidR="000B05C3" w:rsidRDefault="000B05C3" w:rsidP="000B05C3">
      <w:pPr>
        <w:jc w:val="center"/>
        <w:rPr>
          <w:rFonts w:ascii="Times New Roman" w:hAnsi="Times New Roman" w:cs="Times New Roman"/>
          <w:b/>
          <w:bCs/>
          <w:sz w:val="24"/>
          <w:szCs w:val="24"/>
        </w:rPr>
      </w:pPr>
    </w:p>
    <w:p w14:paraId="2B319F00" w14:textId="77777777" w:rsidR="000B05C3" w:rsidRDefault="000B05C3" w:rsidP="000B05C3">
      <w:pPr>
        <w:jc w:val="center"/>
        <w:rPr>
          <w:rFonts w:ascii="Times New Roman" w:hAnsi="Times New Roman" w:cs="Times New Roman"/>
          <w:b/>
          <w:bCs/>
          <w:sz w:val="24"/>
          <w:szCs w:val="24"/>
        </w:rPr>
      </w:pPr>
    </w:p>
    <w:p w14:paraId="29AD9400" w14:textId="77777777" w:rsidR="000B05C3" w:rsidRDefault="000B05C3" w:rsidP="000B05C3">
      <w:pPr>
        <w:jc w:val="center"/>
        <w:rPr>
          <w:rFonts w:ascii="Times New Roman" w:hAnsi="Times New Roman" w:cs="Times New Roman"/>
          <w:b/>
          <w:bCs/>
          <w:sz w:val="24"/>
          <w:szCs w:val="24"/>
        </w:rPr>
      </w:pPr>
    </w:p>
    <w:p w14:paraId="0313850B" w14:textId="77777777" w:rsidR="000B05C3" w:rsidRDefault="000B05C3" w:rsidP="000B05C3">
      <w:pPr>
        <w:jc w:val="center"/>
        <w:rPr>
          <w:rFonts w:ascii="Times New Roman" w:hAnsi="Times New Roman" w:cs="Times New Roman"/>
          <w:b/>
          <w:bCs/>
          <w:sz w:val="24"/>
          <w:szCs w:val="24"/>
        </w:rPr>
      </w:pPr>
    </w:p>
    <w:p w14:paraId="1EE39D96" w14:textId="77777777" w:rsidR="000B05C3" w:rsidRPr="00A7374F" w:rsidRDefault="000B05C3" w:rsidP="000B05C3">
      <w:pPr>
        <w:spacing w:after="0"/>
        <w:jc w:val="center"/>
        <w:rPr>
          <w:rFonts w:ascii="Times New Roman" w:hAnsi="Times New Roman" w:cs="Times New Roman"/>
          <w:bCs/>
          <w:i/>
          <w:iCs/>
        </w:rPr>
      </w:pPr>
      <w:r w:rsidRPr="00A7374F">
        <w:rPr>
          <w:rFonts w:ascii="Times New Roman" w:hAnsi="Times New Roman" w:cs="Times New Roman"/>
          <w:bCs/>
          <w:i/>
          <w:iCs/>
        </w:rPr>
        <w:t>*MSE corresponde al error cuadrático medio con el enfoque de validación y RMSE con el enfoque de validación cruzada</w:t>
      </w:r>
    </w:p>
    <w:p w14:paraId="1D214BE1" w14:textId="77777777" w:rsidR="000B05C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DFA4" w14:textId="77777777" w:rsidR="00104E58" w:rsidRDefault="00104E58" w:rsidP="00B462AB">
      <w:pPr>
        <w:spacing w:after="0" w:line="240" w:lineRule="auto"/>
      </w:pPr>
      <w:r>
        <w:separator/>
      </w:r>
    </w:p>
  </w:endnote>
  <w:endnote w:type="continuationSeparator" w:id="0">
    <w:p w14:paraId="0630ACE0" w14:textId="77777777" w:rsidR="00104E58" w:rsidRDefault="00104E58"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2F70" w14:textId="77777777" w:rsidR="00104E58" w:rsidRDefault="00104E58" w:rsidP="00B462AB">
      <w:pPr>
        <w:spacing w:after="0" w:line="240" w:lineRule="auto"/>
      </w:pPr>
      <w:r>
        <w:separator/>
      </w:r>
    </w:p>
  </w:footnote>
  <w:footnote w:type="continuationSeparator" w:id="0">
    <w:p w14:paraId="5D658D74" w14:textId="77777777" w:rsidR="00104E58" w:rsidRDefault="00104E58"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0B05C3"/>
    <w:rsid w:val="00104E58"/>
    <w:rsid w:val="001177EC"/>
    <w:rsid w:val="001B7367"/>
    <w:rsid w:val="00293815"/>
    <w:rsid w:val="003907F6"/>
    <w:rsid w:val="004203BF"/>
    <w:rsid w:val="004F066E"/>
    <w:rsid w:val="004F2947"/>
    <w:rsid w:val="006149B6"/>
    <w:rsid w:val="006B7B8E"/>
    <w:rsid w:val="00782524"/>
    <w:rsid w:val="007D7618"/>
    <w:rsid w:val="008438A0"/>
    <w:rsid w:val="008902CD"/>
    <w:rsid w:val="008C6012"/>
    <w:rsid w:val="009460B1"/>
    <w:rsid w:val="00A935F4"/>
    <w:rsid w:val="00AC72B3"/>
    <w:rsid w:val="00B0679F"/>
    <w:rsid w:val="00B43D19"/>
    <w:rsid w:val="00B462AB"/>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5302</Words>
  <Characters>30223</Characters>
  <Application>Microsoft Office Word</Application>
  <DocSecurity>0</DocSecurity>
  <Lines>251</Lines>
  <Paragraphs>70</Paragraphs>
  <ScaleCrop>false</ScaleCrop>
  <Company/>
  <LinksUpToDate>false</LinksUpToDate>
  <CharactersWithSpaces>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18</cp:revision>
  <dcterms:created xsi:type="dcterms:W3CDTF">2022-06-27T16:40:00Z</dcterms:created>
  <dcterms:modified xsi:type="dcterms:W3CDTF">2022-06-27T19:44:00Z</dcterms:modified>
</cp:coreProperties>
</file>