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Best Subset Selection</w:t>
      </w:r>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r w:rsidRPr="0030655A">
        <w:rPr>
          <w:rFonts w:ascii="Times New Roman" w:hAnsi="Times New Roman" w:cs="Times New Roman"/>
          <w:i/>
          <w:iCs/>
          <w:sz w:val="24"/>
          <w:szCs w:val="24"/>
        </w:rPr>
        <w:t>Subsidiado_hg</w:t>
      </w:r>
      <w:r w:rsidRPr="0030655A">
        <w:rPr>
          <w:rFonts w:ascii="Times New Roman" w:hAnsi="Times New Roman" w:cs="Times New Roman"/>
          <w:sz w:val="24"/>
          <w:szCs w:val="24"/>
        </w:rPr>
        <w:t xml:space="preserve"> que toma el valor de 1 si al menos un miembro de hogar (MdH) pertenece al régimen subsidiado de salud; (ii) </w:t>
      </w:r>
      <w:r w:rsidRPr="0030655A">
        <w:rPr>
          <w:rFonts w:ascii="Times New Roman" w:hAnsi="Times New Roman" w:cs="Times New Roman"/>
          <w:i/>
          <w:iCs/>
          <w:sz w:val="24"/>
          <w:szCs w:val="24"/>
        </w:rPr>
        <w:t>ayudaInstituciones_hg</w:t>
      </w:r>
      <w:r w:rsidRPr="0030655A">
        <w:rPr>
          <w:rFonts w:ascii="Times New Roman" w:hAnsi="Times New Roman" w:cs="Times New Roman"/>
          <w:sz w:val="24"/>
          <w:szCs w:val="24"/>
        </w:rPr>
        <w:t xml:space="preserve"> que indica si al menos un MdH recibió ayuda monetaria de una institución nacional o extranjera (=1), (iii) </w:t>
      </w:r>
      <w:r w:rsidRPr="0030655A">
        <w:rPr>
          <w:rFonts w:ascii="Times New Roman" w:hAnsi="Times New Roman" w:cs="Times New Roman"/>
          <w:i/>
          <w:iCs/>
          <w:sz w:val="24"/>
          <w:szCs w:val="24"/>
        </w:rPr>
        <w:t>personaxCuarto_hg</w:t>
      </w:r>
      <w:r w:rsidRPr="0030655A">
        <w:rPr>
          <w:rFonts w:ascii="Times New Roman" w:hAnsi="Times New Roman" w:cs="Times New Roman"/>
          <w:sz w:val="24"/>
          <w:szCs w:val="24"/>
        </w:rPr>
        <w:t xml:space="preserve"> que indica la ratio entre MdH y cuartos donde duermen; y (iv) </w:t>
      </w:r>
      <w:r w:rsidRPr="0030655A">
        <w:rPr>
          <w:rFonts w:ascii="Times New Roman" w:hAnsi="Times New Roman" w:cs="Times New Roman"/>
          <w:i/>
          <w:iCs/>
          <w:sz w:val="24"/>
          <w:szCs w:val="24"/>
        </w:rPr>
        <w:t>educ_hg</w:t>
      </w:r>
      <w:r w:rsidRPr="0030655A">
        <w:rPr>
          <w:rFonts w:ascii="Times New Roman" w:hAnsi="Times New Roman" w:cs="Times New Roman"/>
          <w:sz w:val="24"/>
          <w:szCs w:val="24"/>
        </w:rPr>
        <w:t xml:space="preserve"> que es el promedio de años de escolaridad de los MdH.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r w:rsidRPr="0030655A">
        <w:rPr>
          <w:rFonts w:ascii="Times New Roman" w:hAnsi="Times New Roman" w:cs="Times New Roman"/>
          <w:i/>
          <w:iCs/>
          <w:sz w:val="24"/>
          <w:szCs w:val="24"/>
        </w:rPr>
        <w:t>class imbalances</w:t>
      </w:r>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Up-sampling</w:t>
      </w:r>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Down-sampling</w:t>
      </w:r>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r w:rsidRPr="001C7A53">
        <w:rPr>
          <w:rFonts w:ascii="Times New Roman" w:hAnsi="Times New Roman" w:cs="Times New Roman"/>
          <w:i/>
          <w:iCs/>
          <w:sz w:val="24"/>
          <w:szCs w:val="24"/>
        </w:rPr>
        <w:t>Sensitivity)</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Una segunda aproximación para construir un modelo predictivo de pobreza de los hogares es a través de su ingreso. Estimamos el ingreso del hogar a partir de la agregación de una estimación individual del ingreso de cada MdH</w:t>
      </w:r>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xml:space="preserve">. Luego, utilizando la línea de pobreza (Lp)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r w:rsidRPr="006C16F7">
        <w:rPr>
          <w:rFonts w:ascii="Times New Roman" w:eastAsiaTheme="minorEastAsia" w:hAnsi="Times New Roman" w:cs="Times New Roman"/>
          <w:i/>
          <w:iCs/>
          <w:sz w:val="24"/>
          <w:szCs w:val="24"/>
        </w:rPr>
        <w:t>Best Subset Selection</w:t>
      </w:r>
      <w:r w:rsidRPr="006C16F7">
        <w:rPr>
          <w:rFonts w:ascii="Times New Roman" w:eastAsiaTheme="minorEastAsia" w:hAnsi="Times New Roman" w:cs="Times New Roman"/>
          <w:sz w:val="24"/>
          <w:szCs w:val="24"/>
        </w:rPr>
        <w:t xml:space="preserve"> (</w:t>
      </w:r>
      <w:r w:rsidRPr="006C16F7">
        <w:rPr>
          <w:rFonts w:ascii="Times New Roman" w:eastAsiaTheme="minorEastAsia" w:hAnsi="Times New Roman" w:cs="Times New Roman"/>
          <w:i/>
          <w:iCs/>
          <w:sz w:val="24"/>
          <w:szCs w:val="24"/>
        </w:rPr>
        <w:t xml:space="preserve">BSuS) </w:t>
      </w:r>
      <w:r w:rsidRPr="006C16F7">
        <w:rPr>
          <w:rFonts w:ascii="Times New Roman" w:eastAsiaTheme="minorEastAsia" w:hAnsi="Times New Roman" w:cs="Times New Roman"/>
          <w:sz w:val="24"/>
          <w:szCs w:val="24"/>
        </w:rPr>
        <w:t xml:space="preserve">y </w:t>
      </w:r>
      <w:r w:rsidRPr="006C16F7">
        <w:rPr>
          <w:rFonts w:ascii="Times New Roman" w:eastAsiaTheme="minorEastAsia" w:hAnsi="Times New Roman" w:cs="Times New Roman"/>
          <w:i/>
          <w:iCs/>
          <w:sz w:val="24"/>
          <w:szCs w:val="24"/>
        </w:rPr>
        <w:t>Backward Stepwise Selection (BSwS)</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r w:rsidRPr="006C16F7">
        <w:rPr>
          <w:rFonts w:ascii="Times New Roman" w:eastAsiaTheme="minorEastAsia" w:hAnsi="Times New Roman" w:cs="Times New Roman"/>
          <w:i/>
          <w:iCs/>
          <w:sz w:val="24"/>
          <w:szCs w:val="24"/>
        </w:rPr>
        <w:t>Elastic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r w:rsidRPr="006C16F7">
        <w:rPr>
          <w:rFonts w:ascii="Times New Roman" w:eastAsiaTheme="minorEastAsia" w:hAnsi="Times New Roman" w:cs="Times New Roman"/>
          <w:i/>
          <w:iCs/>
          <w:sz w:val="24"/>
          <w:szCs w:val="24"/>
        </w:rPr>
        <w:t>overfitting)</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r w:rsidRPr="006C16F7">
        <w:rPr>
          <w:rFonts w:ascii="Times New Roman" w:eastAsiaTheme="minorEastAsia" w:hAnsi="Times New Roman" w:cs="Times New Roman"/>
          <w:i/>
          <w:iCs/>
          <w:sz w:val="24"/>
          <w:szCs w:val="24"/>
        </w:rPr>
        <w:t xml:space="preserve">BSwS y </w:t>
      </w:r>
      <w:r w:rsidRPr="006C16F7">
        <w:rPr>
          <w:rFonts w:ascii="Times New Roman" w:eastAsiaTheme="minorEastAsia" w:hAnsi="Times New Roman" w:cs="Times New Roman"/>
          <w:sz w:val="24"/>
          <w:szCs w:val="24"/>
        </w:rPr>
        <w:t xml:space="preserve">4 de </w:t>
      </w:r>
      <w:r w:rsidRPr="006C16F7">
        <w:rPr>
          <w:rFonts w:ascii="Times New Roman" w:eastAsiaTheme="minorEastAsia" w:hAnsi="Times New Roman" w:cs="Times New Roman"/>
          <w:i/>
          <w:iCs/>
          <w:sz w:val="24"/>
          <w:szCs w:val="24"/>
        </w:rPr>
        <w:t>Elastic Net</w:t>
      </w:r>
      <w:r w:rsidRPr="006C16F7">
        <w:rPr>
          <w:rFonts w:ascii="Times New Roman" w:eastAsiaTheme="minorEastAsia" w:hAnsi="Times New Roman" w:cs="Times New Roman"/>
          <w:sz w:val="24"/>
          <w:szCs w:val="24"/>
        </w:rPr>
        <w:t xml:space="preserve">), mientras el modelo de </w:t>
      </w:r>
      <w:r w:rsidRPr="006C16F7">
        <w:rPr>
          <w:rFonts w:ascii="Times New Roman" w:eastAsiaTheme="minorEastAsia" w:hAnsi="Times New Roman" w:cs="Times New Roman"/>
          <w:i/>
          <w:iCs/>
          <w:sz w:val="24"/>
          <w:szCs w:val="24"/>
        </w:rPr>
        <w:t>BSuS</w:t>
      </w:r>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r w:rsidRPr="00CE707E">
        <w:rPr>
          <w:rFonts w:ascii="Times New Roman" w:hAnsi="Times New Roman" w:cs="Times New Roman"/>
          <w:i/>
          <w:iCs/>
          <w:sz w:val="24"/>
          <w:szCs w:val="24"/>
        </w:rPr>
        <w:t>Elastic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En la estimación las variables fueron centradas y escaladas con media 0 y desviación estándar 1, para asegurar que la penalización que impone el modelo se aplique por igual sobre cada coeficiente. La estimación utilizó los hiperparámetros</w:t>
      </w:r>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r w:rsidRPr="00CE707E">
        <w:rPr>
          <w:rFonts w:ascii="Times New Roman" w:hAnsi="Times New Roman" w:cs="Times New Roman"/>
          <w:i/>
          <w:iCs/>
          <w:sz w:val="24"/>
          <w:szCs w:val="24"/>
        </w:rPr>
        <w:t>train</w:t>
      </w:r>
      <w:r w:rsidRPr="00CE707E">
        <w:rPr>
          <w:rFonts w:ascii="Times New Roman" w:hAnsi="Times New Roman" w:cs="Times New Roman"/>
          <w:sz w:val="24"/>
          <w:szCs w:val="24"/>
        </w:rPr>
        <w:t>, y luego se agregaron los ingresos predichos de los MdH para obtener un estimado del ingreso agregado del hogar, que comparamos frente a la Lp</w:t>
      </w:r>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r w:rsidRPr="00B9370D">
        <w:rPr>
          <w:rFonts w:ascii="Times New Roman" w:hAnsi="Times New Roman" w:cs="Times New Roman"/>
          <w:i/>
          <w:iCs/>
          <w:sz w:val="24"/>
          <w:szCs w:val="24"/>
        </w:rPr>
        <w:t xml:space="preserve">Sensitivity)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  la especificidad (</w:t>
      </w:r>
      <w:r w:rsidRPr="00B9370D">
        <w:rPr>
          <w:rFonts w:ascii="Times New Roman" w:hAnsi="Times New Roman" w:cs="Times New Roman"/>
          <w:i/>
          <w:iCs/>
          <w:sz w:val="24"/>
          <w:szCs w:val="24"/>
        </w:rPr>
        <w:t>Specificity</w:t>
      </w:r>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r w:rsidRPr="00B9370D">
        <w:rPr>
          <w:rFonts w:ascii="Times New Roman" w:hAnsi="Times New Roman" w:cs="Times New Roman"/>
          <w:i/>
          <w:iCs/>
          <w:sz w:val="24"/>
          <w:szCs w:val="24"/>
        </w:rPr>
        <w:t xml:space="preserve">accuracy)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MdH,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r w:rsidRPr="001446BE">
        <w:rPr>
          <w:rFonts w:ascii="Times New Roman" w:hAnsi="Times New Roman" w:cs="Times New Roman"/>
          <w:i/>
          <w:iCs/>
          <w:sz w:val="24"/>
          <w:szCs w:val="24"/>
        </w:rPr>
        <w:t>logit</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Subsidiado_hg, ayudaInstitucions_hg, personaxCuarto_hg y educ_hg</w:t>
      </w:r>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subFamiliar_hg</w:t>
      </w:r>
      <w:r w:rsidRPr="001446BE">
        <w:rPr>
          <w:rFonts w:ascii="Times New Roman" w:hAnsi="Times New Roman" w:cs="Times New Roman"/>
          <w:sz w:val="24"/>
          <w:szCs w:val="24"/>
        </w:rPr>
        <w:t xml:space="preserve"> una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MdH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subEducativo_hg</w:t>
      </w:r>
      <w:r w:rsidRPr="001446BE">
        <w:rPr>
          <w:rFonts w:ascii="Times New Roman" w:hAnsi="Times New Roman" w:cs="Times New Roman"/>
          <w:sz w:val="24"/>
          <w:szCs w:val="24"/>
        </w:rPr>
        <w:t xml:space="preserve">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denota si algún MdH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ayudaHogaresnal_hg</w:t>
      </w:r>
      <w:r w:rsidRPr="001446BE">
        <w:rPr>
          <w:rFonts w:ascii="Times New Roman" w:hAnsi="Times New Roman" w:cs="Times New Roman"/>
          <w:sz w:val="24"/>
          <w:szCs w:val="24"/>
        </w:rPr>
        <w:t xml:space="preserve"> una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MdH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ayudaHogaresext_hg</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señala si algún MdH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profesional_hg</w:t>
      </w:r>
      <w:r w:rsidRPr="001446BE">
        <w:rPr>
          <w:rFonts w:ascii="Times New Roman" w:hAnsi="Times New Roman" w:cs="Times New Roman"/>
          <w:sz w:val="24"/>
          <w:szCs w:val="24"/>
        </w:rPr>
        <w:t xml:space="preserve"> toma el valor de 1 si al menos un MdH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microempresa_hg</w:t>
      </w:r>
      <w:r w:rsidRPr="001446BE">
        <w:rPr>
          <w:rFonts w:ascii="Times New Roman" w:hAnsi="Times New Roman" w:cs="Times New Roman"/>
          <w:sz w:val="24"/>
          <w:szCs w:val="24"/>
        </w:rPr>
        <w:t xml:space="preserve"> indica si al menos un MdH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formal_hg</w:t>
      </w:r>
      <w:r w:rsidRPr="001446BE">
        <w:rPr>
          <w:rFonts w:ascii="Times New Roman" w:hAnsi="Times New Roman" w:cs="Times New Roman"/>
          <w:sz w:val="24"/>
          <w:szCs w:val="24"/>
        </w:rPr>
        <w:t xml:space="preserve"> determina si al menos un MdH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Nper</w:t>
      </w:r>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33C08FA6"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Refdenotaalfinal"/>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r w:rsidRPr="000414DE">
        <w:rPr>
          <w:rFonts w:ascii="Times New Roman" w:hAnsi="Times New Roman" w:cs="Times New Roman"/>
          <w:i/>
          <w:iCs/>
          <w:sz w:val="24"/>
          <w:szCs w:val="24"/>
        </w:rPr>
        <w:t>educ</w:t>
      </w:r>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7D53A247" w14:textId="0C8568DE" w:rsidR="000A2CA7" w:rsidRDefault="000A2CA7" w:rsidP="000414DE">
      <w:pPr>
        <w:jc w:val="both"/>
        <w:rPr>
          <w:rFonts w:ascii="Times New Roman" w:hAnsi="Times New Roman" w:cs="Times New Roman"/>
          <w:sz w:val="24"/>
          <w:szCs w:val="24"/>
        </w:rPr>
      </w:pPr>
      <w:r w:rsidRPr="000A2CA7">
        <w:rPr>
          <w:rFonts w:ascii="Times New Roman" w:hAnsi="Times New Roman" w:cs="Times New Roman"/>
          <w:sz w:val="24"/>
          <w:szCs w:val="24"/>
        </w:rPr>
        <w:t xml:space="preserve">De otro lado, un conjunto de variables categóricas o </w:t>
      </w:r>
      <w:r w:rsidRPr="000A2CA7">
        <w:rPr>
          <w:rFonts w:ascii="Times New Roman" w:hAnsi="Times New Roman" w:cs="Times New Roman"/>
          <w:i/>
          <w:iCs/>
          <w:sz w:val="24"/>
          <w:szCs w:val="24"/>
        </w:rPr>
        <w:t>dummies</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género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mujer</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toma el valor de 1 si el individuo es mujer y 0 en otro caso), </w:t>
      </w:r>
      <w:r w:rsidRPr="000A2CA7">
        <w:rPr>
          <w:rFonts w:ascii="Times New Roman" w:hAnsi="Times New Roman" w:cs="Times New Roman"/>
          <w:b/>
          <w:bCs/>
          <w:sz w:val="24"/>
          <w:szCs w:val="24"/>
        </w:rPr>
        <w:t xml:space="preserve">jefe de hogar - </w:t>
      </w:r>
      <w:r w:rsidRPr="000A2CA7">
        <w:rPr>
          <w:rFonts w:ascii="Times New Roman" w:hAnsi="Times New Roman" w:cs="Times New Roman"/>
          <w:i/>
          <w:iCs/>
          <w:sz w:val="24"/>
          <w:szCs w:val="24"/>
        </w:rPr>
        <w:t>jefeHogar</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caracteriza si la persona es </w:t>
      </w:r>
      <w:r w:rsidRPr="000A2CA7">
        <w:rPr>
          <w:rFonts w:ascii="Times New Roman" w:hAnsi="Times New Roman" w:cs="Times New Roman"/>
          <w:bCs/>
          <w:sz w:val="24"/>
          <w:szCs w:val="24"/>
        </w:rPr>
        <w:t>jefa del hogar</w:t>
      </w:r>
      <w:r w:rsidRPr="000A2CA7">
        <w:rPr>
          <w:rFonts w:ascii="Times New Roman" w:hAnsi="Times New Roman" w:cs="Times New Roman"/>
          <w:sz w:val="24"/>
          <w:szCs w:val="24"/>
        </w:rPr>
        <w:t xml:space="preserve"> o no), una </w:t>
      </w:r>
      <w:r w:rsidRPr="000A2CA7">
        <w:rPr>
          <w:rFonts w:ascii="Times New Roman" w:hAnsi="Times New Roman" w:cs="Times New Roman"/>
          <w:b/>
          <w:bCs/>
          <w:sz w:val="24"/>
          <w:szCs w:val="24"/>
        </w:rPr>
        <w:t xml:space="preserve">interacción entre jefe de hogar y género – </w:t>
      </w:r>
      <w:r w:rsidRPr="000A2CA7">
        <w:rPr>
          <w:rFonts w:ascii="Times New Roman" w:hAnsi="Times New Roman" w:cs="Times New Roman"/>
          <w:i/>
          <w:iCs/>
          <w:sz w:val="24"/>
          <w:szCs w:val="24"/>
        </w:rPr>
        <w:t>jefeHogar_mujer</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trabajo formal</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formal</w:t>
      </w:r>
      <w:r w:rsidRPr="000A2CA7">
        <w:rPr>
          <w:rFonts w:ascii="Times New Roman" w:hAnsi="Times New Roman" w:cs="Times New Roman"/>
          <w:sz w:val="24"/>
          <w:szCs w:val="24"/>
        </w:rPr>
        <w:t xml:space="preserve"> (variable </w:t>
      </w:r>
      <w:r w:rsidRPr="000A2CA7">
        <w:rPr>
          <w:rFonts w:ascii="Times New Roman" w:hAnsi="Times New Roman" w:cs="Times New Roman"/>
          <w:i/>
          <w:iCs/>
          <w:sz w:val="24"/>
          <w:szCs w:val="24"/>
        </w:rPr>
        <w:t>dummy</w:t>
      </w:r>
      <w:r w:rsidRPr="000A2CA7">
        <w:rPr>
          <w:rFonts w:ascii="Times New Roman" w:hAnsi="Times New Roman" w:cs="Times New Roman"/>
          <w:sz w:val="24"/>
          <w:szCs w:val="24"/>
        </w:rPr>
        <w:t xml:space="preserve"> que se creó a partir de la variable p6090 “¿Está afiliado, es cotizante o es beneficiario de alguna entidad de seguridad social en salud?”, puesto el empleo informal se </w:t>
      </w:r>
      <w:r w:rsidRPr="000A2CA7">
        <w:rPr>
          <w:rFonts w:ascii="Times New Roman" w:hAnsi="Times New Roman" w:cs="Times New Roman"/>
          <w:sz w:val="24"/>
          <w:szCs w:val="24"/>
        </w:rPr>
        <w:lastRenderedPageBreak/>
        <w:t xml:space="preserve">refiere a los trabajadores que, entre muchos factores, pertenecen a una empresa o desempeñan un trabajo sin contrato laboral y sin aportes a seguridad social (Departamento Administrativo Nacional de Estadística [DANE], 2009)), </w:t>
      </w:r>
      <w:r w:rsidRPr="000A2CA7">
        <w:rPr>
          <w:rFonts w:ascii="Times New Roman" w:hAnsi="Times New Roman" w:cs="Times New Roman"/>
          <w:b/>
          <w:bCs/>
          <w:sz w:val="24"/>
          <w:szCs w:val="24"/>
        </w:rPr>
        <w:t>microempresa</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microEmpresa</w:t>
      </w:r>
      <w:r w:rsidRPr="000A2CA7">
        <w:rPr>
          <w:rFonts w:ascii="Times New Roman" w:hAnsi="Times New Roman" w:cs="Times New Roman"/>
          <w:sz w:val="24"/>
          <w:szCs w:val="24"/>
        </w:rPr>
        <w:t xml:space="preserve"> (variable </w:t>
      </w:r>
      <w:r w:rsidRPr="000A2CA7">
        <w:rPr>
          <w:rFonts w:ascii="Times New Roman" w:hAnsi="Times New Roman" w:cs="Times New Roman"/>
          <w:i/>
          <w:iCs/>
          <w:sz w:val="24"/>
          <w:szCs w:val="24"/>
        </w:rPr>
        <w:t>dummy</w:t>
      </w:r>
      <w:r w:rsidRPr="000A2CA7">
        <w:rPr>
          <w:rFonts w:ascii="Times New Roman" w:hAnsi="Times New Roman" w:cs="Times New Roman"/>
          <w:sz w:val="24"/>
          <w:szCs w:val="24"/>
        </w:rPr>
        <w:t xml:space="preserve"> que indica si la persona trabaja en una microempresa o no, a partir del tamaño de la empresa, medido por el número de trabajadores, se denotan como microempresas las compañías que tengan personal no superior a 10 trabajadores (Ministerio de Comercio, Industria y Turismo, 2007)), </w:t>
      </w:r>
      <w:r w:rsidRPr="000A2CA7">
        <w:rPr>
          <w:rFonts w:ascii="Times New Roman" w:hAnsi="Times New Roman" w:cs="Times New Roman"/>
          <w:b/>
          <w:bCs/>
          <w:sz w:val="24"/>
          <w:szCs w:val="24"/>
        </w:rPr>
        <w:t>ocupado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ocupado</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indica si la persona se encontraba dentro de la población ocupada en el momento de la encuesta), </w:t>
      </w:r>
      <w:r w:rsidRPr="000A2CA7">
        <w:rPr>
          <w:rFonts w:ascii="Times New Roman" w:hAnsi="Times New Roman" w:cs="Times New Roman"/>
          <w:b/>
          <w:bCs/>
          <w:sz w:val="24"/>
          <w:szCs w:val="24"/>
        </w:rPr>
        <w:t>segundo trabajo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segundoTrabajo</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indica si la persona tenía un segundo trabajo en el momento de la encuesta) y </w:t>
      </w:r>
      <w:r w:rsidRPr="000A2CA7">
        <w:rPr>
          <w:rFonts w:ascii="Times New Roman" w:hAnsi="Times New Roman" w:cs="Times New Roman"/>
          <w:b/>
          <w:bCs/>
          <w:sz w:val="24"/>
          <w:szCs w:val="24"/>
        </w:rPr>
        <w:t>oficio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oficio</w:t>
      </w:r>
      <w:r w:rsidRPr="000A2CA7">
        <w:rPr>
          <w:rFonts w:ascii="Times New Roman" w:hAnsi="Times New Roman" w:cs="Times New Roman"/>
          <w:sz w:val="24"/>
          <w:szCs w:val="24"/>
        </w:rPr>
        <w:t xml:space="preserve"> (variable categórica que denota la ocupación de la persona y toma valores de 1 a 99).</w:t>
      </w:r>
    </w:p>
    <w:p w14:paraId="11307FC5" w14:textId="77777777" w:rsidR="00CC67B0" w:rsidRPr="00CC67B0" w:rsidRDefault="00CC67B0" w:rsidP="00CC67B0">
      <w:pPr>
        <w:spacing w:line="259" w:lineRule="auto"/>
        <w:jc w:val="both"/>
        <w:rPr>
          <w:rFonts w:ascii="Times New Roman" w:hAnsi="Times New Roman" w:cs="Times New Roman"/>
          <w:b/>
          <w:bCs/>
          <w:sz w:val="24"/>
          <w:szCs w:val="24"/>
          <w:u w:val="single"/>
        </w:rPr>
      </w:pPr>
      <w:r w:rsidRPr="00CC67B0">
        <w:rPr>
          <w:rFonts w:ascii="Times New Roman" w:hAnsi="Times New Roman" w:cs="Times New Roman"/>
          <w:b/>
          <w:bCs/>
          <w:sz w:val="24"/>
          <w:szCs w:val="24"/>
          <w:u w:val="single"/>
        </w:rPr>
        <w:t>Tablas</w:t>
      </w:r>
    </w:p>
    <w:p w14:paraId="0CA25B5F" w14:textId="77777777" w:rsidR="00CC67B0" w:rsidRPr="00CC67B0" w:rsidRDefault="00CC67B0" w:rsidP="00CC67B0">
      <w:pPr>
        <w:spacing w:line="259" w:lineRule="auto"/>
        <w:jc w:val="center"/>
        <w:rPr>
          <w:rFonts w:ascii="Times New Roman" w:hAnsi="Times New Roman" w:cs="Times New Roman"/>
          <w:b/>
          <w:bCs/>
          <w:i/>
          <w:iCs/>
          <w:sz w:val="24"/>
          <w:szCs w:val="24"/>
        </w:rPr>
      </w:pPr>
      <w:r w:rsidRPr="00CC67B0">
        <w:rPr>
          <w:rFonts w:ascii="Times New Roman" w:hAnsi="Times New Roman" w:cs="Times New Roman"/>
          <w:b/>
          <w:bCs/>
          <w:sz w:val="24"/>
          <w:szCs w:val="24"/>
        </w:rPr>
        <w:t xml:space="preserve">Tabla 1. Estadísticas descriptivas (base </w:t>
      </w:r>
      <w:r w:rsidRPr="00CC67B0">
        <w:rPr>
          <w:rFonts w:ascii="Times New Roman" w:hAnsi="Times New Roman" w:cs="Times New Roman"/>
          <w:b/>
          <w:bCs/>
          <w:i/>
          <w:iCs/>
          <w:sz w:val="24"/>
          <w:szCs w:val="24"/>
        </w:rPr>
        <w:t>train)*</w:t>
      </w:r>
    </w:p>
    <w:tbl>
      <w:tblPr>
        <w:tblStyle w:val="Tablaconcuadrcula"/>
        <w:tblW w:w="0" w:type="auto"/>
        <w:jc w:val="center"/>
        <w:tblLook w:val="04A0" w:firstRow="1" w:lastRow="0" w:firstColumn="1" w:lastColumn="0" w:noHBand="0" w:noVBand="1"/>
      </w:tblPr>
      <w:tblGrid>
        <w:gridCol w:w="2830"/>
        <w:gridCol w:w="1701"/>
        <w:gridCol w:w="1560"/>
        <w:gridCol w:w="1560"/>
      </w:tblGrid>
      <w:tr w:rsidR="00CC67B0" w:rsidRPr="00CC67B0" w14:paraId="17224E5C"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4B9804D5" w14:textId="77777777" w:rsidR="00CC67B0" w:rsidRPr="00CC67B0" w:rsidRDefault="00CC67B0" w:rsidP="00CC67B0">
            <w:pPr>
              <w:spacing w:line="240" w:lineRule="auto"/>
              <w:jc w:val="center"/>
              <w:rPr>
                <w:rFonts w:ascii="Times New Roman" w:hAnsi="Times New Roman" w:cs="Times New Roman"/>
                <w:b/>
                <w:sz w:val="24"/>
                <w:szCs w:val="24"/>
              </w:rPr>
            </w:pPr>
          </w:p>
        </w:tc>
        <w:tc>
          <w:tcPr>
            <w:tcW w:w="3261" w:type="dxa"/>
            <w:gridSpan w:val="2"/>
            <w:tcBorders>
              <w:top w:val="single" w:sz="4" w:space="0" w:color="FFFFFF"/>
              <w:left w:val="single" w:sz="4" w:space="0" w:color="FFFFFF" w:themeColor="background1"/>
              <w:right w:val="single" w:sz="4" w:space="0" w:color="FFFFFF"/>
            </w:tcBorders>
            <w:vAlign w:val="center"/>
          </w:tcPr>
          <w:p w14:paraId="21FE377F"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Hogares</w:t>
            </w:r>
          </w:p>
        </w:tc>
        <w:tc>
          <w:tcPr>
            <w:tcW w:w="1560" w:type="dxa"/>
            <w:tcBorders>
              <w:top w:val="single" w:sz="4" w:space="0" w:color="FFFFFF"/>
              <w:left w:val="single" w:sz="4" w:space="0" w:color="FFFFFF" w:themeColor="background1"/>
              <w:right w:val="single" w:sz="4" w:space="0" w:color="FFFFFF"/>
            </w:tcBorders>
          </w:tcPr>
          <w:p w14:paraId="30A3CDFE" w14:textId="77777777" w:rsidR="00CC67B0" w:rsidRPr="00CC67B0" w:rsidRDefault="00CC67B0" w:rsidP="00CC67B0">
            <w:pPr>
              <w:spacing w:line="240" w:lineRule="auto"/>
              <w:jc w:val="center"/>
              <w:rPr>
                <w:rFonts w:ascii="Times New Roman" w:hAnsi="Times New Roman" w:cs="Times New Roman"/>
                <w:b/>
                <w:iCs/>
                <w:sz w:val="24"/>
                <w:szCs w:val="24"/>
              </w:rPr>
            </w:pPr>
          </w:p>
        </w:tc>
      </w:tr>
      <w:tr w:rsidR="00CC67B0" w:rsidRPr="00CC67B0" w14:paraId="6D0A9DC4"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1A24E508" w14:textId="77777777" w:rsidR="00CC67B0" w:rsidRPr="00CC67B0" w:rsidRDefault="00CC67B0" w:rsidP="00CC67B0">
            <w:pPr>
              <w:spacing w:line="240" w:lineRule="auto"/>
              <w:jc w:val="center"/>
              <w:rPr>
                <w:rFonts w:ascii="Times New Roman" w:hAnsi="Times New Roman" w:cs="Times New Roman"/>
                <w:b/>
                <w:sz w:val="24"/>
                <w:szCs w:val="24"/>
              </w:rPr>
            </w:pPr>
            <w:r w:rsidRPr="00CC67B0">
              <w:rPr>
                <w:rFonts w:ascii="Times New Roman" w:hAnsi="Times New Roman" w:cs="Times New Roman"/>
                <w:b/>
                <w:sz w:val="24"/>
                <w:szCs w:val="24"/>
              </w:rPr>
              <w:t>Variables</w:t>
            </w:r>
          </w:p>
        </w:tc>
        <w:tc>
          <w:tcPr>
            <w:tcW w:w="1701" w:type="dxa"/>
            <w:tcBorders>
              <w:top w:val="single" w:sz="4" w:space="0" w:color="FFFFFF"/>
              <w:left w:val="single" w:sz="4" w:space="0" w:color="FFFFFF" w:themeColor="background1"/>
              <w:right w:val="single" w:sz="4" w:space="0" w:color="FFFFFF"/>
            </w:tcBorders>
            <w:vAlign w:val="center"/>
          </w:tcPr>
          <w:p w14:paraId="147333EF" w14:textId="77777777" w:rsidR="00CC67B0" w:rsidRPr="00CC67B0" w:rsidRDefault="00CC67B0" w:rsidP="00CC67B0">
            <w:pPr>
              <w:tabs>
                <w:tab w:val="left" w:pos="460"/>
                <w:tab w:val="center" w:pos="601"/>
              </w:tabs>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Pobres</w:t>
            </w:r>
          </w:p>
        </w:tc>
        <w:tc>
          <w:tcPr>
            <w:tcW w:w="1560" w:type="dxa"/>
            <w:tcBorders>
              <w:top w:val="single" w:sz="4" w:space="0" w:color="FFFFFF"/>
              <w:left w:val="single" w:sz="4" w:space="0" w:color="FFFFFF"/>
              <w:right w:val="single" w:sz="4" w:space="0" w:color="FFFFFF"/>
            </w:tcBorders>
            <w:vAlign w:val="center"/>
          </w:tcPr>
          <w:p w14:paraId="229C0B01"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No pobres</w:t>
            </w:r>
          </w:p>
        </w:tc>
        <w:tc>
          <w:tcPr>
            <w:tcW w:w="1560" w:type="dxa"/>
            <w:tcBorders>
              <w:top w:val="single" w:sz="4" w:space="0" w:color="FFFFFF"/>
              <w:left w:val="single" w:sz="4" w:space="0" w:color="FFFFFF"/>
              <w:right w:val="single" w:sz="4" w:space="0" w:color="FFFFFF"/>
            </w:tcBorders>
          </w:tcPr>
          <w:p w14:paraId="575EDB29"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p-valor**</w:t>
            </w:r>
          </w:p>
        </w:tc>
      </w:tr>
      <w:tr w:rsidR="00CC67B0" w:rsidRPr="00CC67B0" w14:paraId="5148A065" w14:textId="77777777" w:rsidTr="00BC61C7">
        <w:trPr>
          <w:trHeight w:val="340"/>
          <w:jc w:val="center"/>
        </w:trPr>
        <w:tc>
          <w:tcPr>
            <w:tcW w:w="2830" w:type="dxa"/>
            <w:tcBorders>
              <w:left w:val="single" w:sz="4" w:space="0" w:color="FFFFFF"/>
              <w:bottom w:val="single" w:sz="4" w:space="0" w:color="FFFFFF"/>
              <w:right w:val="single" w:sz="4" w:space="0" w:color="FFFFFF" w:themeColor="background1"/>
            </w:tcBorders>
          </w:tcPr>
          <w:p w14:paraId="4B535B4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Subsidiado</w:t>
            </w:r>
          </w:p>
          <w:p w14:paraId="57E2261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left w:val="single" w:sz="4" w:space="0" w:color="FFFFFF" w:themeColor="background1"/>
              <w:bottom w:val="single" w:sz="4" w:space="0" w:color="FFFFFF"/>
              <w:right w:val="single" w:sz="4" w:space="0" w:color="FFFFFF"/>
            </w:tcBorders>
            <w:shd w:val="clear" w:color="auto" w:fill="auto"/>
          </w:tcPr>
          <w:p w14:paraId="19DBEBA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27,815 </w:t>
            </w:r>
          </w:p>
          <w:p w14:paraId="24ECB22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(84.2)</w:t>
            </w:r>
          </w:p>
        </w:tc>
        <w:tc>
          <w:tcPr>
            <w:tcW w:w="1560" w:type="dxa"/>
            <w:tcBorders>
              <w:left w:val="single" w:sz="4" w:space="0" w:color="FFFFFF"/>
              <w:bottom w:val="single" w:sz="4" w:space="0" w:color="FFFFFF"/>
              <w:right w:val="single" w:sz="4" w:space="0" w:color="FFFFFF"/>
            </w:tcBorders>
            <w:shd w:val="clear" w:color="auto" w:fill="auto"/>
          </w:tcPr>
          <w:p w14:paraId="277B2A08"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60,721 </w:t>
            </w:r>
          </w:p>
          <w:p w14:paraId="3B0840A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(46.0)</w:t>
            </w:r>
          </w:p>
        </w:tc>
        <w:tc>
          <w:tcPr>
            <w:tcW w:w="1560" w:type="dxa"/>
            <w:tcBorders>
              <w:left w:val="single" w:sz="4" w:space="0" w:color="FFFFFF"/>
              <w:bottom w:val="single" w:sz="4" w:space="0" w:color="FFFFFF"/>
              <w:right w:val="single" w:sz="4" w:space="0" w:color="FFFFFF"/>
            </w:tcBorders>
          </w:tcPr>
          <w:p w14:paraId="46A55F5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070B85F7"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A3E173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familiar</w:t>
            </w:r>
          </w:p>
          <w:p w14:paraId="6B0D4842"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99FD6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1,481 </w:t>
            </w:r>
          </w:p>
          <w:p w14:paraId="699BCC0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(4.5)</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18EE565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20,759 </w:t>
            </w:r>
          </w:p>
          <w:p w14:paraId="0A73643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(15.7)</w:t>
            </w:r>
          </w:p>
        </w:tc>
        <w:tc>
          <w:tcPr>
            <w:tcW w:w="1560" w:type="dxa"/>
            <w:tcBorders>
              <w:top w:val="single" w:sz="4" w:space="0" w:color="FFFFFF"/>
              <w:left w:val="single" w:sz="4" w:space="0" w:color="FFFFFF"/>
              <w:bottom w:val="single" w:sz="4" w:space="0" w:color="FFFFFF"/>
              <w:right w:val="single" w:sz="4" w:space="0" w:color="FFFFFF"/>
            </w:tcBorders>
          </w:tcPr>
          <w:p w14:paraId="07D810D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807C0CF"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01F177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educativo</w:t>
            </w:r>
          </w:p>
          <w:p w14:paraId="23D5108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FE8812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w:t>
            </w:r>
          </w:p>
          <w:p w14:paraId="55B0B60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(0.0)</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7742F43D"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359 </w:t>
            </w:r>
          </w:p>
          <w:p w14:paraId="5EA0CA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(0.3)</w:t>
            </w:r>
          </w:p>
        </w:tc>
        <w:tc>
          <w:tcPr>
            <w:tcW w:w="1560" w:type="dxa"/>
            <w:tcBorders>
              <w:top w:val="single" w:sz="4" w:space="0" w:color="FFFFFF"/>
              <w:left w:val="single" w:sz="4" w:space="0" w:color="FFFFFF"/>
              <w:bottom w:val="single" w:sz="4" w:space="0" w:color="FFFFFF"/>
              <w:right w:val="single" w:sz="4" w:space="0" w:color="FFFFFF"/>
            </w:tcBorders>
          </w:tcPr>
          <w:p w14:paraId="599805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75B5B84"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1C7C984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hogares nal.</w:t>
            </w:r>
          </w:p>
          <w:p w14:paraId="72EB5FF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4ACC9391"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9,761 </w:t>
            </w:r>
          </w:p>
          <w:p w14:paraId="2545F4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(29.6)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07C654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27,160 </w:t>
            </w:r>
          </w:p>
          <w:p w14:paraId="5EA56D9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(20.6)</w:t>
            </w:r>
          </w:p>
        </w:tc>
        <w:tc>
          <w:tcPr>
            <w:tcW w:w="1560" w:type="dxa"/>
            <w:tcBorders>
              <w:top w:val="single" w:sz="4" w:space="0" w:color="FFFFFF"/>
              <w:left w:val="single" w:sz="4" w:space="0" w:color="FFFFFF"/>
              <w:bottom w:val="single" w:sz="4" w:space="0" w:color="FFFFFF"/>
              <w:right w:val="single" w:sz="4" w:space="0" w:color="FFFFFF"/>
            </w:tcBorders>
          </w:tcPr>
          <w:p w14:paraId="0B6972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43AE030"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36D2B2D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hogares extr.</w:t>
            </w:r>
          </w:p>
          <w:p w14:paraId="4C22C9E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DA9664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443 </w:t>
            </w:r>
          </w:p>
          <w:p w14:paraId="16C6BD0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14F087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2,755 </w:t>
            </w:r>
          </w:p>
          <w:p w14:paraId="3004A34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(2.1)</w:t>
            </w:r>
          </w:p>
        </w:tc>
        <w:tc>
          <w:tcPr>
            <w:tcW w:w="1560" w:type="dxa"/>
            <w:tcBorders>
              <w:top w:val="single" w:sz="4" w:space="0" w:color="FFFFFF"/>
              <w:left w:val="single" w:sz="4" w:space="0" w:color="FFFFFF"/>
              <w:bottom w:val="single" w:sz="4" w:space="0" w:color="FFFFFF"/>
              <w:right w:val="single" w:sz="4" w:space="0" w:color="FFFFFF"/>
            </w:tcBorders>
          </w:tcPr>
          <w:p w14:paraId="3CF8EA2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1B80F0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51B7500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instituciones</w:t>
            </w:r>
          </w:p>
          <w:p w14:paraId="0085038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09E5A26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10,452 </w:t>
            </w:r>
          </w:p>
          <w:p w14:paraId="4994C22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(31.6)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AEA45D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14,468 </w:t>
            </w:r>
          </w:p>
          <w:p w14:paraId="38868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(11.0)</w:t>
            </w:r>
          </w:p>
        </w:tc>
        <w:tc>
          <w:tcPr>
            <w:tcW w:w="1560" w:type="dxa"/>
            <w:tcBorders>
              <w:top w:val="single" w:sz="4" w:space="0" w:color="FFFFFF"/>
              <w:left w:val="single" w:sz="4" w:space="0" w:color="FFFFFF"/>
              <w:bottom w:val="single" w:sz="4" w:space="0" w:color="FFFFFF"/>
              <w:right w:val="single" w:sz="4" w:space="0" w:color="FFFFFF"/>
            </w:tcBorders>
          </w:tcPr>
          <w:p w14:paraId="1B81E84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19DC3C1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D2584B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Profesional</w:t>
            </w:r>
          </w:p>
          <w:p w14:paraId="53604B86"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03E29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27,975</w:t>
            </w:r>
          </w:p>
          <w:p w14:paraId="5BCF9FB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(84.7)</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472EF8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117,955 (89.4)</w:t>
            </w:r>
          </w:p>
        </w:tc>
        <w:tc>
          <w:tcPr>
            <w:tcW w:w="1560" w:type="dxa"/>
            <w:tcBorders>
              <w:top w:val="single" w:sz="4" w:space="0" w:color="FFFFFF"/>
              <w:left w:val="single" w:sz="4" w:space="0" w:color="FFFFFF"/>
              <w:bottom w:val="single" w:sz="4" w:space="0" w:color="FFFFFF"/>
              <w:right w:val="single" w:sz="4" w:space="0" w:color="FFFFFF"/>
            </w:tcBorders>
          </w:tcPr>
          <w:p w14:paraId="7012BCA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44CCD50E" w14:textId="77777777" w:rsidTr="00BC61C7">
        <w:trPr>
          <w:trHeight w:val="340"/>
          <w:jc w:val="center"/>
        </w:trPr>
        <w:tc>
          <w:tcPr>
            <w:tcW w:w="2830" w:type="dxa"/>
            <w:tcBorders>
              <w:top w:val="single" w:sz="4" w:space="0" w:color="FFFFFF"/>
              <w:left w:val="single" w:sz="4" w:space="0" w:color="FFFFFF"/>
              <w:bottom w:val="single" w:sz="4" w:space="0" w:color="auto"/>
              <w:right w:val="single" w:sz="4" w:space="0" w:color="FFFFFF" w:themeColor="background1"/>
            </w:tcBorders>
          </w:tcPr>
          <w:p w14:paraId="30FA2E1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Personas x</w:t>
            </w:r>
          </w:p>
          <w:p w14:paraId="08C662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cuarto</w:t>
            </w:r>
          </w:p>
        </w:tc>
        <w:tc>
          <w:tcPr>
            <w:tcW w:w="170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3DAD3E35"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2.25 </w:t>
            </w:r>
          </w:p>
          <w:p w14:paraId="3A383FC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(1.15)</w:t>
            </w:r>
          </w:p>
        </w:tc>
        <w:tc>
          <w:tcPr>
            <w:tcW w:w="1560" w:type="dxa"/>
            <w:tcBorders>
              <w:top w:val="single" w:sz="4" w:space="0" w:color="FFFFFF"/>
              <w:left w:val="single" w:sz="4" w:space="0" w:color="FFFFFF"/>
              <w:bottom w:val="single" w:sz="4" w:space="0" w:color="auto"/>
              <w:right w:val="single" w:sz="4" w:space="0" w:color="FFFFFF"/>
            </w:tcBorders>
            <w:shd w:val="clear" w:color="auto" w:fill="auto"/>
          </w:tcPr>
          <w:p w14:paraId="1AF3D54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1.60 </w:t>
            </w:r>
          </w:p>
          <w:p w14:paraId="17496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(0.67)</w:t>
            </w:r>
          </w:p>
        </w:tc>
        <w:tc>
          <w:tcPr>
            <w:tcW w:w="1560" w:type="dxa"/>
            <w:tcBorders>
              <w:top w:val="single" w:sz="4" w:space="0" w:color="FFFFFF"/>
              <w:left w:val="single" w:sz="4" w:space="0" w:color="FFFFFF"/>
              <w:bottom w:val="single" w:sz="4" w:space="0" w:color="auto"/>
              <w:right w:val="single" w:sz="4" w:space="0" w:color="FFFFFF"/>
            </w:tcBorders>
          </w:tcPr>
          <w:p w14:paraId="758D323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582E77C9" w14:textId="77777777" w:rsidTr="00BC61C7">
        <w:trPr>
          <w:trHeight w:val="340"/>
          <w:jc w:val="center"/>
        </w:trPr>
        <w:tc>
          <w:tcPr>
            <w:tcW w:w="2830" w:type="dxa"/>
            <w:tcBorders>
              <w:top w:val="single" w:sz="4" w:space="0" w:color="auto"/>
              <w:left w:val="single" w:sz="4" w:space="0" w:color="FFFFFF"/>
              <w:right w:val="single" w:sz="4" w:space="0" w:color="FFFFFF" w:themeColor="background1"/>
            </w:tcBorders>
            <w:vAlign w:val="center"/>
          </w:tcPr>
          <w:p w14:paraId="011648D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N</w:t>
            </w:r>
          </w:p>
        </w:tc>
        <w:tc>
          <w:tcPr>
            <w:tcW w:w="1701" w:type="dxa"/>
            <w:tcBorders>
              <w:top w:val="single" w:sz="4" w:space="0" w:color="auto"/>
              <w:left w:val="single" w:sz="4" w:space="0" w:color="FFFFFF" w:themeColor="background1"/>
              <w:right w:val="single" w:sz="4" w:space="0" w:color="FFFFFF"/>
            </w:tcBorders>
            <w:shd w:val="clear" w:color="auto" w:fill="auto"/>
            <w:vAlign w:val="center"/>
          </w:tcPr>
          <w:p w14:paraId="4EF50FE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33,024</w:t>
            </w:r>
          </w:p>
        </w:tc>
        <w:tc>
          <w:tcPr>
            <w:tcW w:w="1560" w:type="dxa"/>
            <w:tcBorders>
              <w:top w:val="single" w:sz="4" w:space="0" w:color="auto"/>
              <w:left w:val="single" w:sz="4" w:space="0" w:color="FFFFFF"/>
              <w:right w:val="single" w:sz="4" w:space="0" w:color="FFFFFF"/>
            </w:tcBorders>
            <w:shd w:val="clear" w:color="auto" w:fill="auto"/>
            <w:vAlign w:val="center"/>
          </w:tcPr>
          <w:p w14:paraId="2A70332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131,936</w:t>
            </w:r>
          </w:p>
        </w:tc>
        <w:tc>
          <w:tcPr>
            <w:tcW w:w="1560" w:type="dxa"/>
            <w:tcBorders>
              <w:top w:val="single" w:sz="4" w:space="0" w:color="auto"/>
              <w:left w:val="single" w:sz="4" w:space="0" w:color="FFFFFF"/>
              <w:right w:val="single" w:sz="4" w:space="0" w:color="FFFFFF"/>
            </w:tcBorders>
          </w:tcPr>
          <w:p w14:paraId="2D66B4AF" w14:textId="77777777" w:rsidR="00CC67B0" w:rsidRPr="00CC67B0" w:rsidRDefault="00CC67B0" w:rsidP="00CC67B0">
            <w:pPr>
              <w:spacing w:line="240" w:lineRule="auto"/>
              <w:jc w:val="center"/>
              <w:rPr>
                <w:rFonts w:ascii="Times New Roman" w:hAnsi="Times New Roman" w:cs="Times New Roman"/>
                <w:sz w:val="24"/>
                <w:szCs w:val="24"/>
              </w:rPr>
            </w:pPr>
          </w:p>
        </w:tc>
      </w:tr>
    </w:tbl>
    <w:p w14:paraId="09B64E89"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la variable de número de personas por cuartos donde duermes el número corresponde al promedio y el valor entre paréntesis a la desviación estándar. </w:t>
      </w:r>
    </w:p>
    <w:p w14:paraId="31EFA28E"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El p-valor corresponde a una prueba de diferencia de medias entre los dos grupos</w:t>
      </w:r>
    </w:p>
    <w:p w14:paraId="513BF1AF" w14:textId="79C32AFA" w:rsidR="00CC67B0" w:rsidRDefault="00CC67B0" w:rsidP="00CC67B0">
      <w:pPr>
        <w:spacing w:line="259" w:lineRule="auto"/>
        <w:jc w:val="center"/>
        <w:rPr>
          <w:rFonts w:ascii="Times New Roman" w:hAnsi="Times New Roman" w:cs="Times New Roman"/>
          <w:sz w:val="24"/>
          <w:szCs w:val="24"/>
        </w:rPr>
      </w:pPr>
      <w:r w:rsidRPr="00CC67B0">
        <w:rPr>
          <w:rFonts w:ascii="Times New Roman" w:hAnsi="Times New Roman" w:cs="Times New Roman"/>
          <w:b/>
          <w:sz w:val="24"/>
          <w:szCs w:val="24"/>
        </w:rPr>
        <w:t xml:space="preserve">Fuente: </w:t>
      </w:r>
      <w:r w:rsidRPr="00CC67B0">
        <w:rPr>
          <w:rFonts w:ascii="Times New Roman" w:hAnsi="Times New Roman" w:cs="Times New Roman"/>
          <w:sz w:val="24"/>
          <w:szCs w:val="24"/>
        </w:rPr>
        <w:t>GEIH 2018, cálculos propios.</w:t>
      </w:r>
    </w:p>
    <w:p w14:paraId="4F54ABFC" w14:textId="77777777" w:rsidR="001B25C5" w:rsidRPr="00CC67B0" w:rsidRDefault="001B25C5" w:rsidP="00CC67B0">
      <w:pPr>
        <w:spacing w:line="259" w:lineRule="auto"/>
        <w:jc w:val="center"/>
        <w:rPr>
          <w:rFonts w:ascii="Times New Roman" w:hAnsi="Times New Roman" w:cs="Times New Roman"/>
          <w:sz w:val="24"/>
          <w:szCs w:val="24"/>
        </w:rPr>
      </w:pPr>
    </w:p>
    <w:p w14:paraId="49311FD6" w14:textId="77777777" w:rsidR="001B25C5" w:rsidRPr="001B25C5" w:rsidRDefault="001B25C5" w:rsidP="001B25C5">
      <w:pPr>
        <w:jc w:val="center"/>
        <w:rPr>
          <w:rFonts w:ascii="Times New Roman" w:hAnsi="Times New Roman" w:cs="Times New Roman"/>
          <w:b/>
          <w:bCs/>
          <w:i/>
          <w:iCs/>
          <w:sz w:val="24"/>
          <w:szCs w:val="24"/>
        </w:rPr>
      </w:pPr>
      <w:r w:rsidRPr="001B25C5">
        <w:rPr>
          <w:rFonts w:ascii="Times New Roman" w:hAnsi="Times New Roman" w:cs="Times New Roman"/>
          <w:b/>
          <w:bCs/>
          <w:sz w:val="24"/>
          <w:szCs w:val="24"/>
        </w:rPr>
        <w:t xml:space="preserve">Tabla 2. Estadísticas descriptivas (base </w:t>
      </w:r>
      <w:r w:rsidRPr="001B25C5">
        <w:rPr>
          <w:rFonts w:ascii="Times New Roman" w:hAnsi="Times New Roman" w:cs="Times New Roman"/>
          <w:b/>
          <w:bCs/>
          <w:i/>
          <w:iCs/>
          <w:sz w:val="24"/>
          <w:szCs w:val="24"/>
        </w:rPr>
        <w:t>test)*</w:t>
      </w:r>
    </w:p>
    <w:tbl>
      <w:tblPr>
        <w:tblStyle w:val="Tablaconcuadrcula"/>
        <w:tblW w:w="0" w:type="auto"/>
        <w:jc w:val="center"/>
        <w:tblLook w:val="04A0" w:firstRow="1" w:lastRow="0" w:firstColumn="1" w:lastColumn="0" w:noHBand="0" w:noVBand="1"/>
      </w:tblPr>
      <w:tblGrid>
        <w:gridCol w:w="2376"/>
        <w:gridCol w:w="2581"/>
      </w:tblGrid>
      <w:tr w:rsidR="001B25C5" w:rsidRPr="001B25C5" w14:paraId="0BC13B16" w14:textId="77777777" w:rsidTr="00612F50">
        <w:trPr>
          <w:trHeight w:val="283"/>
          <w:jc w:val="center"/>
        </w:trPr>
        <w:tc>
          <w:tcPr>
            <w:tcW w:w="2376" w:type="dxa"/>
            <w:tcBorders>
              <w:top w:val="single" w:sz="4" w:space="0" w:color="FFFFFF"/>
              <w:left w:val="single" w:sz="4" w:space="0" w:color="FFFFFF"/>
              <w:right w:val="single" w:sz="4" w:space="0" w:color="FFFFFF" w:themeColor="background1"/>
            </w:tcBorders>
          </w:tcPr>
          <w:p w14:paraId="7C9F20DE" w14:textId="77777777" w:rsidR="001B25C5" w:rsidRPr="001B25C5" w:rsidRDefault="001B25C5" w:rsidP="00612F50">
            <w:pPr>
              <w:jc w:val="center"/>
              <w:rPr>
                <w:rFonts w:ascii="Times New Roman" w:hAnsi="Times New Roman" w:cs="Times New Roman"/>
                <w:b/>
                <w:sz w:val="24"/>
                <w:szCs w:val="24"/>
              </w:rPr>
            </w:pPr>
            <w:r w:rsidRPr="001B25C5">
              <w:rPr>
                <w:rFonts w:ascii="Times New Roman" w:hAnsi="Times New Roman" w:cs="Times New Roman"/>
                <w:b/>
                <w:sz w:val="24"/>
                <w:szCs w:val="24"/>
              </w:rPr>
              <w:t>Variables</w:t>
            </w:r>
          </w:p>
        </w:tc>
        <w:tc>
          <w:tcPr>
            <w:tcW w:w="2581" w:type="dxa"/>
            <w:tcBorders>
              <w:top w:val="single" w:sz="4" w:space="0" w:color="FFFFFF"/>
              <w:left w:val="single" w:sz="4" w:space="0" w:color="FFFFFF" w:themeColor="background1"/>
              <w:right w:val="single" w:sz="4" w:space="0" w:color="FFFFFF"/>
            </w:tcBorders>
          </w:tcPr>
          <w:p w14:paraId="7FBCDEEE" w14:textId="77777777" w:rsidR="001B25C5" w:rsidRPr="001B25C5" w:rsidRDefault="001B25C5" w:rsidP="00612F50">
            <w:pPr>
              <w:jc w:val="center"/>
              <w:rPr>
                <w:rFonts w:ascii="Times New Roman" w:hAnsi="Times New Roman" w:cs="Times New Roman"/>
                <w:b/>
                <w:iCs/>
                <w:sz w:val="24"/>
                <w:szCs w:val="24"/>
              </w:rPr>
            </w:pPr>
            <w:r w:rsidRPr="001B25C5">
              <w:rPr>
                <w:rFonts w:ascii="Times New Roman" w:hAnsi="Times New Roman" w:cs="Times New Roman"/>
                <w:b/>
                <w:iCs/>
                <w:sz w:val="24"/>
                <w:szCs w:val="24"/>
              </w:rPr>
              <w:t>Proporción</w:t>
            </w:r>
          </w:p>
        </w:tc>
      </w:tr>
      <w:tr w:rsidR="001B25C5" w:rsidRPr="001B25C5" w14:paraId="47B20CB4" w14:textId="77777777" w:rsidTr="00612F50">
        <w:trPr>
          <w:trHeight w:val="340"/>
          <w:jc w:val="center"/>
        </w:trPr>
        <w:tc>
          <w:tcPr>
            <w:tcW w:w="2376" w:type="dxa"/>
            <w:tcBorders>
              <w:left w:val="single" w:sz="4" w:space="0" w:color="FFFFFF"/>
              <w:bottom w:val="single" w:sz="4" w:space="0" w:color="FFFFFF"/>
              <w:right w:val="single" w:sz="4" w:space="0" w:color="FFFFFF" w:themeColor="background1"/>
            </w:tcBorders>
          </w:tcPr>
          <w:p w14:paraId="0F0480C1"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lastRenderedPageBreak/>
              <w:t>Subsidiado</w:t>
            </w:r>
          </w:p>
          <w:p w14:paraId="3ACC23B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left w:val="single" w:sz="4" w:space="0" w:color="FFFFFF" w:themeColor="background1"/>
              <w:bottom w:val="single" w:sz="4" w:space="0" w:color="FFFFFF"/>
              <w:right w:val="single" w:sz="4" w:space="0" w:color="FFFFFF"/>
            </w:tcBorders>
            <w:shd w:val="clear" w:color="auto" w:fill="auto"/>
          </w:tcPr>
          <w:p w14:paraId="4482CE6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37,175 </w:t>
            </w:r>
          </w:p>
          <w:p w14:paraId="6935956B"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(56.2)</w:t>
            </w:r>
          </w:p>
        </w:tc>
      </w:tr>
      <w:tr w:rsidR="001B25C5" w:rsidRPr="001B25C5" w14:paraId="23866959"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49E1F4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familiar</w:t>
            </w:r>
          </w:p>
          <w:p w14:paraId="112277A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255167C"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8,723 </w:t>
            </w:r>
          </w:p>
          <w:p w14:paraId="454C8490"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(13.2)</w:t>
            </w:r>
          </w:p>
        </w:tc>
      </w:tr>
      <w:tr w:rsidR="001B25C5" w:rsidRPr="001B25C5" w14:paraId="22FAF805"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7684376C"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educativo</w:t>
            </w:r>
          </w:p>
          <w:p w14:paraId="494F1E00"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B3EB1E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140 </w:t>
            </w:r>
          </w:p>
          <w:p w14:paraId="2F3BC4D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(0.2)</w:t>
            </w:r>
          </w:p>
        </w:tc>
      </w:tr>
      <w:tr w:rsidR="001B25C5" w:rsidRPr="001B25C5" w14:paraId="24659F6C"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109AD17"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hogares nal.</w:t>
            </w:r>
          </w:p>
          <w:p w14:paraId="3B41F39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C2AD672"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15,430 </w:t>
            </w:r>
          </w:p>
          <w:p w14:paraId="4271D78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(23.3)</w:t>
            </w:r>
          </w:p>
        </w:tc>
      </w:tr>
      <w:tr w:rsidR="001B25C5" w:rsidRPr="001B25C5" w14:paraId="46945D9D"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9A1BC1D"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hogares extr.</w:t>
            </w:r>
          </w:p>
          <w:p w14:paraId="7CBA821E"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A1EB41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1,326 </w:t>
            </w:r>
          </w:p>
          <w:p w14:paraId="26EF54C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(2.0)</w:t>
            </w:r>
          </w:p>
        </w:tc>
      </w:tr>
      <w:tr w:rsidR="001B25C5" w:rsidRPr="001B25C5" w14:paraId="0B7A20B2"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44D82B8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instituciones</w:t>
            </w:r>
          </w:p>
          <w:p w14:paraId="340A853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2A4E75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10,398 </w:t>
            </w:r>
          </w:p>
          <w:p w14:paraId="5B4BF16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(15.7)</w:t>
            </w:r>
          </w:p>
        </w:tc>
      </w:tr>
      <w:tr w:rsidR="001B25C5" w:rsidRPr="001B25C5" w14:paraId="4E0B5996"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744F952"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Profesional</w:t>
            </w:r>
          </w:p>
          <w:p w14:paraId="5C1DA28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F0991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58,355 </w:t>
            </w:r>
          </w:p>
          <w:p w14:paraId="642DD9D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(88.2)</w:t>
            </w:r>
          </w:p>
        </w:tc>
      </w:tr>
      <w:tr w:rsidR="001B25C5" w:rsidRPr="001B25C5" w14:paraId="3CB559E6" w14:textId="77777777" w:rsidTr="00612F50">
        <w:trPr>
          <w:trHeight w:val="340"/>
          <w:jc w:val="center"/>
        </w:trPr>
        <w:tc>
          <w:tcPr>
            <w:tcW w:w="2376" w:type="dxa"/>
            <w:tcBorders>
              <w:top w:val="single" w:sz="4" w:space="0" w:color="FFFFFF"/>
              <w:left w:val="single" w:sz="4" w:space="0" w:color="FFFFFF"/>
              <w:bottom w:val="single" w:sz="4" w:space="0" w:color="auto"/>
              <w:right w:val="single" w:sz="4" w:space="0" w:color="FFFFFF" w:themeColor="background1"/>
            </w:tcBorders>
          </w:tcPr>
          <w:p w14:paraId="24789DB8"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Personas x</w:t>
            </w:r>
          </w:p>
          <w:p w14:paraId="4247679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 cuarto</w:t>
            </w:r>
          </w:p>
        </w:tc>
        <w:tc>
          <w:tcPr>
            <w:tcW w:w="258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485E248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1.73 </w:t>
            </w:r>
          </w:p>
          <w:p w14:paraId="5EAD62D4"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(0.83)</w:t>
            </w:r>
          </w:p>
        </w:tc>
      </w:tr>
      <w:tr w:rsidR="001B25C5" w:rsidRPr="001B25C5" w14:paraId="6919994C" w14:textId="77777777" w:rsidTr="00612F50">
        <w:trPr>
          <w:trHeight w:val="340"/>
          <w:jc w:val="center"/>
        </w:trPr>
        <w:tc>
          <w:tcPr>
            <w:tcW w:w="2376" w:type="dxa"/>
            <w:tcBorders>
              <w:top w:val="single" w:sz="4" w:space="0" w:color="auto"/>
              <w:left w:val="single" w:sz="4" w:space="0" w:color="FFFFFF"/>
              <w:right w:val="single" w:sz="4" w:space="0" w:color="FFFFFF" w:themeColor="background1"/>
            </w:tcBorders>
          </w:tcPr>
          <w:p w14:paraId="1446A23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N</w:t>
            </w:r>
          </w:p>
        </w:tc>
        <w:tc>
          <w:tcPr>
            <w:tcW w:w="2581" w:type="dxa"/>
            <w:tcBorders>
              <w:top w:val="single" w:sz="4" w:space="0" w:color="auto"/>
              <w:left w:val="single" w:sz="4" w:space="0" w:color="FFFFFF" w:themeColor="background1"/>
              <w:right w:val="single" w:sz="4" w:space="0" w:color="FFFFFF"/>
            </w:tcBorders>
            <w:shd w:val="clear" w:color="auto" w:fill="auto"/>
          </w:tcPr>
          <w:p w14:paraId="74C9499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66,168</w:t>
            </w:r>
          </w:p>
        </w:tc>
      </w:tr>
    </w:tbl>
    <w:p w14:paraId="161AD84C" w14:textId="77777777" w:rsidR="001B25C5" w:rsidRPr="001B25C5" w:rsidRDefault="001B25C5" w:rsidP="001B25C5">
      <w:pPr>
        <w:pStyle w:val="Prrafodelista"/>
        <w:spacing w:before="240"/>
        <w:jc w:val="both"/>
        <w:rPr>
          <w:rFonts w:ascii="Times New Roman" w:hAnsi="Times New Roman" w:cs="Times New Roman"/>
          <w:sz w:val="20"/>
          <w:szCs w:val="24"/>
        </w:rPr>
      </w:pPr>
      <w:r w:rsidRPr="001B25C5">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el número de personas por cuartos donde duermes el número corresponde al promedio y el valor entre paréntesis a la desviación estándar. </w:t>
      </w:r>
    </w:p>
    <w:p w14:paraId="1EE88D5D" w14:textId="77777777" w:rsidR="001B25C5" w:rsidRPr="001B25C5" w:rsidRDefault="001B25C5" w:rsidP="001B25C5">
      <w:pPr>
        <w:jc w:val="center"/>
        <w:rPr>
          <w:rFonts w:ascii="Times New Roman" w:hAnsi="Times New Roman" w:cs="Times New Roman"/>
          <w:sz w:val="24"/>
          <w:szCs w:val="24"/>
        </w:rPr>
      </w:pPr>
      <w:r w:rsidRPr="001B25C5">
        <w:rPr>
          <w:rFonts w:ascii="Times New Roman" w:hAnsi="Times New Roman" w:cs="Times New Roman"/>
          <w:b/>
          <w:sz w:val="24"/>
          <w:szCs w:val="24"/>
        </w:rPr>
        <w:t xml:space="preserve">Fuente: </w:t>
      </w:r>
      <w:r w:rsidRPr="001B25C5">
        <w:rPr>
          <w:rFonts w:ascii="Times New Roman" w:hAnsi="Times New Roman" w:cs="Times New Roman"/>
          <w:sz w:val="24"/>
          <w:szCs w:val="24"/>
        </w:rPr>
        <w:t>GEIH 2018, cálculos propios.</w:t>
      </w:r>
    </w:p>
    <w:p w14:paraId="3EA52FC4" w14:textId="5B73D1CA" w:rsidR="001446BE" w:rsidRDefault="001446BE" w:rsidP="008C7272">
      <w:pPr>
        <w:jc w:val="both"/>
        <w:rPr>
          <w:rFonts w:ascii="Times New Roman" w:hAnsi="Times New Roman" w:cs="Times New Roman"/>
          <w:sz w:val="24"/>
          <w:szCs w:val="24"/>
        </w:rPr>
      </w:pPr>
    </w:p>
    <w:p w14:paraId="235B616B" w14:textId="77777777" w:rsidR="00947A14" w:rsidRPr="00947A14" w:rsidRDefault="00947A14" w:rsidP="00947A14">
      <w:pPr>
        <w:spacing w:before="240"/>
        <w:jc w:val="center"/>
        <w:rPr>
          <w:rFonts w:ascii="Times New Roman" w:hAnsi="Times New Roman" w:cs="Times New Roman"/>
          <w:b/>
          <w:bCs/>
          <w:sz w:val="24"/>
          <w:szCs w:val="24"/>
        </w:rPr>
      </w:pPr>
      <w:r w:rsidRPr="00947A14">
        <w:rPr>
          <w:rFonts w:ascii="Times New Roman" w:hAnsi="Times New Roman" w:cs="Times New Roman"/>
          <w:b/>
          <w:bCs/>
          <w:sz w:val="24"/>
          <w:szCs w:val="24"/>
        </w:rPr>
        <w:t xml:space="preserve">Tabla 3. Modelo </w:t>
      </w:r>
      <w:r w:rsidRPr="00947A14">
        <w:rPr>
          <w:rFonts w:ascii="Times New Roman" w:hAnsi="Times New Roman" w:cs="Times New Roman"/>
          <w:b/>
          <w:bCs/>
          <w:i/>
          <w:iCs/>
          <w:sz w:val="24"/>
          <w:szCs w:val="24"/>
        </w:rPr>
        <w:t>logit</w:t>
      </w:r>
    </w:p>
    <w:tbl>
      <w:tblPr>
        <w:tblStyle w:val="Tablaconcuadrcula"/>
        <w:tblW w:w="0" w:type="auto"/>
        <w:jc w:val="center"/>
        <w:tblLook w:val="04A0" w:firstRow="1" w:lastRow="0" w:firstColumn="1" w:lastColumn="0" w:noHBand="0" w:noVBand="1"/>
      </w:tblPr>
      <w:tblGrid>
        <w:gridCol w:w="1701"/>
        <w:gridCol w:w="1984"/>
      </w:tblGrid>
      <w:tr w:rsidR="00947A14" w:rsidRPr="00947A14" w14:paraId="4A72C40E" w14:textId="77777777" w:rsidTr="00612F50">
        <w:trPr>
          <w:jc w:val="center"/>
        </w:trPr>
        <w:tc>
          <w:tcPr>
            <w:tcW w:w="1701" w:type="dxa"/>
            <w:tcBorders>
              <w:left w:val="single" w:sz="4" w:space="0" w:color="FFFFFF"/>
              <w:right w:val="single" w:sz="4" w:space="0" w:color="FFFFFF"/>
            </w:tcBorders>
          </w:tcPr>
          <w:p w14:paraId="03B5062A" w14:textId="77777777" w:rsidR="00947A14" w:rsidRPr="00947A14" w:rsidRDefault="00947A14" w:rsidP="00612F50">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52BA26E3" w14:textId="77777777" w:rsidR="00947A14" w:rsidRPr="00947A14" w:rsidRDefault="00947A14" w:rsidP="00612F50">
            <w:pPr>
              <w:jc w:val="center"/>
              <w:rPr>
                <w:rFonts w:ascii="Times New Roman" w:hAnsi="Times New Roman" w:cs="Times New Roman"/>
                <w:b/>
                <w:sz w:val="24"/>
                <w:szCs w:val="24"/>
              </w:rPr>
            </w:pPr>
            <w:r w:rsidRPr="00947A14">
              <w:rPr>
                <w:rFonts w:ascii="Times New Roman" w:hAnsi="Times New Roman" w:cs="Times New Roman"/>
                <w:b/>
                <w:sz w:val="24"/>
                <w:szCs w:val="24"/>
              </w:rPr>
              <w:t>Pobre</w:t>
            </w:r>
          </w:p>
        </w:tc>
      </w:tr>
      <w:tr w:rsidR="00947A14" w:rsidRPr="00947A14" w14:paraId="22D0D967" w14:textId="77777777" w:rsidTr="00612F50">
        <w:trPr>
          <w:jc w:val="center"/>
        </w:trPr>
        <w:tc>
          <w:tcPr>
            <w:tcW w:w="1701" w:type="dxa"/>
            <w:tcBorders>
              <w:left w:val="single" w:sz="4" w:space="0" w:color="FFFFFF"/>
              <w:right w:val="single" w:sz="4" w:space="0" w:color="FFFFFF"/>
            </w:tcBorders>
          </w:tcPr>
          <w:p w14:paraId="2FD83503" w14:textId="77777777" w:rsidR="00947A14" w:rsidRPr="00947A14" w:rsidRDefault="00947A14" w:rsidP="00612F50">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4768B76" w14:textId="77777777" w:rsidR="00947A14" w:rsidRPr="00947A14" w:rsidRDefault="00947A14" w:rsidP="00612F50">
            <w:pPr>
              <w:jc w:val="center"/>
              <w:rPr>
                <w:rFonts w:ascii="Times New Roman" w:hAnsi="Times New Roman" w:cs="Times New Roman"/>
                <w:b/>
                <w:sz w:val="24"/>
                <w:szCs w:val="24"/>
              </w:rPr>
            </w:pPr>
            <w:r w:rsidRPr="00947A14">
              <w:rPr>
                <w:rFonts w:ascii="Times New Roman" w:hAnsi="Times New Roman" w:cs="Times New Roman"/>
                <w:b/>
                <w:sz w:val="24"/>
                <w:szCs w:val="24"/>
              </w:rPr>
              <w:t>(2)</w:t>
            </w:r>
          </w:p>
        </w:tc>
      </w:tr>
      <w:tr w:rsidR="00947A14" w:rsidRPr="00947A14" w14:paraId="6FED826D" w14:textId="77777777" w:rsidTr="00612F50">
        <w:trPr>
          <w:trHeight w:val="567"/>
          <w:jc w:val="center"/>
        </w:trPr>
        <w:tc>
          <w:tcPr>
            <w:tcW w:w="1701" w:type="dxa"/>
            <w:tcBorders>
              <w:left w:val="single" w:sz="4" w:space="0" w:color="FFFFFF"/>
              <w:bottom w:val="single" w:sz="4" w:space="0" w:color="FFFFFF"/>
              <w:right w:val="single" w:sz="4" w:space="0" w:color="FFFFFF"/>
            </w:tcBorders>
          </w:tcPr>
          <w:p w14:paraId="41310C59"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B39A8F"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 xml:space="preserve">-2.05*** </w:t>
            </w:r>
          </w:p>
          <w:p w14:paraId="323D2CD4"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(0.03)</w:t>
            </w:r>
          </w:p>
        </w:tc>
        <w:bookmarkStart w:id="0" w:name="_GoBack"/>
        <w:bookmarkEnd w:id="0"/>
      </w:tr>
      <w:tr w:rsidR="00947A14" w:rsidRPr="00947A14" w14:paraId="7AAB9632"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05B17F65"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Subsidiado (=1)</w:t>
            </w:r>
          </w:p>
        </w:tc>
        <w:tc>
          <w:tcPr>
            <w:tcW w:w="1984" w:type="dxa"/>
            <w:tcBorders>
              <w:top w:val="single" w:sz="4" w:space="0" w:color="FFFFFF"/>
              <w:left w:val="single" w:sz="4" w:space="0" w:color="FFFFFF"/>
              <w:bottom w:val="single" w:sz="4" w:space="0" w:color="FFFFFF"/>
              <w:right w:val="single" w:sz="4" w:space="0" w:color="FFFFFF"/>
            </w:tcBorders>
          </w:tcPr>
          <w:p w14:paraId="0570F979"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1.22***</w:t>
            </w:r>
          </w:p>
          <w:p w14:paraId="5A1F37C6"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(0.02)</w:t>
            </w:r>
          </w:p>
        </w:tc>
      </w:tr>
      <w:tr w:rsidR="00947A14" w:rsidRPr="00947A14" w14:paraId="21F84E11"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23ADF241"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Ayuda instit. (=1)</w:t>
            </w:r>
          </w:p>
        </w:tc>
        <w:tc>
          <w:tcPr>
            <w:tcW w:w="1984" w:type="dxa"/>
            <w:tcBorders>
              <w:top w:val="single" w:sz="4" w:space="0" w:color="FFFFFF"/>
              <w:left w:val="single" w:sz="4" w:space="0" w:color="FFFFFF"/>
              <w:bottom w:val="single" w:sz="4" w:space="0" w:color="FFFFFF"/>
              <w:right w:val="single" w:sz="4" w:space="0" w:color="FFFFFF"/>
            </w:tcBorders>
          </w:tcPr>
          <w:p w14:paraId="63336547"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0.46***</w:t>
            </w:r>
          </w:p>
          <w:p w14:paraId="45C14170"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(0.02)</w:t>
            </w:r>
          </w:p>
        </w:tc>
      </w:tr>
      <w:tr w:rsidR="00947A14" w:rsidRPr="00947A14" w14:paraId="1FD2B280"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4DD796A0"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Personas x cuarto</w:t>
            </w:r>
          </w:p>
        </w:tc>
        <w:tc>
          <w:tcPr>
            <w:tcW w:w="1984" w:type="dxa"/>
            <w:tcBorders>
              <w:top w:val="single" w:sz="4" w:space="0" w:color="FFFFFF"/>
              <w:left w:val="single" w:sz="4" w:space="0" w:color="FFFFFF"/>
              <w:bottom w:val="single" w:sz="4" w:space="0" w:color="FFFFFF"/>
              <w:right w:val="single" w:sz="4" w:space="0" w:color="FFFFFF"/>
            </w:tcBorders>
          </w:tcPr>
          <w:p w14:paraId="62BA57A8"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0.65***</w:t>
            </w:r>
          </w:p>
          <w:p w14:paraId="21C1B893"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(0.01)</w:t>
            </w:r>
          </w:p>
        </w:tc>
      </w:tr>
      <w:tr w:rsidR="00947A14" w:rsidRPr="00947A14" w14:paraId="261CA4FA"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71169CD5"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Educación promedio</w:t>
            </w:r>
          </w:p>
        </w:tc>
        <w:tc>
          <w:tcPr>
            <w:tcW w:w="1984" w:type="dxa"/>
            <w:tcBorders>
              <w:top w:val="single" w:sz="4" w:space="0" w:color="FFFFFF"/>
              <w:left w:val="single" w:sz="4" w:space="0" w:color="FFFFFF"/>
              <w:bottom w:val="single" w:sz="4" w:space="0" w:color="FFFFFF"/>
              <w:right w:val="single" w:sz="4" w:space="0" w:color="FFFFFF"/>
            </w:tcBorders>
          </w:tcPr>
          <w:p w14:paraId="0B8B8A66"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-0.12***</w:t>
            </w:r>
          </w:p>
          <w:p w14:paraId="034917A4"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(0.00)</w:t>
            </w:r>
          </w:p>
        </w:tc>
      </w:tr>
      <w:tr w:rsidR="00947A14" w:rsidRPr="00947A14" w14:paraId="30F40614" w14:textId="77777777" w:rsidTr="00612F50">
        <w:trPr>
          <w:jc w:val="center"/>
        </w:trPr>
        <w:tc>
          <w:tcPr>
            <w:tcW w:w="1701" w:type="dxa"/>
            <w:tcBorders>
              <w:left w:val="single" w:sz="4" w:space="0" w:color="FFFFFF"/>
              <w:bottom w:val="single" w:sz="4" w:space="0" w:color="FFFFFF"/>
              <w:right w:val="single" w:sz="4" w:space="0" w:color="FFFFFF"/>
            </w:tcBorders>
          </w:tcPr>
          <w:p w14:paraId="33F1DFB8"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AIC</w:t>
            </w:r>
          </w:p>
        </w:tc>
        <w:tc>
          <w:tcPr>
            <w:tcW w:w="1984" w:type="dxa"/>
            <w:tcBorders>
              <w:left w:val="single" w:sz="4" w:space="0" w:color="FFFFFF"/>
              <w:bottom w:val="single" w:sz="4" w:space="0" w:color="FFFFFF"/>
              <w:right w:val="single" w:sz="4" w:space="0" w:color="FFFFFF"/>
            </w:tcBorders>
          </w:tcPr>
          <w:p w14:paraId="6120589A"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131,898.54</w:t>
            </w:r>
          </w:p>
        </w:tc>
      </w:tr>
      <w:tr w:rsidR="00947A14" w:rsidRPr="00947A14" w14:paraId="349BC7EB" w14:textId="77777777" w:rsidTr="00612F50">
        <w:trPr>
          <w:jc w:val="center"/>
        </w:trPr>
        <w:tc>
          <w:tcPr>
            <w:tcW w:w="1701" w:type="dxa"/>
            <w:tcBorders>
              <w:top w:val="single" w:sz="4" w:space="0" w:color="FFFFFF"/>
              <w:left w:val="single" w:sz="4" w:space="0" w:color="FFFFFF"/>
              <w:bottom w:val="single" w:sz="4" w:space="0" w:color="FFFFFF"/>
              <w:right w:val="single" w:sz="4" w:space="0" w:color="FFFFFF"/>
            </w:tcBorders>
          </w:tcPr>
          <w:p w14:paraId="1C9A09F4"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BIC</w:t>
            </w:r>
          </w:p>
        </w:tc>
        <w:tc>
          <w:tcPr>
            <w:tcW w:w="1984" w:type="dxa"/>
            <w:tcBorders>
              <w:top w:val="single" w:sz="4" w:space="0" w:color="FFFFFF"/>
              <w:left w:val="single" w:sz="4" w:space="0" w:color="FFFFFF"/>
              <w:bottom w:val="single" w:sz="4" w:space="0" w:color="FFFFFF"/>
              <w:right w:val="single" w:sz="4" w:space="0" w:color="FFFFFF"/>
            </w:tcBorders>
          </w:tcPr>
          <w:p w14:paraId="5C7CA391"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131,948.61</w:t>
            </w:r>
          </w:p>
        </w:tc>
      </w:tr>
      <w:tr w:rsidR="00947A14" w:rsidRPr="00947A14" w14:paraId="63B44B72" w14:textId="77777777" w:rsidTr="00612F50">
        <w:trPr>
          <w:jc w:val="center"/>
        </w:trPr>
        <w:tc>
          <w:tcPr>
            <w:tcW w:w="1701" w:type="dxa"/>
            <w:tcBorders>
              <w:top w:val="single" w:sz="4" w:space="0" w:color="FFFFFF"/>
              <w:left w:val="single" w:sz="4" w:space="0" w:color="FFFFFF"/>
              <w:right w:val="single" w:sz="4" w:space="0" w:color="FFFFFF"/>
            </w:tcBorders>
          </w:tcPr>
          <w:p w14:paraId="57515ED5"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67AFF0C3" w14:textId="77777777" w:rsidR="00947A14" w:rsidRPr="00947A14" w:rsidRDefault="00947A14" w:rsidP="00612F50">
            <w:pPr>
              <w:jc w:val="center"/>
              <w:rPr>
                <w:rFonts w:ascii="Times New Roman" w:hAnsi="Times New Roman" w:cs="Times New Roman"/>
                <w:sz w:val="24"/>
                <w:szCs w:val="24"/>
              </w:rPr>
            </w:pPr>
            <w:r w:rsidRPr="00947A14">
              <w:rPr>
                <w:rFonts w:ascii="Times New Roman" w:hAnsi="Times New Roman" w:cs="Times New Roman"/>
                <w:sz w:val="24"/>
                <w:szCs w:val="24"/>
              </w:rPr>
              <w:t>164,960</w:t>
            </w:r>
          </w:p>
        </w:tc>
      </w:tr>
    </w:tbl>
    <w:p w14:paraId="16BF2FC1" w14:textId="77777777" w:rsidR="00947A14" w:rsidRPr="00947A14" w:rsidRDefault="00947A14" w:rsidP="00947A14">
      <w:pPr>
        <w:jc w:val="center"/>
        <w:rPr>
          <w:rFonts w:ascii="Times New Roman" w:hAnsi="Times New Roman" w:cs="Times New Roman"/>
          <w:i/>
          <w:szCs w:val="24"/>
        </w:rPr>
      </w:pPr>
      <w:r w:rsidRPr="00947A14">
        <w:rPr>
          <w:rFonts w:ascii="Times New Roman" w:hAnsi="Times New Roman" w:cs="Times New Roman"/>
          <w:i/>
          <w:szCs w:val="24"/>
        </w:rPr>
        <w:t>***p &lt; 0.001; **p &lt; 0.01; *p &lt; 0.05</w:t>
      </w:r>
    </w:p>
    <w:p w14:paraId="05442C12" w14:textId="11952EEE" w:rsidR="00947A14" w:rsidRDefault="00947A14" w:rsidP="00947A14">
      <w:pPr>
        <w:jc w:val="center"/>
        <w:rPr>
          <w:rFonts w:ascii="Times New Roman" w:hAnsi="Times New Roman" w:cs="Times New Roman"/>
          <w:sz w:val="24"/>
          <w:szCs w:val="24"/>
        </w:rPr>
      </w:pPr>
      <w:r w:rsidRPr="00947A14">
        <w:rPr>
          <w:rFonts w:ascii="Times New Roman" w:hAnsi="Times New Roman" w:cs="Times New Roman"/>
          <w:b/>
          <w:sz w:val="24"/>
          <w:szCs w:val="24"/>
        </w:rPr>
        <w:t xml:space="preserve">Fuente: </w:t>
      </w:r>
      <w:r w:rsidRPr="00947A14">
        <w:rPr>
          <w:rFonts w:ascii="Times New Roman" w:hAnsi="Times New Roman" w:cs="Times New Roman"/>
          <w:sz w:val="24"/>
          <w:szCs w:val="24"/>
        </w:rPr>
        <w:t>GEIH 2018, cálculos propios.</w:t>
      </w:r>
      <w:r>
        <w:rPr>
          <w:rFonts w:ascii="Times New Roman" w:hAnsi="Times New Roman" w:cs="Times New Roman"/>
          <w:sz w:val="24"/>
          <w:szCs w:val="24"/>
        </w:rPr>
        <w:t xml:space="preserve"> </w:t>
      </w: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1CC8E" w14:textId="77777777" w:rsidR="002A2EEB" w:rsidRDefault="002A2EEB" w:rsidP="00130B06">
      <w:pPr>
        <w:spacing w:after="0" w:line="240" w:lineRule="auto"/>
      </w:pPr>
      <w:r>
        <w:separator/>
      </w:r>
    </w:p>
  </w:endnote>
  <w:endnote w:type="continuationSeparator" w:id="0">
    <w:p w14:paraId="7CD3516A" w14:textId="77777777" w:rsidR="002A2EEB" w:rsidRDefault="002A2EEB"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r w:rsidRPr="005B793A">
        <w:rPr>
          <w:rFonts w:ascii="Times New Roman" w:hAnsi="Times New Roman" w:cs="Times New Roman"/>
          <w:i/>
          <w:iCs/>
          <w:sz w:val="22"/>
          <w:szCs w:val="22"/>
        </w:rPr>
        <w:t>train</w:t>
      </w:r>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Two-Class Summary</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Cross Validation (CV)</w:t>
      </w:r>
      <w:r w:rsidRPr="00605305">
        <w:rPr>
          <w:rFonts w:ascii="Times New Roman" w:hAnsi="Times New Roman" w:cs="Times New Roman"/>
          <w:sz w:val="22"/>
          <w:szCs w:val="22"/>
        </w:rPr>
        <w:t xml:space="preserve">; (3)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Up-sampling</w:t>
      </w:r>
      <w:r w:rsidRPr="00605305">
        <w:rPr>
          <w:rFonts w:ascii="Times New Roman" w:hAnsi="Times New Roman" w:cs="Times New Roman"/>
          <w:sz w:val="22"/>
          <w:szCs w:val="22"/>
        </w:rPr>
        <w:t xml:space="preserve">; y (6)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Down-sampling.</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Up-sampling</w:t>
      </w:r>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Down-sampling</w:t>
      </w:r>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r w:rsidRPr="00605305">
        <w:rPr>
          <w:rFonts w:ascii="Times New Roman" w:hAnsi="Times New Roman" w:cs="Times New Roman"/>
          <w:i/>
          <w:iCs/>
          <w:sz w:val="22"/>
          <w:szCs w:val="22"/>
        </w:rPr>
        <w:t>Sensitivity</w:t>
      </w:r>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Operating Characteristic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r w:rsidRPr="000B1BAC">
        <w:rPr>
          <w:rFonts w:ascii="Times New Roman" w:eastAsiaTheme="minorEastAsia" w:hAnsi="Times New Roman" w:cs="Times New Roman"/>
          <w:i/>
          <w:iCs/>
          <w:sz w:val="22"/>
          <w:szCs w:val="22"/>
        </w:rPr>
        <w:t>Best Subset Selection</w:t>
      </w:r>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r w:rsidRPr="000B1BAC">
        <w:rPr>
          <w:rFonts w:ascii="Times New Roman" w:eastAsiaTheme="minorEastAsia" w:hAnsi="Times New Roman" w:cs="Times New Roman"/>
          <w:i/>
          <w:iCs/>
          <w:sz w:val="22"/>
          <w:szCs w:val="22"/>
        </w:rPr>
        <w:t>Backward Stepwise Selection</w:t>
      </w:r>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Este método es una combinación de las penalizaciones que imponen sobre los coeficientes lasso y ridge,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5-fold Cross Validation</w:t>
      </w:r>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En el modelo existen dos hiperparámetros: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que es el hiperparámetro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(Lp) por el número de personas en la unidad de gasto, puesto que la Lp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r w:rsidRPr="00605305">
        <w:rPr>
          <w:rFonts w:ascii="Times New Roman" w:hAnsi="Times New Roman" w:cs="Times New Roman"/>
          <w:i/>
          <w:iCs/>
          <w:sz w:val="22"/>
          <w:szCs w:val="22"/>
        </w:rPr>
        <w:t>Specificity</w:t>
      </w:r>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Textonotaalfinal"/>
      </w:pPr>
      <w:r w:rsidRPr="00605305">
        <w:rPr>
          <w:rStyle w:val="Refdenotaalfinal"/>
          <w:sz w:val="22"/>
          <w:szCs w:val="22"/>
        </w:rPr>
        <w:endnoteRef/>
      </w:r>
      <w:r w:rsidRPr="00605305">
        <w:rPr>
          <w:sz w:val="22"/>
          <w:szCs w:val="22"/>
        </w:rPr>
        <w:t xml:space="preserve"> </w:t>
      </w:r>
      <w:r w:rsidRPr="00605305">
        <w:rPr>
          <w:rFonts w:ascii="Times New Roman" w:hAnsi="Times New Roman" w:cs="Times New Roman"/>
          <w:sz w:val="22"/>
          <w:szCs w:val="22"/>
        </w:rPr>
        <w:t>Para las personas con educación se utiliza la siguiente aproximación de experiencia (X): Si 18 &lt; edad &lt; 22, X = edad – 18; si edad &gt; 22, X = edad – educación – 6. Y para personas sin educación 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C3AD3" w14:textId="77777777" w:rsidR="002A2EEB" w:rsidRDefault="002A2EEB" w:rsidP="00130B06">
      <w:pPr>
        <w:spacing w:after="0" w:line="240" w:lineRule="auto"/>
      </w:pPr>
      <w:r>
        <w:separator/>
      </w:r>
    </w:p>
  </w:footnote>
  <w:footnote w:type="continuationSeparator" w:id="0">
    <w:p w14:paraId="14F8B64C" w14:textId="77777777" w:rsidR="002A2EEB" w:rsidRDefault="002A2EEB"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F"/>
    <w:rsid w:val="000414DE"/>
    <w:rsid w:val="00060CB5"/>
    <w:rsid w:val="000A2CA7"/>
    <w:rsid w:val="001030ED"/>
    <w:rsid w:val="00130B06"/>
    <w:rsid w:val="001446BE"/>
    <w:rsid w:val="001B0592"/>
    <w:rsid w:val="001B25C5"/>
    <w:rsid w:val="001B5B18"/>
    <w:rsid w:val="001C7A53"/>
    <w:rsid w:val="00282B7D"/>
    <w:rsid w:val="002A05AA"/>
    <w:rsid w:val="002A2EEB"/>
    <w:rsid w:val="0030655A"/>
    <w:rsid w:val="00417046"/>
    <w:rsid w:val="004444ED"/>
    <w:rsid w:val="00496EB5"/>
    <w:rsid w:val="004B3512"/>
    <w:rsid w:val="004E5E55"/>
    <w:rsid w:val="0051431D"/>
    <w:rsid w:val="005C04FE"/>
    <w:rsid w:val="008B119B"/>
    <w:rsid w:val="008C7272"/>
    <w:rsid w:val="00947A14"/>
    <w:rsid w:val="00A312AF"/>
    <w:rsid w:val="00A3776D"/>
    <w:rsid w:val="00A5088E"/>
    <w:rsid w:val="00B20CC7"/>
    <w:rsid w:val="00B9370D"/>
    <w:rsid w:val="00C6681F"/>
    <w:rsid w:val="00CC67B0"/>
    <w:rsid w:val="00CE707E"/>
    <w:rsid w:val="00D85F60"/>
    <w:rsid w:val="00DA0FD7"/>
    <w:rsid w:val="00DD05A3"/>
    <w:rsid w:val="00DE4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 w:type="table" w:styleId="Tablaconcuadrcula">
    <w:name w:val="Table Grid"/>
    <w:basedOn w:val="Tablanormal"/>
    <w:uiPriority w:val="39"/>
    <w:rsid w:val="00CC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25C5"/>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2867</Words>
  <Characters>15771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19</cp:revision>
  <dcterms:created xsi:type="dcterms:W3CDTF">2022-07-12T22:13:00Z</dcterms:created>
  <dcterms:modified xsi:type="dcterms:W3CDTF">2022-07-12T23:48:00Z</dcterms:modified>
</cp:coreProperties>
</file>