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 xml:space="preserve">Big Data and Machine </w:t>
      </w:r>
      <w:proofErr w:type="spellStart"/>
      <w:r w:rsidRPr="002A05AA">
        <w:rPr>
          <w:rFonts w:ascii="Times New Roman" w:hAnsi="Times New Roman" w:cs="Times New Roman"/>
          <w:i/>
          <w:iCs/>
          <w:sz w:val="24"/>
          <w:szCs w:val="24"/>
        </w:rPr>
        <w:t>Learning</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for</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Applied</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Economics</w:t>
      </w:r>
      <w:proofErr w:type="spellEnd"/>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Refdenotaalfinal"/>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r w:rsidR="00000000">
        <w:fldChar w:fldCharType="begin"/>
      </w:r>
      <w:r w:rsidR="00000000" w:rsidRPr="00CC67B0">
        <w:rPr>
          <w:lang w:val="en-US"/>
        </w:rPr>
        <w:instrText>HYPERLINK "https://github.com/sbeltro/G10_PS2"</w:instrText>
      </w:r>
      <w:r w:rsidR="00000000">
        <w:fldChar w:fldCharType="separate"/>
      </w:r>
      <w:r w:rsidRPr="002A05AA">
        <w:rPr>
          <w:rStyle w:val="Hipervnculo"/>
          <w:rFonts w:ascii="Times New Roman" w:hAnsi="Times New Roman" w:cs="Times New Roman"/>
          <w:sz w:val="24"/>
          <w:szCs w:val="24"/>
          <w:lang w:val="en-US"/>
        </w:rPr>
        <w:t>https://github.com/sbeltro/G10_PS2</w:t>
      </w:r>
      <w:r w:rsidR="00000000">
        <w:rPr>
          <w:rStyle w:val="Hipervnculo"/>
          <w:rFonts w:ascii="Times New Roman" w:hAnsi="Times New Roman" w:cs="Times New Roman"/>
          <w:sz w:val="24"/>
          <w:szCs w:val="24"/>
          <w:lang w:val="en-US"/>
        </w:rPr>
        <w:fldChar w:fldCharType="end"/>
      </w:r>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Refdenotaalpi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w:t>
      </w:r>
      <w:proofErr w:type="spellStart"/>
      <w:r w:rsidRPr="002A05AA">
        <w:rPr>
          <w:rFonts w:ascii="Times New Roman" w:hAnsi="Times New Roman" w:cs="Times New Roman"/>
          <w:b/>
          <w:sz w:val="24"/>
          <w:szCs w:val="24"/>
          <w:lang w:val="en-US"/>
        </w:rPr>
        <w:t>Introducción</w:t>
      </w:r>
      <w:proofErr w:type="spellEnd"/>
      <w:r w:rsidRPr="002A05AA">
        <w:rPr>
          <w:rFonts w:ascii="Times New Roman" w:hAnsi="Times New Roman" w:cs="Times New Roman"/>
          <w:b/>
          <w:sz w:val="24"/>
          <w:szCs w:val="24"/>
          <w:lang w:val="en-US"/>
        </w:rPr>
        <w:t xml:space="preserve">: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Refdenotaalfinal"/>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w:t>
      </w:r>
      <w:proofErr w:type="spellStart"/>
      <w:r w:rsidRPr="002A05AA">
        <w:rPr>
          <w:rFonts w:ascii="Times New Roman" w:hAnsi="Times New Roman" w:cs="Times New Roman"/>
          <w:sz w:val="24"/>
          <w:szCs w:val="24"/>
        </w:rPr>
        <w:t>Kambuya</w:t>
      </w:r>
      <w:proofErr w:type="spellEnd"/>
      <w:r w:rsidRPr="002A05AA">
        <w:rPr>
          <w:rFonts w:ascii="Times New Roman" w:hAnsi="Times New Roman" w:cs="Times New Roman"/>
          <w:sz w:val="24"/>
          <w:szCs w:val="24"/>
        </w:rPr>
        <w:t>, 2020). Para lograr una mejor caracterización de los hogares y enfocar de forma óptima las intervenciones es necesario ampliar las preguntas que contiene la encuesta para capturar otros factores, como lo hace la ELCA</w:t>
      </w:r>
      <w:r w:rsidRPr="002A05AA">
        <w:rPr>
          <w:rStyle w:val="Refdenotaalfinal"/>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Refdenotaalfinal"/>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Refdenotaalfinal"/>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r w:rsidRPr="00B20CC7">
        <w:rPr>
          <w:rFonts w:ascii="Times New Roman" w:hAnsi="Times New Roman" w:cs="Times New Roman"/>
          <w:i/>
          <w:iCs/>
          <w:sz w:val="24"/>
          <w:szCs w:val="24"/>
        </w:rPr>
        <w:t xml:space="preserve">Best </w:t>
      </w:r>
      <w:proofErr w:type="spellStart"/>
      <w:r w:rsidRPr="00B20CC7">
        <w:rPr>
          <w:rFonts w:ascii="Times New Roman" w:hAnsi="Times New Roman" w:cs="Times New Roman"/>
          <w:i/>
          <w:iCs/>
          <w:sz w:val="24"/>
          <w:szCs w:val="24"/>
        </w:rPr>
        <w:t>Subset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Selection</w:t>
      </w:r>
      <w:proofErr w:type="spellEnd"/>
      <w:r w:rsidRPr="00B20CC7">
        <w:rPr>
          <w:rFonts w:ascii="Times New Roman" w:hAnsi="Times New Roman" w:cs="Times New Roman"/>
          <w:sz w:val="24"/>
          <w:szCs w:val="24"/>
        </w:rPr>
        <w:t xml:space="preserve"> para identificar aquellas que tendrían mayor relevancia y se evaluaron 6 modelos</w:t>
      </w:r>
      <w:r w:rsidRPr="00B20CC7">
        <w:rPr>
          <w:rStyle w:val="Refdenotaalfinal"/>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el ratio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Refdenotaalfinal"/>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proofErr w:type="spellStart"/>
      <w:r w:rsidRPr="0030655A">
        <w:rPr>
          <w:rFonts w:ascii="Times New Roman" w:hAnsi="Times New Roman" w:cs="Times New Roman"/>
          <w:i/>
          <w:iCs/>
          <w:sz w:val="24"/>
          <w:szCs w:val="24"/>
        </w:rPr>
        <w:t>logit</w:t>
      </w:r>
      <w:proofErr w:type="spellEnd"/>
      <w:r w:rsidRPr="0030655A">
        <w:rPr>
          <w:rFonts w:ascii="Times New Roman" w:hAnsi="Times New Roman" w:cs="Times New Roman"/>
          <w:sz w:val="24"/>
          <w:szCs w:val="24"/>
        </w:rPr>
        <w:t xml:space="preserve"> pues obtuvo los mejores resultados. Este modelo considera 4 variables explicativas: (i) </w:t>
      </w:r>
      <w:proofErr w:type="spellStart"/>
      <w:r w:rsidRPr="0030655A">
        <w:rPr>
          <w:rFonts w:ascii="Times New Roman" w:hAnsi="Times New Roman" w:cs="Times New Roman"/>
          <w:i/>
          <w:iCs/>
          <w:sz w:val="24"/>
          <w:szCs w:val="24"/>
        </w:rPr>
        <w:t>Subsidiado_hg</w:t>
      </w:r>
      <w:proofErr w:type="spellEnd"/>
      <w:r w:rsidRPr="0030655A">
        <w:rPr>
          <w:rFonts w:ascii="Times New Roman" w:hAnsi="Times New Roman" w:cs="Times New Roman"/>
          <w:sz w:val="24"/>
          <w:szCs w:val="24"/>
        </w:rPr>
        <w:t xml:space="preserve"> que toma el valor de 1 si al menos un miembro de hogar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pertenece al régimen subsidiado de salud; (</w:t>
      </w:r>
      <w:proofErr w:type="spellStart"/>
      <w:r w:rsidRPr="0030655A">
        <w:rPr>
          <w:rFonts w:ascii="Times New Roman" w:hAnsi="Times New Roman" w:cs="Times New Roman"/>
          <w:sz w:val="24"/>
          <w:szCs w:val="24"/>
        </w:rPr>
        <w:t>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ayudaInstituciones_hg</w:t>
      </w:r>
      <w:proofErr w:type="spellEnd"/>
      <w:r w:rsidRPr="0030655A">
        <w:rPr>
          <w:rFonts w:ascii="Times New Roman" w:hAnsi="Times New Roman" w:cs="Times New Roman"/>
          <w:sz w:val="24"/>
          <w:szCs w:val="24"/>
        </w:rPr>
        <w:t xml:space="preserve"> que indica si al menos un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recibió ayuda monetaria de una institución nacional o extranjera (=1), (</w:t>
      </w:r>
      <w:proofErr w:type="spellStart"/>
      <w:r w:rsidRPr="0030655A">
        <w:rPr>
          <w:rFonts w:ascii="Times New Roman" w:hAnsi="Times New Roman" w:cs="Times New Roman"/>
          <w:sz w:val="24"/>
          <w:szCs w:val="24"/>
        </w:rPr>
        <w:t>iii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personaxCuarto_hg</w:t>
      </w:r>
      <w:proofErr w:type="spellEnd"/>
      <w:r w:rsidRPr="0030655A">
        <w:rPr>
          <w:rFonts w:ascii="Times New Roman" w:hAnsi="Times New Roman" w:cs="Times New Roman"/>
          <w:sz w:val="24"/>
          <w:szCs w:val="24"/>
        </w:rPr>
        <w:t xml:space="preserve"> que indica la ratio entre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y cuartos donde duermen; y (</w:t>
      </w:r>
      <w:proofErr w:type="spellStart"/>
      <w:r w:rsidRPr="0030655A">
        <w:rPr>
          <w:rFonts w:ascii="Times New Roman" w:hAnsi="Times New Roman" w:cs="Times New Roman"/>
          <w:sz w:val="24"/>
          <w:szCs w:val="24"/>
        </w:rPr>
        <w:t>iv</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educ_hg</w:t>
      </w:r>
      <w:proofErr w:type="spellEnd"/>
      <w:r w:rsidRPr="0030655A">
        <w:rPr>
          <w:rFonts w:ascii="Times New Roman" w:hAnsi="Times New Roman" w:cs="Times New Roman"/>
          <w:sz w:val="24"/>
          <w:szCs w:val="24"/>
        </w:rPr>
        <w:t xml:space="preserve"> que es el promedio de años de escolaridad de los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Refdenotaalfinal"/>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w:t>
      </w:r>
      <w:proofErr w:type="spellStart"/>
      <w:r w:rsidRPr="0030655A">
        <w:rPr>
          <w:rFonts w:ascii="Times New Roman" w:hAnsi="Times New Roman" w:cs="Times New Roman"/>
          <w:sz w:val="24"/>
          <w:szCs w:val="24"/>
        </w:rPr>
        <w:t>hiperparámetros</w:t>
      </w:r>
      <w:proofErr w:type="spellEnd"/>
      <w:r w:rsidRPr="0030655A">
        <w:rPr>
          <w:rFonts w:ascii="Times New Roman" w:hAnsi="Times New Roman" w:cs="Times New Roman"/>
          <w:sz w:val="24"/>
          <w:szCs w:val="24"/>
        </w:rPr>
        <w:t xml:space="preserve"> alfa o lambda que busquen maximizar alguna métrica. No obstante, 3 de los 6 modelos estimados sí contaban con dichos </w:t>
      </w:r>
      <w:proofErr w:type="spellStart"/>
      <w:r w:rsidRPr="0030655A">
        <w:rPr>
          <w:rFonts w:ascii="Times New Roman" w:hAnsi="Times New Roman" w:cs="Times New Roman"/>
          <w:sz w:val="24"/>
          <w:szCs w:val="24"/>
        </w:rPr>
        <w:t>hiperparámetros</w:t>
      </w:r>
      <w:proofErr w:type="spellEnd"/>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proofErr w:type="spellStart"/>
      <w:r w:rsidRPr="0030655A">
        <w:rPr>
          <w:rFonts w:ascii="Times New Roman" w:hAnsi="Times New Roman" w:cs="Times New Roman"/>
          <w:i/>
          <w:iCs/>
          <w:sz w:val="24"/>
          <w:szCs w:val="24"/>
        </w:rPr>
        <w:t>logit</w:t>
      </w:r>
      <w:proofErr w:type="spellEnd"/>
      <w:r w:rsidRPr="0030655A">
        <w:rPr>
          <w:rFonts w:ascii="Times New Roman" w:hAnsi="Times New Roman" w:cs="Times New Roman"/>
          <w:sz w:val="24"/>
          <w:szCs w:val="24"/>
        </w:rPr>
        <w:t xml:space="preserve"> convencional, no se aplicó un método de </w:t>
      </w:r>
      <w:proofErr w:type="spellStart"/>
      <w:r w:rsidRPr="0030655A">
        <w:rPr>
          <w:rFonts w:ascii="Times New Roman" w:hAnsi="Times New Roman" w:cs="Times New Roman"/>
          <w:i/>
          <w:iCs/>
          <w:sz w:val="24"/>
          <w:szCs w:val="24"/>
        </w:rPr>
        <w:t>class</w:t>
      </w:r>
      <w:proofErr w:type="spellEnd"/>
      <w:r w:rsidRPr="0030655A">
        <w:rPr>
          <w:rFonts w:ascii="Times New Roman" w:hAnsi="Times New Roman" w:cs="Times New Roman"/>
          <w:i/>
          <w:iCs/>
          <w:sz w:val="24"/>
          <w:szCs w:val="24"/>
        </w:rPr>
        <w:t xml:space="preserve"> </w:t>
      </w:r>
      <w:proofErr w:type="spellStart"/>
      <w:r w:rsidRPr="0030655A">
        <w:rPr>
          <w:rFonts w:ascii="Times New Roman" w:hAnsi="Times New Roman" w:cs="Times New Roman"/>
          <w:i/>
          <w:iCs/>
          <w:sz w:val="24"/>
          <w:szCs w:val="24"/>
        </w:rPr>
        <w:t>imbalances</w:t>
      </w:r>
      <w:proofErr w:type="spellEnd"/>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w:t>
      </w:r>
      <w:proofErr w:type="spellStart"/>
      <w:r w:rsidRPr="0030655A">
        <w:rPr>
          <w:rFonts w:ascii="Times New Roman" w:hAnsi="Times New Roman" w:cs="Times New Roman"/>
          <w:i/>
          <w:iCs/>
          <w:sz w:val="24"/>
          <w:szCs w:val="24"/>
        </w:rPr>
        <w:t>sampling</w:t>
      </w:r>
      <w:proofErr w:type="spellEnd"/>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w:t>
      </w:r>
      <w:proofErr w:type="spellStart"/>
      <w:r w:rsidRPr="0030655A">
        <w:rPr>
          <w:rFonts w:ascii="Times New Roman" w:hAnsi="Times New Roman" w:cs="Times New Roman"/>
          <w:i/>
          <w:iCs/>
          <w:sz w:val="24"/>
          <w:szCs w:val="24"/>
        </w:rPr>
        <w:t>sampling</w:t>
      </w:r>
      <w:proofErr w:type="spellEnd"/>
      <w:r w:rsidRPr="0030655A">
        <w:rPr>
          <w:rStyle w:val="Refdenotaalfinal"/>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56004665" w14:textId="77777777" w:rsidR="001C7A53" w:rsidRP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u w:val="single"/>
        </w:rPr>
        <w:t>Desempeño del modelo:</w:t>
      </w:r>
      <w:r w:rsidRPr="001C7A53">
        <w:rPr>
          <w:rFonts w:ascii="Times New Roman" w:hAnsi="Times New Roman" w:cs="Times New Roman"/>
          <w:sz w:val="24"/>
          <w:szCs w:val="24"/>
        </w:rPr>
        <w:t xml:space="preserve"> El modelo </w:t>
      </w:r>
      <w:proofErr w:type="spellStart"/>
      <w:r w:rsidRPr="001C7A53">
        <w:rPr>
          <w:rFonts w:ascii="Times New Roman" w:hAnsi="Times New Roman" w:cs="Times New Roman"/>
          <w:i/>
          <w:iCs/>
          <w:sz w:val="24"/>
          <w:szCs w:val="24"/>
        </w:rPr>
        <w:t>logit</w:t>
      </w:r>
      <w:proofErr w:type="spellEnd"/>
      <w:r w:rsidRPr="001C7A53">
        <w:rPr>
          <w:rFonts w:ascii="Times New Roman" w:hAnsi="Times New Roman" w:cs="Times New Roman"/>
          <w:sz w:val="24"/>
          <w:szCs w:val="24"/>
        </w:rPr>
        <w:t xml:space="preserve"> arrojó una sensibilidad (</w:t>
      </w:r>
      <w:proofErr w:type="spellStart"/>
      <w:r w:rsidRPr="001C7A53">
        <w:rPr>
          <w:rFonts w:ascii="Times New Roman" w:hAnsi="Times New Roman" w:cs="Times New Roman"/>
          <w:i/>
          <w:iCs/>
          <w:sz w:val="24"/>
          <w:szCs w:val="24"/>
        </w:rPr>
        <w:t>Sensitivity</w:t>
      </w:r>
      <w:proofErr w:type="spellEnd"/>
      <w:r w:rsidRPr="001C7A53">
        <w:rPr>
          <w:rFonts w:ascii="Times New Roman" w:hAnsi="Times New Roman" w:cs="Times New Roman"/>
          <w:i/>
          <w:iCs/>
          <w:sz w:val="24"/>
          <w:szCs w:val="24"/>
        </w:rPr>
        <w:t>)</w:t>
      </w:r>
      <w:r w:rsidRPr="001C7A53">
        <w:rPr>
          <w:rStyle w:val="Refdenotaalfinal"/>
          <w:rFonts w:ascii="Times New Roman" w:hAnsi="Times New Roman" w:cs="Times New Roman"/>
          <w:i/>
          <w:iCs/>
          <w:sz w:val="24"/>
          <w:szCs w:val="24"/>
        </w:rPr>
        <w:endnoteReference w:id="10"/>
      </w:r>
      <w:r w:rsidRPr="001C7A53">
        <w:rPr>
          <w:rFonts w:ascii="Times New Roman" w:hAnsi="Times New Roman" w:cs="Times New Roman"/>
          <w:i/>
          <w:iCs/>
          <w:sz w:val="24"/>
          <w:szCs w:val="24"/>
        </w:rPr>
        <w:t xml:space="preserve">, </w:t>
      </w:r>
      <w:r w:rsidRPr="001C7A53">
        <w:rPr>
          <w:rFonts w:ascii="Times New Roman" w:hAnsi="Times New Roman" w:cs="Times New Roman"/>
          <w:sz w:val="24"/>
          <w:szCs w:val="24"/>
        </w:rPr>
        <w:t>es decir, una proporción de hogares pobres clasificados correctamente de 57.8% y una tasa de 11.1% de falsos negativos</w:t>
      </w:r>
      <w:r w:rsidRPr="001C7A53">
        <w:rPr>
          <w:rStyle w:val="Refdenotaalfinal"/>
          <w:rFonts w:ascii="Times New Roman" w:hAnsi="Times New Roman" w:cs="Times New Roman"/>
          <w:sz w:val="24"/>
          <w:szCs w:val="24"/>
        </w:rPr>
        <w:endnoteReference w:id="11"/>
      </w:r>
      <w:r w:rsidRPr="001C7A53">
        <w:rPr>
          <w:rFonts w:ascii="Times New Roman" w:hAnsi="Times New Roman" w:cs="Times New Roman"/>
          <w:sz w:val="24"/>
          <w:szCs w:val="24"/>
        </w:rPr>
        <w:t>, que mide la proporción de verdaderos hogares pobres que el modelo clasificó erróneamente. Además, exhibe un tasa de falsos positivos</w:t>
      </w:r>
      <w:r w:rsidRPr="001C7A53">
        <w:rPr>
          <w:rStyle w:val="Refdenotaalfinal"/>
          <w:rFonts w:ascii="Times New Roman" w:hAnsi="Times New Roman" w:cs="Times New Roman"/>
          <w:sz w:val="24"/>
          <w:szCs w:val="24"/>
        </w:rPr>
        <w:endnoteReference w:id="12"/>
      </w:r>
      <w:r w:rsidRPr="001C7A53">
        <w:rPr>
          <w:rFonts w:ascii="Times New Roman" w:hAnsi="Times New Roman" w:cs="Times New Roman"/>
          <w:sz w:val="24"/>
          <w:szCs w:val="24"/>
        </w:rPr>
        <w:t>, que indica la proporción de “falsos pobres” sobre el total de hogares que el modelo clasifica como pobres, de 52.91%, 0.80 en el área bajo la curva (</w:t>
      </w:r>
      <w:r w:rsidRPr="001C7A53">
        <w:rPr>
          <w:rFonts w:ascii="Times New Roman" w:hAnsi="Times New Roman" w:cs="Times New Roman"/>
          <w:i/>
          <w:iCs/>
          <w:sz w:val="24"/>
          <w:szCs w:val="24"/>
        </w:rPr>
        <w:t>AUC</w:t>
      </w:r>
      <w:r w:rsidRPr="001C7A53">
        <w:rPr>
          <w:rStyle w:val="Refdenotaalfinal"/>
          <w:rFonts w:ascii="Times New Roman" w:hAnsi="Times New Roman" w:cs="Times New Roman"/>
          <w:i/>
          <w:iCs/>
          <w:sz w:val="24"/>
          <w:szCs w:val="24"/>
        </w:rPr>
        <w:endnoteReference w:id="13"/>
      </w:r>
      <w:r w:rsidRPr="001C7A53">
        <w:rPr>
          <w:rFonts w:ascii="Times New Roman" w:hAnsi="Times New Roman" w:cs="Times New Roman"/>
          <w:sz w:val="24"/>
          <w:szCs w:val="24"/>
        </w:rPr>
        <w:t>, en inglés), y se observa que su curva ROC</w:t>
      </w:r>
      <w:r w:rsidRPr="001C7A53">
        <w:rPr>
          <w:rStyle w:val="Refdenotaalfinal"/>
          <w:rFonts w:ascii="Times New Roman" w:hAnsi="Times New Roman" w:cs="Times New Roman"/>
          <w:sz w:val="24"/>
          <w:szCs w:val="24"/>
        </w:rPr>
        <w:endnoteReference w:id="14"/>
      </w:r>
      <w:r w:rsidRPr="001C7A53">
        <w:rPr>
          <w:rFonts w:ascii="Times New Roman" w:hAnsi="Times New Roman" w:cs="Times New Roman"/>
          <w:sz w:val="24"/>
          <w:szCs w:val="24"/>
        </w:rPr>
        <w:t xml:space="preserve"> refleja el mejor desempeño entre los modelos analizados (Gráfica 2). </w:t>
      </w:r>
    </w:p>
    <w:p w14:paraId="63997F22" w14:textId="77777777" w:rsidR="001C7A53" w:rsidRPr="001C7A53" w:rsidRDefault="001C7A53" w:rsidP="001C7A53">
      <w:pPr>
        <w:jc w:val="both"/>
        <w:rPr>
          <w:rFonts w:ascii="Times New Roman" w:hAnsi="Times New Roman" w:cs="Times New Roman"/>
          <w:b/>
          <w:bCs/>
          <w:sz w:val="24"/>
          <w:szCs w:val="24"/>
        </w:rPr>
      </w:pPr>
      <w:r w:rsidRPr="001C7A53">
        <w:rPr>
          <w:rFonts w:ascii="Times New Roman" w:hAnsi="Times New Roman" w:cs="Times New Roman"/>
          <w:b/>
          <w:bCs/>
          <w:sz w:val="24"/>
          <w:szCs w:val="24"/>
        </w:rPr>
        <w:t xml:space="preserve">3.2 Modelos de regresión de ingresos </w:t>
      </w:r>
    </w:p>
    <w:p w14:paraId="12AF3184" w14:textId="6A392376" w:rsid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rPr>
        <w:lastRenderedPageBreak/>
        <w:t xml:space="preserve">Una segunda aproximación para construir un modelo predictivo de pobreza de los hogares es a través de su ingreso. Estimamos el ingreso del hogar a partir de la agregación de una estimación individual del ingreso de cada </w:t>
      </w:r>
      <w:proofErr w:type="spellStart"/>
      <w:r w:rsidRPr="001C7A53">
        <w:rPr>
          <w:rFonts w:ascii="Times New Roman" w:hAnsi="Times New Roman" w:cs="Times New Roman"/>
          <w:sz w:val="24"/>
          <w:szCs w:val="24"/>
        </w:rPr>
        <w:t>MdH</w:t>
      </w:r>
      <w:proofErr w:type="spellEnd"/>
      <w:r w:rsidRPr="001C7A53">
        <w:rPr>
          <w:rStyle w:val="Refdenotaalfinal"/>
          <w:rFonts w:ascii="Times New Roman" w:hAnsi="Times New Roman" w:cs="Times New Roman"/>
          <w:sz w:val="24"/>
          <w:szCs w:val="24"/>
        </w:rPr>
        <w:endnoteReference w:id="15"/>
      </w:r>
      <w:r w:rsidRPr="001C7A53">
        <w:rPr>
          <w:rFonts w:ascii="Times New Roman" w:hAnsi="Times New Roman" w:cs="Times New Roman"/>
          <w:sz w:val="24"/>
          <w:szCs w:val="24"/>
        </w:rPr>
        <w:t>. Luego, utilizando la línea de pobreza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definida por el DANE, se hace una comparación y clasifica el hogar, </w:t>
      </w:r>
      <m:oMath>
        <m:r>
          <w:rPr>
            <w:rFonts w:ascii="Cambria Math" w:hAnsi="Cambria Math" w:cs="Times New Roman"/>
            <w:sz w:val="24"/>
            <w:szCs w:val="24"/>
          </w:rPr>
          <m:t>Pobre= I( Inc&lt;Pl)</m:t>
        </m:r>
      </m:oMath>
      <w:r w:rsidRPr="001C7A53">
        <w:rPr>
          <w:rFonts w:ascii="Times New Roman" w:hAnsi="Times New Roman" w:cs="Times New Roman"/>
          <w:sz w:val="24"/>
          <w:szCs w:val="24"/>
        </w:rPr>
        <w:t xml:space="preserve">. Si el ingreso estimado es menor a la Lp se clasifica como pobre, y la variable </w:t>
      </w:r>
      <m:oMath>
        <m:r>
          <w:rPr>
            <w:rFonts w:ascii="Cambria Math" w:hAnsi="Cambria Math" w:cs="Times New Roman"/>
            <w:sz w:val="24"/>
            <w:szCs w:val="24"/>
          </w:rPr>
          <m:t>I=1</m:t>
        </m:r>
      </m:oMath>
      <w:r w:rsidRPr="001C7A53">
        <w:rPr>
          <w:rFonts w:ascii="Times New Roman" w:hAnsi="Times New Roman" w:cs="Times New Roman"/>
          <w:sz w:val="24"/>
          <w:szCs w:val="24"/>
        </w:rPr>
        <w:t>.</w:t>
      </w:r>
    </w:p>
    <w:p w14:paraId="08FC89C0" w14:textId="77777777" w:rsidR="00D85F60" w:rsidRPr="006C16F7" w:rsidRDefault="00D85F60" w:rsidP="00D85F60">
      <w:pPr>
        <w:jc w:val="both"/>
        <w:rPr>
          <w:rFonts w:ascii="Times New Roman" w:hAnsi="Times New Roman" w:cs="Times New Roman"/>
          <w:sz w:val="24"/>
          <w:szCs w:val="24"/>
        </w:rPr>
      </w:pPr>
      <w:r w:rsidRPr="006C16F7">
        <w:rPr>
          <w:rFonts w:ascii="Times New Roman" w:hAnsi="Times New Roman" w:cs="Times New Roman"/>
          <w:sz w:val="24"/>
          <w:szCs w:val="24"/>
          <w:u w:val="single"/>
        </w:rPr>
        <w:t>Estimación del ingreso:</w:t>
      </w:r>
      <w:r w:rsidRPr="006C16F7">
        <w:rPr>
          <w:rFonts w:ascii="Times New Roman" w:hAnsi="Times New Roman" w:cs="Times New Roman"/>
          <w:sz w:val="24"/>
          <w:szCs w:val="24"/>
        </w:rPr>
        <w:t xml:space="preserve"> Reconocemos que los ingresos, sobre todo en hogares pobres, pueden provenir de diversas fuentes, que además de salario se componen de otros ingresos</w:t>
      </w:r>
      <w:r w:rsidRPr="006C16F7">
        <w:rPr>
          <w:rStyle w:val="Refdenotaalfinal"/>
          <w:rFonts w:ascii="Times New Roman" w:hAnsi="Times New Roman" w:cs="Times New Roman"/>
          <w:sz w:val="24"/>
          <w:szCs w:val="24"/>
        </w:rPr>
        <w:endnoteReference w:id="16"/>
      </w:r>
      <w:r w:rsidRPr="006C16F7">
        <w:rPr>
          <w:rFonts w:ascii="Times New Roman" w:hAnsi="Times New Roman" w:cs="Times New Roman"/>
          <w:sz w:val="24"/>
          <w:szCs w:val="24"/>
        </w:rPr>
        <w:t xml:space="preserve">. Sin embargo, dentro de las variables disponibles no contamos con información suficiente para estimar apropiadamente dichos ingresos. Por lo anterior, el ingreso predicho corresponde al ingreso laboral del individuo que logramos aproximar de mejor manera. </w:t>
      </w:r>
    </w:p>
    <w:p w14:paraId="5B3D4B1D" w14:textId="77777777" w:rsidR="00D85F60" w:rsidRPr="006C16F7"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 xml:space="preserve">Para la estimación se usaron 2 métodos de selección de modelos: </w:t>
      </w:r>
      <w:r w:rsidRPr="006C16F7">
        <w:rPr>
          <w:rFonts w:ascii="Times New Roman" w:eastAsiaTheme="minorEastAsia" w:hAnsi="Times New Roman" w:cs="Times New Roman"/>
          <w:i/>
          <w:iCs/>
          <w:sz w:val="24"/>
          <w:szCs w:val="24"/>
        </w:rPr>
        <w:t xml:space="preserve">Best </w:t>
      </w:r>
      <w:proofErr w:type="spellStart"/>
      <w:r w:rsidRPr="006C16F7">
        <w:rPr>
          <w:rFonts w:ascii="Times New Roman" w:eastAsiaTheme="minorEastAsia" w:hAnsi="Times New Roman" w:cs="Times New Roman"/>
          <w:i/>
          <w:iCs/>
          <w:sz w:val="24"/>
          <w:szCs w:val="24"/>
        </w:rPr>
        <w:t>Subset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sz w:val="24"/>
          <w:szCs w:val="24"/>
        </w:rPr>
        <w:t xml:space="preserv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i/>
          <w:iCs/>
          <w:sz w:val="24"/>
          <w:szCs w:val="24"/>
        </w:rPr>
        <w:t xml:space="preserve">) </w:t>
      </w:r>
      <w:r w:rsidRPr="006C16F7">
        <w:rPr>
          <w:rFonts w:ascii="Times New Roman" w:eastAsiaTheme="minorEastAsia" w:hAnsi="Times New Roman" w:cs="Times New Roman"/>
          <w:sz w:val="24"/>
          <w:szCs w:val="24"/>
        </w:rPr>
        <w:t xml:space="preserve">y </w:t>
      </w:r>
      <w:proofErr w:type="spellStart"/>
      <w:r w:rsidRPr="006C16F7">
        <w:rPr>
          <w:rFonts w:ascii="Times New Roman" w:eastAsiaTheme="minorEastAsia" w:hAnsi="Times New Roman" w:cs="Times New Roman"/>
          <w:i/>
          <w:iCs/>
          <w:sz w:val="24"/>
          <w:szCs w:val="24"/>
        </w:rPr>
        <w:t>Backward</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Stepwise</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w:t>
      </w:r>
      <w:r w:rsidRPr="006C16F7">
        <w:rPr>
          <w:rStyle w:val="Refdenotaalfinal"/>
          <w:rFonts w:ascii="Times New Roman" w:eastAsiaTheme="minorEastAsia" w:hAnsi="Times New Roman" w:cs="Times New Roman"/>
          <w:i/>
          <w:iCs/>
          <w:sz w:val="24"/>
          <w:szCs w:val="24"/>
        </w:rPr>
        <w:endnoteReference w:id="17"/>
      </w:r>
      <w:r w:rsidRPr="006C16F7">
        <w:rPr>
          <w:rFonts w:ascii="Times New Roman" w:eastAsiaTheme="minorEastAsia" w:hAnsi="Times New Roman" w:cs="Times New Roman"/>
          <w:sz w:val="24"/>
          <w:szCs w:val="24"/>
        </w:rPr>
        <w:t xml:space="preserve">, que permiten encontrar las variables de interés (Anexo 2) que mejor ajustan el ingreso. Además, se estimaron 6 modelos usando el método de regularización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Style w:val="Refdenotaalfinal"/>
          <w:rFonts w:ascii="Times New Roman" w:eastAsiaTheme="minorEastAsia" w:hAnsi="Times New Roman" w:cs="Times New Roman"/>
          <w:i/>
          <w:iCs/>
          <w:sz w:val="24"/>
          <w:szCs w:val="24"/>
        </w:rPr>
        <w:endnoteReference w:id="18"/>
      </w:r>
      <w:r w:rsidRPr="006C16F7">
        <w:rPr>
          <w:rFonts w:ascii="Times New Roman" w:eastAsiaTheme="minorEastAsia" w:hAnsi="Times New Roman" w:cs="Times New Roman"/>
          <w:sz w:val="24"/>
          <w:szCs w:val="24"/>
        </w:rPr>
        <w:t>, que fuerza a que los coeficientes del modelo tiendan a cero, minimizado el riesgo de sobreajuste (</w:t>
      </w:r>
      <w:proofErr w:type="spellStart"/>
      <w:r w:rsidRPr="006C16F7">
        <w:rPr>
          <w:rFonts w:ascii="Times New Roman" w:eastAsiaTheme="minorEastAsia" w:hAnsi="Times New Roman" w:cs="Times New Roman"/>
          <w:i/>
          <w:iCs/>
          <w:sz w:val="24"/>
          <w:szCs w:val="24"/>
        </w:rPr>
        <w:t>overfitting</w:t>
      </w:r>
      <w:proofErr w:type="spellEnd"/>
      <w:r w:rsidRPr="006C16F7">
        <w:rPr>
          <w:rFonts w:ascii="Times New Roman" w:eastAsiaTheme="minorEastAsia" w:hAnsi="Times New Roman" w:cs="Times New Roman"/>
          <w:i/>
          <w:iCs/>
          <w:sz w:val="24"/>
          <w:szCs w:val="24"/>
        </w:rPr>
        <w:t>)</w:t>
      </w:r>
      <w:r w:rsidRPr="006C16F7">
        <w:rPr>
          <w:rFonts w:ascii="Times New Roman" w:eastAsiaTheme="minorEastAsia" w:hAnsi="Times New Roman" w:cs="Times New Roman"/>
          <w:sz w:val="24"/>
          <w:szCs w:val="24"/>
        </w:rPr>
        <w:t xml:space="preserve">, reduciendo la varianza, mitigando el efecto de correlaciones entre predictores y mejorando la estimación. </w:t>
      </w:r>
    </w:p>
    <w:p w14:paraId="5977727F" w14:textId="77777777" w:rsidR="00D85F60"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Después de realizar las estimaciones, se calculó el error cuadrático medio (</w:t>
      </w:r>
      <w:r w:rsidRPr="006C16F7">
        <w:rPr>
          <w:rFonts w:ascii="Times New Roman" w:eastAsiaTheme="minorEastAsia" w:hAnsi="Times New Roman" w:cs="Times New Roman"/>
          <w:i/>
          <w:iCs/>
          <w:sz w:val="24"/>
          <w:szCs w:val="24"/>
        </w:rPr>
        <w:t>MSE</w:t>
      </w:r>
      <w:r w:rsidRPr="006C16F7">
        <w:rPr>
          <w:rFonts w:ascii="Times New Roman" w:eastAsiaTheme="minorEastAsia" w:hAnsi="Times New Roman" w:cs="Times New Roman"/>
          <w:sz w:val="24"/>
          <w:szCs w:val="24"/>
        </w:rPr>
        <w:t xml:space="preserve"> en inglés) de cada modelo (Tabla 5). En la Gráfica 3 se observa que 5 de los modelos estimados tienen un nivel de ajuste similar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 xml:space="preserve"> y </w:t>
      </w:r>
      <w:r w:rsidRPr="006C16F7">
        <w:rPr>
          <w:rFonts w:ascii="Times New Roman" w:eastAsiaTheme="minorEastAsia" w:hAnsi="Times New Roman" w:cs="Times New Roman"/>
          <w:sz w:val="24"/>
          <w:szCs w:val="24"/>
        </w:rPr>
        <w:t xml:space="preserve">4 de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Fonts w:ascii="Times New Roman" w:eastAsiaTheme="minorEastAsia" w:hAnsi="Times New Roman" w:cs="Times New Roman"/>
          <w:sz w:val="24"/>
          <w:szCs w:val="24"/>
        </w:rPr>
        <w:t xml:space="preserve">), mientras el modelo de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sz w:val="24"/>
          <w:szCs w:val="24"/>
        </w:rPr>
        <w:t>, y 2 del otro método reportan un ajuste más deficiente frente a los demás. En el modelo (3) es donde encontramos el mejor ajuste, en la medida que presenta el menor error cuadrático medio.</w:t>
      </w:r>
      <w:r w:rsidRPr="00087708">
        <w:rPr>
          <w:rFonts w:ascii="Times New Roman" w:eastAsiaTheme="minorEastAsia" w:hAnsi="Times New Roman" w:cs="Times New Roman"/>
          <w:sz w:val="24"/>
          <w:szCs w:val="24"/>
        </w:rPr>
        <w:t xml:space="preserve"> </w:t>
      </w:r>
    </w:p>
    <w:p w14:paraId="364FAF19"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u w:val="single"/>
        </w:rPr>
        <w:t>Modelo seleccionado:</w:t>
      </w:r>
      <w:r w:rsidRPr="00CE707E">
        <w:rPr>
          <w:rFonts w:ascii="Times New Roman" w:hAnsi="Times New Roman" w:cs="Times New Roman"/>
          <w:sz w:val="24"/>
          <w:szCs w:val="24"/>
        </w:rPr>
        <w:t xml:space="preserve"> El modelo (3) seleccionado corresponde a la estimación utilizando </w:t>
      </w:r>
      <w:proofErr w:type="spellStart"/>
      <w:r w:rsidRPr="00CE707E">
        <w:rPr>
          <w:rFonts w:ascii="Times New Roman" w:hAnsi="Times New Roman" w:cs="Times New Roman"/>
          <w:i/>
          <w:iCs/>
          <w:sz w:val="24"/>
          <w:szCs w:val="24"/>
        </w:rPr>
        <w:t>Elastic</w:t>
      </w:r>
      <w:proofErr w:type="spellEnd"/>
      <w:r w:rsidRPr="00CE707E">
        <w:rPr>
          <w:rFonts w:ascii="Times New Roman" w:hAnsi="Times New Roman" w:cs="Times New Roman"/>
          <w:i/>
          <w:iCs/>
          <w:sz w:val="24"/>
          <w:szCs w:val="24"/>
        </w:rPr>
        <w:t xml:space="preserve"> Net</w:t>
      </w:r>
      <w:r w:rsidRPr="00CE707E">
        <w:rPr>
          <w:rFonts w:ascii="Times New Roman" w:hAnsi="Times New Roman" w:cs="Times New Roman"/>
          <w:sz w:val="24"/>
          <w:szCs w:val="24"/>
        </w:rPr>
        <w:t>, y validación cruzada en 5 conjuntos</w:t>
      </w:r>
      <w:r w:rsidRPr="00CE707E">
        <w:rPr>
          <w:rFonts w:ascii="Times New Roman" w:hAnsi="Times New Roman" w:cs="Times New Roman"/>
          <w:sz w:val="24"/>
          <w:szCs w:val="24"/>
          <w:vertAlign w:val="superscript"/>
        </w:rPr>
        <w:endnoteReference w:id="19"/>
      </w:r>
      <w:r w:rsidRPr="00CE707E">
        <w:rPr>
          <w:rFonts w:ascii="Times New Roman" w:hAnsi="Times New Roman" w:cs="Times New Roman"/>
          <w:sz w:val="24"/>
          <w:szCs w:val="24"/>
        </w:rPr>
        <w:t xml:space="preserve">, de un modelo donde la variable dependiente es </w:t>
      </w:r>
      <m:oMath>
        <m:r>
          <w:rPr>
            <w:rFonts w:ascii="Cambria Math" w:hAnsi="Cambria Math" w:cs="Times New Roman"/>
            <w:sz w:val="24"/>
            <w:szCs w:val="24"/>
          </w:rPr>
          <m:t>y_laboral</m:t>
        </m:r>
      </m:oMath>
      <w:r w:rsidRPr="00CE707E">
        <w:rPr>
          <w:rFonts w:ascii="Times New Roman" w:hAnsi="Times New Roman" w:cs="Times New Roman"/>
          <w:sz w:val="24"/>
          <w:szCs w:val="24"/>
        </w:rPr>
        <w:t xml:space="preserve">, que denota el ingreso laboral del individuo y las variables explicativas son:  </w:t>
      </w:r>
      <m:oMath>
        <m:r>
          <w:rPr>
            <w:rFonts w:ascii="Cambria Math" w:hAnsi="Cambria Math" w:cs="Times New Roman"/>
            <w:sz w:val="24"/>
            <w:szCs w:val="24"/>
          </w:rPr>
          <m:t>microEmpresa</m:t>
        </m:r>
      </m:oMath>
      <w:r w:rsidRPr="00CE707E">
        <w:rPr>
          <w:rFonts w:ascii="Times New Roman" w:eastAsiaTheme="minorEastAsia" w:hAnsi="Times New Roman" w:cs="Times New Roman"/>
          <w:sz w:val="24"/>
          <w:szCs w:val="24"/>
        </w:rPr>
        <w:t xml:space="preserve">, una variable categórica que indica si la persona trabaja en microempresa (=1), </w:t>
      </w:r>
      <m:oMath>
        <m:r>
          <w:rPr>
            <w:rFonts w:ascii="Cambria Math" w:eastAsiaTheme="minorEastAsia" w:hAnsi="Cambria Math" w:cs="Times New Roman"/>
            <w:sz w:val="24"/>
            <w:szCs w:val="24"/>
          </w:rPr>
          <m:t>o</m:t>
        </m:r>
        <m:r>
          <w:rPr>
            <w:rFonts w:ascii="Cambria Math" w:hAnsi="Cambria Math" w:cs="Times New Roman"/>
            <w:sz w:val="24"/>
            <w:szCs w:val="24"/>
          </w:rPr>
          <m:t>cupado</m:t>
        </m:r>
      </m:oMath>
      <w:r w:rsidRPr="00CE707E">
        <w:rPr>
          <w:rFonts w:ascii="Times New Roman" w:eastAsiaTheme="minorEastAsia" w:hAnsi="Times New Roman" w:cs="Times New Roman"/>
          <w:sz w:val="24"/>
          <w:szCs w:val="24"/>
        </w:rPr>
        <w:t xml:space="preserve">, que determina si la persona se encuentra ocupada (=1), </w:t>
      </w:r>
      <m:oMath>
        <m:r>
          <w:rPr>
            <w:rFonts w:ascii="Cambria Math" w:hAnsi="Cambria Math" w:cs="Times New Roman"/>
            <w:sz w:val="24"/>
            <w:szCs w:val="24"/>
          </w:rPr>
          <m:t>educ</m:t>
        </m:r>
      </m:oMath>
      <w:r w:rsidRPr="00CE707E">
        <w:rPr>
          <w:rFonts w:ascii="Times New Roman" w:eastAsiaTheme="minorEastAsia" w:hAnsi="Times New Roman" w:cs="Times New Roman"/>
          <w:sz w:val="24"/>
          <w:szCs w:val="24"/>
        </w:rPr>
        <w:t xml:space="preserve">, es el nivel educativo medido en años y </w:t>
      </w:r>
      <m:oMath>
        <m:r>
          <w:rPr>
            <w:rFonts w:ascii="Cambria Math" w:hAnsi="Cambria Math" w:cs="Times New Roman"/>
            <w:sz w:val="24"/>
            <w:szCs w:val="24"/>
          </w:rPr>
          <m:t>oficio</m:t>
        </m:r>
      </m:oMath>
      <w:r w:rsidRPr="00CE707E">
        <w:rPr>
          <w:rFonts w:ascii="Times New Roman" w:eastAsiaTheme="minorEastAsia" w:hAnsi="Times New Roman" w:cs="Times New Roman"/>
          <w:sz w:val="24"/>
          <w:szCs w:val="24"/>
        </w:rPr>
        <w:t xml:space="preserve">, denota la ocupación del individuo. </w:t>
      </w:r>
    </w:p>
    <w:p w14:paraId="29FD201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En la estimación las variables fueron centradas y escaladas con media 0 y desviación estándar 1, para asegurar que la penalización que impone el modelo se aplique por igual sobre cada coeficiente. La estimación utilizó los </w:t>
      </w:r>
      <w:proofErr w:type="spellStart"/>
      <w:r w:rsidRPr="00CE707E">
        <w:rPr>
          <w:rFonts w:ascii="Times New Roman" w:hAnsi="Times New Roman" w:cs="Times New Roman"/>
          <w:sz w:val="24"/>
          <w:szCs w:val="24"/>
        </w:rPr>
        <w:t>hiperparámetros</w:t>
      </w:r>
      <w:proofErr w:type="spellEnd"/>
      <w:r w:rsidRPr="00CE707E">
        <w:rPr>
          <w:rFonts w:ascii="Times New Roman" w:hAnsi="Times New Roman" w:cs="Times New Roman"/>
          <w:sz w:val="24"/>
          <w:szCs w:val="24"/>
          <w:vertAlign w:val="superscript"/>
        </w:rPr>
        <w:endnoteReference w:id="20"/>
      </w:r>
      <w:r w:rsidRPr="00CE707E">
        <w:rPr>
          <w:rFonts w:ascii="Times New Roman" w:hAnsi="Times New Roman" w:cs="Times New Roman"/>
          <w:sz w:val="24"/>
          <w:szCs w:val="24"/>
        </w:rPr>
        <w:t xml:space="preserve"> óptimos </w:t>
      </w:r>
      <m:oMath>
        <m:r>
          <m:rPr>
            <m:sty m:val="p"/>
          </m:rPr>
          <w:rPr>
            <w:rFonts w:ascii="Cambria Math" w:hAnsi="Cambria Math" w:cs="Times New Roman"/>
            <w:sz w:val="24"/>
            <w:szCs w:val="24"/>
          </w:rPr>
          <m:t>α</m:t>
        </m:r>
        <m:r>
          <m:rPr>
            <m:sty m:val="p"/>
          </m:rPr>
          <w:rPr>
            <w:rFonts w:ascii="Cambria Math" w:hAnsi="Times New Roman" w:cs="Times New Roman"/>
            <w:sz w:val="24"/>
            <w:szCs w:val="24"/>
          </w:rPr>
          <m:t>=0.1</m:t>
        </m:r>
      </m:oMath>
      <w:r w:rsidRPr="00CE707E">
        <w:rPr>
          <w:rFonts w:ascii="Times New Roman" w:eastAsiaTheme="minorEastAsia" w:hAnsi="Times New Roman" w:cs="Times New Roman"/>
          <w:sz w:val="24"/>
          <w:szCs w:val="24"/>
        </w:rPr>
        <w:t xml:space="preserve"> y </w:t>
      </w:r>
      <m:oMath>
        <m:r>
          <m:rPr>
            <m:sty m:val="p"/>
          </m:rPr>
          <w:rPr>
            <w:rFonts w:ascii="Cambria Math" w:hAnsi="Cambria Math" w:cs="Times New Roman"/>
            <w:sz w:val="24"/>
            <w:szCs w:val="24"/>
          </w:rPr>
          <m:t>λ</m:t>
        </m:r>
        <m:r>
          <m:rPr>
            <m:sty m:val="p"/>
          </m:rPr>
          <w:rPr>
            <w:rFonts w:ascii="Cambria Math" w:hAnsi="Times New Roman" w:cs="Times New Roman"/>
            <w:sz w:val="24"/>
            <w:szCs w:val="24"/>
          </w:rPr>
          <m:t>=1,042.2</m:t>
        </m:r>
      </m:oMath>
      <w:r w:rsidRPr="00CE707E">
        <w:rPr>
          <w:rFonts w:ascii="Times New Roman" w:eastAsiaTheme="minorEastAsia" w:hAnsi="Times New Roman" w:cs="Times New Roman"/>
          <w:sz w:val="24"/>
          <w:szCs w:val="24"/>
        </w:rPr>
        <w:t xml:space="preserve">, </w:t>
      </w:r>
      <w:r w:rsidRPr="00CE707E">
        <w:rPr>
          <w:rFonts w:ascii="Times New Roman" w:hAnsi="Times New Roman" w:cs="Times New Roman"/>
          <w:sz w:val="24"/>
          <w:szCs w:val="24"/>
        </w:rPr>
        <w:t xml:space="preserve">que minimizan el </w:t>
      </w:r>
      <w:r w:rsidRPr="00CE707E">
        <w:rPr>
          <w:rFonts w:ascii="Times New Roman" w:hAnsi="Times New Roman" w:cs="Times New Roman"/>
          <w:i/>
          <w:iCs/>
          <w:sz w:val="24"/>
          <w:szCs w:val="24"/>
        </w:rPr>
        <w:t>MSE</w:t>
      </w:r>
      <w:r w:rsidRPr="00CE707E">
        <w:rPr>
          <w:rFonts w:ascii="Times New Roman" w:hAnsi="Times New Roman" w:cs="Times New Roman"/>
          <w:sz w:val="24"/>
          <w:szCs w:val="24"/>
        </w:rPr>
        <w:t>, valores que se encontraron empleando validación cruzada en 5 conjuntos.</w:t>
      </w:r>
    </w:p>
    <w:p w14:paraId="6EC4A2D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El modelo de predicción del ingreso individual se entrenó con la base </w:t>
      </w:r>
      <w:proofErr w:type="spellStart"/>
      <w:r w:rsidRPr="00CE707E">
        <w:rPr>
          <w:rFonts w:ascii="Times New Roman" w:hAnsi="Times New Roman" w:cs="Times New Roman"/>
          <w:i/>
          <w:iCs/>
          <w:sz w:val="24"/>
          <w:szCs w:val="24"/>
        </w:rPr>
        <w:t>train</w:t>
      </w:r>
      <w:proofErr w:type="spellEnd"/>
      <w:r w:rsidRPr="00CE707E">
        <w:rPr>
          <w:rFonts w:ascii="Times New Roman" w:hAnsi="Times New Roman" w:cs="Times New Roman"/>
          <w:sz w:val="24"/>
          <w:szCs w:val="24"/>
        </w:rPr>
        <w:t xml:space="preserve">, y luego se agregaron los ingresos predichos de los </w:t>
      </w:r>
      <w:proofErr w:type="spellStart"/>
      <w:r w:rsidRPr="00CE707E">
        <w:rPr>
          <w:rFonts w:ascii="Times New Roman" w:hAnsi="Times New Roman" w:cs="Times New Roman"/>
          <w:sz w:val="24"/>
          <w:szCs w:val="24"/>
        </w:rPr>
        <w:t>MdH</w:t>
      </w:r>
      <w:proofErr w:type="spellEnd"/>
      <w:r w:rsidRPr="00CE707E">
        <w:rPr>
          <w:rFonts w:ascii="Times New Roman" w:hAnsi="Times New Roman" w:cs="Times New Roman"/>
          <w:sz w:val="24"/>
          <w:szCs w:val="24"/>
        </w:rPr>
        <w:t xml:space="preserve"> para obtener un estimado del ingreso agregado del hogar, que comparamos frente a la </w:t>
      </w:r>
      <w:proofErr w:type="spellStart"/>
      <w:r w:rsidRPr="00CE707E">
        <w:rPr>
          <w:rFonts w:ascii="Times New Roman" w:hAnsi="Times New Roman" w:cs="Times New Roman"/>
          <w:sz w:val="24"/>
          <w:szCs w:val="24"/>
        </w:rPr>
        <w:t>Lp</w:t>
      </w:r>
      <w:proofErr w:type="spellEnd"/>
      <w:r w:rsidRPr="00CE707E">
        <w:rPr>
          <w:rFonts w:ascii="Times New Roman" w:hAnsi="Times New Roman" w:cs="Times New Roman"/>
          <w:sz w:val="24"/>
          <w:szCs w:val="24"/>
          <w:vertAlign w:val="superscript"/>
        </w:rPr>
        <w:endnoteReference w:id="21"/>
      </w:r>
      <w:r w:rsidRPr="00CE707E">
        <w:rPr>
          <w:rFonts w:ascii="Times New Roman" w:hAnsi="Times New Roman" w:cs="Times New Roman"/>
          <w:sz w:val="24"/>
          <w:szCs w:val="24"/>
        </w:rPr>
        <w:t xml:space="preserve"> y clasificamos los hogares en “pobre” y “no pobre”. Encontramos que, de un total de 164,960 hogares, 52,035 son clasificados como pobres, mientras 112,925 son clasificados como no pobres. </w:t>
      </w:r>
    </w:p>
    <w:p w14:paraId="719B740B" w14:textId="77777777" w:rsidR="00B9370D" w:rsidRP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u w:val="single"/>
        </w:rPr>
        <w:t>Desempeño del modelo:</w:t>
      </w:r>
      <w:r w:rsidRPr="00B9370D">
        <w:rPr>
          <w:rFonts w:ascii="Times New Roman" w:hAnsi="Times New Roman" w:cs="Times New Roman"/>
          <w:sz w:val="24"/>
          <w:szCs w:val="24"/>
        </w:rPr>
        <w:t xml:space="preserve"> Dado que conocemos la clasificación de los hogares en la base con la que entrenamos el modelo, podemos evaluar su desempeño. En la matriz de confusión para esta estimación (Tabla 6), se tiene que la sensibilidad (</w:t>
      </w:r>
      <w:proofErr w:type="spellStart"/>
      <w:r w:rsidRPr="00B9370D">
        <w:rPr>
          <w:rFonts w:ascii="Times New Roman" w:hAnsi="Times New Roman" w:cs="Times New Roman"/>
          <w:i/>
          <w:iCs/>
          <w:sz w:val="24"/>
          <w:szCs w:val="24"/>
        </w:rPr>
        <w:t>Sensitivity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es de 65.6%, y la tasa de falsos negativos, que mide la proporción de verdaderos pobres que el modelo clasifica como </w:t>
      </w:r>
      <w:r w:rsidRPr="00B9370D">
        <w:rPr>
          <w:rFonts w:ascii="Times New Roman" w:hAnsi="Times New Roman" w:cs="Times New Roman"/>
          <w:sz w:val="24"/>
          <w:szCs w:val="24"/>
        </w:rPr>
        <w:lastRenderedPageBreak/>
        <w:t>no pobres, es de 10.0%. La tasa de falsos positivos es 58,3</w:t>
      </w:r>
      <w:proofErr w:type="gramStart"/>
      <w:r w:rsidRPr="00B9370D">
        <w:rPr>
          <w:rFonts w:ascii="Times New Roman" w:hAnsi="Times New Roman" w:cs="Times New Roman"/>
          <w:sz w:val="24"/>
          <w:szCs w:val="24"/>
        </w:rPr>
        <w:t>%,  la</w:t>
      </w:r>
      <w:proofErr w:type="gramEnd"/>
      <w:r w:rsidRPr="00B9370D">
        <w:rPr>
          <w:rFonts w:ascii="Times New Roman" w:hAnsi="Times New Roman" w:cs="Times New Roman"/>
          <w:sz w:val="24"/>
          <w:szCs w:val="24"/>
        </w:rPr>
        <w:t xml:space="preserve"> especificidad (</w:t>
      </w:r>
      <w:proofErr w:type="spellStart"/>
      <w:r w:rsidRPr="00B9370D">
        <w:rPr>
          <w:rFonts w:ascii="Times New Roman" w:hAnsi="Times New Roman" w:cs="Times New Roman"/>
          <w:i/>
          <w:iCs/>
          <w:sz w:val="24"/>
          <w:szCs w:val="24"/>
        </w:rPr>
        <w:t>Specificity</w:t>
      </w:r>
      <w:proofErr w:type="spellEnd"/>
      <w:r w:rsidRPr="00B9370D">
        <w:rPr>
          <w:rStyle w:val="Refdenotaalfinal"/>
          <w:rFonts w:ascii="Times New Roman" w:hAnsi="Times New Roman" w:cs="Times New Roman"/>
          <w:i/>
          <w:iCs/>
          <w:sz w:val="24"/>
          <w:szCs w:val="24"/>
        </w:rPr>
        <w:endnoteReference w:id="22"/>
      </w:r>
      <w:r w:rsidRPr="00B9370D">
        <w:rPr>
          <w:rFonts w:ascii="Times New Roman" w:hAnsi="Times New Roman" w:cs="Times New Roman"/>
          <w:i/>
          <w:iCs/>
          <w:sz w:val="24"/>
          <w:szCs w:val="24"/>
        </w:rPr>
        <w:t>)</w:t>
      </w:r>
      <w:r w:rsidRPr="00B9370D">
        <w:rPr>
          <w:rFonts w:ascii="Times New Roman" w:hAnsi="Times New Roman" w:cs="Times New Roman"/>
          <w:sz w:val="24"/>
          <w:szCs w:val="24"/>
        </w:rPr>
        <w:t xml:space="preserve"> de 76.9% y la precisión (</w:t>
      </w:r>
      <w:proofErr w:type="spellStart"/>
      <w:r w:rsidRPr="00B9370D">
        <w:rPr>
          <w:rFonts w:ascii="Times New Roman" w:hAnsi="Times New Roman" w:cs="Times New Roman"/>
          <w:i/>
          <w:iCs/>
          <w:sz w:val="24"/>
          <w:szCs w:val="24"/>
        </w:rPr>
        <w:t>accuracy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de 74.7% con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[74.5% , 74.9%]</m:t>
        </m:r>
      </m:oMath>
      <w:r w:rsidRPr="00B9370D">
        <w:rPr>
          <w:rFonts w:ascii="Times New Roman" w:hAnsi="Times New Roman" w:cs="Times New Roman"/>
          <w:sz w:val="24"/>
          <w:szCs w:val="24"/>
        </w:rPr>
        <w:t xml:space="preserve">. </w:t>
      </w:r>
    </w:p>
    <w:p w14:paraId="73BFB31E" w14:textId="77777777" w:rsidR="00B9370D" w:rsidRPr="00B9370D" w:rsidRDefault="00B9370D" w:rsidP="00B9370D">
      <w:pPr>
        <w:jc w:val="both"/>
        <w:rPr>
          <w:rFonts w:ascii="Times New Roman" w:hAnsi="Times New Roman" w:cs="Times New Roman"/>
          <w:b/>
          <w:sz w:val="24"/>
          <w:szCs w:val="24"/>
        </w:rPr>
      </w:pPr>
      <w:r w:rsidRPr="00B9370D">
        <w:rPr>
          <w:rFonts w:ascii="Times New Roman" w:hAnsi="Times New Roman" w:cs="Times New Roman"/>
          <w:b/>
          <w:sz w:val="24"/>
          <w:szCs w:val="24"/>
        </w:rPr>
        <w:t xml:space="preserve">4. Conclusiones y recomendaciones  </w:t>
      </w:r>
    </w:p>
    <w:p w14:paraId="1C47801C" w14:textId="5CC45F2B" w:rsid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rPr>
        <w:t>El problema de medir correctamente la pobreza de los hogares ha sido abordado desde diferentes perspectivas, que dependen principalmente de la disponibilidad de información y el concepto de pobreza que se busque entender. En este trabajo, se hizo una aproximación de la pobreza desde dos enfoques: un problema de clasificación de los hogares en pobres y no pobres, a partir de características construidas con los datos disponibles, y un problema de predicción del ingreso, que al comparar con una línea de pobreza determinada para cada hogar permite clasificarlo como pobre o no pobre.</w:t>
      </w:r>
      <w:r>
        <w:rPr>
          <w:rFonts w:ascii="Times New Roman" w:hAnsi="Times New Roman" w:cs="Times New Roman"/>
          <w:sz w:val="24"/>
          <w:szCs w:val="24"/>
        </w:rPr>
        <w:t xml:space="preserve"> </w:t>
      </w:r>
    </w:p>
    <w:p w14:paraId="03152E32" w14:textId="77777777" w:rsidR="008C7272" w:rsidRP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 xml:space="preserve">Desde el primer enfoque encontramos que variables que capturan la recepción de subsidios o ayudas, el espacio disponible para dormir en la vivienda y el nivel educativo promedio de los </w:t>
      </w:r>
      <w:proofErr w:type="spellStart"/>
      <w:r w:rsidRPr="008C7272">
        <w:rPr>
          <w:rFonts w:ascii="Times New Roman" w:hAnsi="Times New Roman" w:cs="Times New Roman"/>
          <w:sz w:val="24"/>
          <w:szCs w:val="24"/>
        </w:rPr>
        <w:t>MdH</w:t>
      </w:r>
      <w:proofErr w:type="spellEnd"/>
      <w:r w:rsidRPr="008C7272">
        <w:rPr>
          <w:rFonts w:ascii="Times New Roman" w:hAnsi="Times New Roman" w:cs="Times New Roman"/>
          <w:sz w:val="24"/>
          <w:szCs w:val="24"/>
        </w:rPr>
        <w:t xml:space="preserve">, son las características que mejor permiten perfilar el hogar. De otro lado, características tales como trabajar en microempresa, estar ocupado, el tipo de ocupación y el nivel educativo, son los determinantes del ingreso individual que permitieron un mejor ajuste del ingreso agregado del hogar para caracterizar pobreza. En concreto, con el método de clasificación encontramos que el 25,7% de hogares en </w:t>
      </w:r>
      <w:r w:rsidRPr="008C7272">
        <w:rPr>
          <w:rFonts w:ascii="Times New Roman" w:hAnsi="Times New Roman" w:cs="Times New Roman"/>
          <w:i/>
          <w:iCs/>
          <w:sz w:val="24"/>
          <w:szCs w:val="24"/>
        </w:rPr>
        <w:t>test</w:t>
      </w:r>
      <w:r w:rsidRPr="008C7272">
        <w:rPr>
          <w:rFonts w:ascii="Times New Roman" w:hAnsi="Times New Roman" w:cs="Times New Roman"/>
          <w:sz w:val="24"/>
          <w:szCs w:val="24"/>
        </w:rPr>
        <w:t xml:space="preserve"> son pobres, y con el modelo de predicción del ingreso comparado con la línea de pobreza, que el 32,1% de dichos hogares se clasifican como pobres. </w:t>
      </w:r>
    </w:p>
    <w:p w14:paraId="7483E5D6" w14:textId="5E99D38F" w:rsid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Los hallazgos señalan que cerca del 30% de los hogares colombianos analizados en la muestra se encuentran en condiciones de pobreza, un porcentaje importante, si además consideramos que dentro de estos hogares se encuentran aquellos que además están en condición de pobreza extrema e indigencia. Resaltamos que la información disponible se enfoca más en las fuentes de ingresos por trabajo de los individuos, y no de otros ingresos, que representan un porcentaje importante de las entradas de hogares de bajos recursos. Asimismo, carecemos de información sobre las condiciones y calidad de vida de las personas, que suelen funcionar mejor como indicadores de pobreza.</w:t>
      </w:r>
    </w:p>
    <w:p w14:paraId="622639AF"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De esta forma, es fundamental mejorar las fuentes de información para lograr un mejor perfilamiento de los hogares, para que los recursos puedan dirigirse a la población más vulnerable, se logre trabajar en iniciativas que fomenten la educación y el empleo, al tiempo que se reduzcan las disparidades en oportunidades, de modo que se logren incrementar los ingresos de dichos hogares y se fortalezcan sus medios de vida. Lo que, sumado a mejores condiciones de salubridad, nutrición, protección social, conectividad, productividad, entre otros, mejoraría sus condiciones de vida, bienestar y permitiría salir progresivamente de la pobreza. </w:t>
      </w:r>
    </w:p>
    <w:p w14:paraId="6F7FD35A" w14:textId="77777777" w:rsidR="001446BE" w:rsidRPr="001446BE" w:rsidRDefault="001446BE" w:rsidP="001446BE">
      <w:pPr>
        <w:spacing w:line="259" w:lineRule="auto"/>
        <w:rPr>
          <w:rFonts w:ascii="Times New Roman" w:hAnsi="Times New Roman" w:cs="Times New Roman"/>
          <w:b/>
          <w:sz w:val="24"/>
          <w:szCs w:val="24"/>
        </w:rPr>
      </w:pPr>
    </w:p>
    <w:p w14:paraId="15DC094D" w14:textId="77777777" w:rsidR="001446BE" w:rsidRPr="001446BE" w:rsidRDefault="001446BE" w:rsidP="001446BE">
      <w:pPr>
        <w:spacing w:line="259" w:lineRule="auto"/>
        <w:rPr>
          <w:rFonts w:ascii="Times New Roman" w:hAnsi="Times New Roman" w:cs="Times New Roman"/>
          <w:b/>
          <w:sz w:val="24"/>
          <w:szCs w:val="24"/>
        </w:rPr>
      </w:pPr>
      <w:r w:rsidRPr="001446BE">
        <w:rPr>
          <w:rFonts w:ascii="Times New Roman" w:hAnsi="Times New Roman" w:cs="Times New Roman"/>
          <w:b/>
          <w:sz w:val="24"/>
          <w:szCs w:val="24"/>
        </w:rPr>
        <w:br w:type="page"/>
      </w:r>
    </w:p>
    <w:p w14:paraId="355D8E23" w14:textId="77777777" w:rsidR="001446BE" w:rsidRPr="001446BE" w:rsidRDefault="001446BE" w:rsidP="001446BE">
      <w:pPr>
        <w:spacing w:line="259" w:lineRule="auto"/>
        <w:rPr>
          <w:rFonts w:ascii="Times New Roman" w:hAnsi="Times New Roman" w:cs="Times New Roman"/>
          <w:sz w:val="24"/>
          <w:szCs w:val="24"/>
        </w:rPr>
      </w:pPr>
      <w:r w:rsidRPr="001446BE">
        <w:rPr>
          <w:rFonts w:ascii="Times New Roman" w:hAnsi="Times New Roman" w:cs="Times New Roman"/>
          <w:b/>
          <w:sz w:val="24"/>
          <w:szCs w:val="24"/>
        </w:rPr>
        <w:lastRenderedPageBreak/>
        <w:t>Anexos</w:t>
      </w:r>
    </w:p>
    <w:p w14:paraId="6122B346" w14:textId="77777777" w:rsidR="001446BE" w:rsidRPr="001446BE" w:rsidRDefault="001446BE" w:rsidP="001446BE">
      <w:pPr>
        <w:spacing w:line="259" w:lineRule="auto"/>
        <w:rPr>
          <w:rFonts w:ascii="Times New Roman" w:hAnsi="Times New Roman" w:cs="Times New Roman"/>
          <w:b/>
          <w:bCs/>
          <w:sz w:val="24"/>
          <w:szCs w:val="24"/>
          <w:u w:val="single"/>
        </w:rPr>
      </w:pPr>
      <w:r w:rsidRPr="001446BE">
        <w:rPr>
          <w:rFonts w:ascii="Times New Roman" w:hAnsi="Times New Roman" w:cs="Times New Roman"/>
          <w:b/>
          <w:bCs/>
          <w:sz w:val="24"/>
          <w:szCs w:val="24"/>
          <w:u w:val="single"/>
        </w:rPr>
        <w:t>Anexo 1: variables de interés (clasificación de pobreza)</w:t>
      </w:r>
    </w:p>
    <w:p w14:paraId="0B44671D"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Adicional a las variables usadas en el modelo </w:t>
      </w:r>
      <w:proofErr w:type="spellStart"/>
      <w:r w:rsidRPr="001446BE">
        <w:rPr>
          <w:rFonts w:ascii="Times New Roman" w:hAnsi="Times New Roman" w:cs="Times New Roman"/>
          <w:i/>
          <w:iCs/>
          <w:sz w:val="24"/>
          <w:szCs w:val="24"/>
        </w:rPr>
        <w:t>logit</w:t>
      </w:r>
      <w:proofErr w:type="spellEnd"/>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Subsidiado_hg</w:t>
      </w:r>
      <w:proofErr w:type="spellEnd"/>
      <w:r w:rsidRPr="001446BE">
        <w:rPr>
          <w:rFonts w:ascii="Times New Roman" w:hAnsi="Times New Roman" w:cs="Times New Roman"/>
          <w:i/>
          <w:iCs/>
          <w:sz w:val="24"/>
          <w:szCs w:val="24"/>
        </w:rPr>
        <w:t xml:space="preserve">, </w:t>
      </w:r>
      <w:proofErr w:type="spellStart"/>
      <w:r w:rsidRPr="001446BE">
        <w:rPr>
          <w:rFonts w:ascii="Times New Roman" w:hAnsi="Times New Roman" w:cs="Times New Roman"/>
          <w:i/>
          <w:iCs/>
          <w:sz w:val="24"/>
          <w:szCs w:val="24"/>
        </w:rPr>
        <w:t>ayudaInstitucions_hg</w:t>
      </w:r>
      <w:proofErr w:type="spellEnd"/>
      <w:r w:rsidRPr="001446BE">
        <w:rPr>
          <w:rFonts w:ascii="Times New Roman" w:hAnsi="Times New Roman" w:cs="Times New Roman"/>
          <w:i/>
          <w:iCs/>
          <w:sz w:val="24"/>
          <w:szCs w:val="24"/>
        </w:rPr>
        <w:t xml:space="preserve">, </w:t>
      </w:r>
      <w:proofErr w:type="spellStart"/>
      <w:r w:rsidRPr="001446BE">
        <w:rPr>
          <w:rFonts w:ascii="Times New Roman" w:hAnsi="Times New Roman" w:cs="Times New Roman"/>
          <w:i/>
          <w:iCs/>
          <w:sz w:val="24"/>
          <w:szCs w:val="24"/>
        </w:rPr>
        <w:t>personaxCuarto_hg</w:t>
      </w:r>
      <w:proofErr w:type="spellEnd"/>
      <w:r w:rsidRPr="001446BE">
        <w:rPr>
          <w:rFonts w:ascii="Times New Roman" w:hAnsi="Times New Roman" w:cs="Times New Roman"/>
          <w:i/>
          <w:iCs/>
          <w:sz w:val="24"/>
          <w:szCs w:val="24"/>
        </w:rPr>
        <w:t xml:space="preserve"> y </w:t>
      </w:r>
      <w:proofErr w:type="spellStart"/>
      <w:r w:rsidRPr="001446BE">
        <w:rPr>
          <w:rFonts w:ascii="Times New Roman" w:hAnsi="Times New Roman" w:cs="Times New Roman"/>
          <w:i/>
          <w:iCs/>
          <w:sz w:val="24"/>
          <w:szCs w:val="24"/>
        </w:rPr>
        <w:t>educ_hg</w:t>
      </w:r>
      <w:proofErr w:type="spellEnd"/>
      <w:r w:rsidRPr="001446BE">
        <w:rPr>
          <w:rFonts w:ascii="Times New Roman" w:hAnsi="Times New Roman" w:cs="Times New Roman"/>
          <w:sz w:val="24"/>
          <w:szCs w:val="24"/>
        </w:rPr>
        <w:t xml:space="preserve">), se consideraron otras características: </w:t>
      </w:r>
      <w:r w:rsidRPr="001446BE">
        <w:rPr>
          <w:rFonts w:ascii="Times New Roman" w:hAnsi="Times New Roman" w:cs="Times New Roman"/>
          <w:b/>
          <w:bCs/>
          <w:sz w:val="24"/>
          <w:szCs w:val="24"/>
        </w:rPr>
        <w:t>subsidio familiar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subFamiliar_hg</w:t>
      </w:r>
      <w:proofErr w:type="spellEnd"/>
      <w:r w:rsidRPr="001446BE">
        <w:rPr>
          <w:rFonts w:ascii="Times New Roman" w:hAnsi="Times New Roman" w:cs="Times New Roman"/>
          <w:sz w:val="24"/>
          <w:szCs w:val="24"/>
        </w:rPr>
        <w:t xml:space="preserve"> una variable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indica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un subsidio familiar en el último mes (=1); </w:t>
      </w:r>
      <w:r w:rsidRPr="001446BE">
        <w:rPr>
          <w:rFonts w:ascii="Times New Roman" w:hAnsi="Times New Roman" w:cs="Times New Roman"/>
          <w:b/>
          <w:bCs/>
          <w:sz w:val="24"/>
          <w:szCs w:val="24"/>
        </w:rPr>
        <w:t>subsidio educativo</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subEducativo_hg</w:t>
      </w:r>
      <w:proofErr w:type="spellEnd"/>
      <w:r w:rsidRPr="001446BE">
        <w:rPr>
          <w:rFonts w:ascii="Times New Roman" w:hAnsi="Times New Roman" w:cs="Times New Roman"/>
          <w:sz w:val="24"/>
          <w:szCs w:val="24"/>
        </w:rPr>
        <w:t xml:space="preserve"> variable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denota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un subsidio educativo en el último mes (=1); </w:t>
      </w:r>
      <w:r w:rsidRPr="001446BE">
        <w:rPr>
          <w:rFonts w:ascii="Times New Roman" w:hAnsi="Times New Roman" w:cs="Times New Roman"/>
          <w:b/>
          <w:bCs/>
          <w:sz w:val="24"/>
          <w:szCs w:val="24"/>
        </w:rPr>
        <w:t>ayuda de hogares nacionales</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ayudaHogaresnal_hg</w:t>
      </w:r>
      <w:proofErr w:type="spellEnd"/>
      <w:r w:rsidRPr="001446BE">
        <w:rPr>
          <w:rFonts w:ascii="Times New Roman" w:hAnsi="Times New Roman" w:cs="Times New Roman"/>
          <w:sz w:val="24"/>
          <w:szCs w:val="24"/>
        </w:rPr>
        <w:t xml:space="preserve"> una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indica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ayuda monetaria de otro hogar o persona a nivel nacional en los últimos dos meses (=1); </w:t>
      </w:r>
      <w:r w:rsidRPr="001446BE">
        <w:rPr>
          <w:rFonts w:ascii="Times New Roman" w:hAnsi="Times New Roman" w:cs="Times New Roman"/>
          <w:b/>
          <w:bCs/>
          <w:sz w:val="24"/>
          <w:szCs w:val="24"/>
        </w:rPr>
        <w:t>ayuda de hogares extranjeros</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ayudaHogaresext_hg</w:t>
      </w:r>
      <w:proofErr w:type="spellEnd"/>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señala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ayuda monetaria de otro hogar o persona del extranjero en los últimos dos meses (=1); </w:t>
      </w:r>
      <w:r w:rsidRPr="001446BE">
        <w:rPr>
          <w:rFonts w:ascii="Times New Roman" w:hAnsi="Times New Roman" w:cs="Times New Roman"/>
          <w:b/>
          <w:bCs/>
          <w:sz w:val="24"/>
          <w:szCs w:val="24"/>
        </w:rPr>
        <w:t>profesional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profesional_hg</w:t>
      </w:r>
      <w:proofErr w:type="spellEnd"/>
      <w:r w:rsidRPr="001446BE">
        <w:rPr>
          <w:rFonts w:ascii="Times New Roman" w:hAnsi="Times New Roman" w:cs="Times New Roman"/>
          <w:sz w:val="24"/>
          <w:szCs w:val="24"/>
        </w:rPr>
        <w:t xml:space="preserve"> toma el valor de 1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tiene más de 12 años de educación, indicando que terminó bachillerato y tiene la posibilidad de aplicar a un título técnico o universitario; </w:t>
      </w:r>
      <w:r w:rsidRPr="001446BE">
        <w:rPr>
          <w:rFonts w:ascii="Times New Roman" w:hAnsi="Times New Roman" w:cs="Times New Roman"/>
          <w:b/>
          <w:bCs/>
          <w:sz w:val="24"/>
          <w:szCs w:val="24"/>
        </w:rPr>
        <w:t>trabajador de microempresa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microempresa_hg</w:t>
      </w:r>
      <w:proofErr w:type="spellEnd"/>
      <w:r w:rsidRPr="001446BE">
        <w:rPr>
          <w:rFonts w:ascii="Times New Roman" w:hAnsi="Times New Roman" w:cs="Times New Roman"/>
          <w:sz w:val="24"/>
          <w:szCs w:val="24"/>
        </w:rPr>
        <w:t xml:space="preserve"> indica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trabaja en una empresa con máximo 10 empleados (=1); </w:t>
      </w:r>
      <w:r w:rsidRPr="001446BE">
        <w:rPr>
          <w:rFonts w:ascii="Times New Roman" w:hAnsi="Times New Roman" w:cs="Times New Roman"/>
          <w:b/>
          <w:bCs/>
          <w:sz w:val="24"/>
          <w:szCs w:val="24"/>
        </w:rPr>
        <w:t>trabajador formal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formal_hg</w:t>
      </w:r>
      <w:proofErr w:type="spellEnd"/>
      <w:r w:rsidRPr="001446BE">
        <w:rPr>
          <w:rFonts w:ascii="Times New Roman" w:hAnsi="Times New Roman" w:cs="Times New Roman"/>
          <w:sz w:val="24"/>
          <w:szCs w:val="24"/>
        </w:rPr>
        <w:t xml:space="preserve"> determina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era cotizante o beneficiario de alguna entidad de seguridad social en salud, y por lo tanto, se considera trabajador formal; y </w:t>
      </w:r>
      <w:r w:rsidRPr="001446BE">
        <w:rPr>
          <w:rFonts w:ascii="Times New Roman" w:hAnsi="Times New Roman" w:cs="Times New Roman"/>
          <w:b/>
          <w:bCs/>
          <w:sz w:val="24"/>
          <w:szCs w:val="24"/>
        </w:rPr>
        <w:t>miembros del hogar -</w:t>
      </w:r>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Nper</w:t>
      </w:r>
      <w:proofErr w:type="spellEnd"/>
      <w:r w:rsidRPr="001446BE">
        <w:rPr>
          <w:rFonts w:ascii="Times New Roman" w:hAnsi="Times New Roman" w:cs="Times New Roman"/>
          <w:sz w:val="24"/>
          <w:szCs w:val="24"/>
        </w:rPr>
        <w:t xml:space="preserve"> que indica el número de personas en el hogar.    </w:t>
      </w:r>
    </w:p>
    <w:p w14:paraId="7554E4C0" w14:textId="77777777" w:rsidR="000414DE" w:rsidRPr="000414DE" w:rsidRDefault="000414DE" w:rsidP="000414DE">
      <w:pPr>
        <w:rPr>
          <w:rFonts w:ascii="Times New Roman" w:hAnsi="Times New Roman" w:cs="Times New Roman"/>
          <w:b/>
          <w:bCs/>
          <w:sz w:val="24"/>
          <w:szCs w:val="24"/>
          <w:u w:val="single"/>
        </w:rPr>
      </w:pPr>
      <w:r w:rsidRPr="000414DE">
        <w:rPr>
          <w:rFonts w:ascii="Times New Roman" w:hAnsi="Times New Roman" w:cs="Times New Roman"/>
          <w:b/>
          <w:bCs/>
          <w:sz w:val="24"/>
          <w:szCs w:val="24"/>
          <w:u w:val="single"/>
        </w:rPr>
        <w:t>Anexo 2: variables de interés (ingreso laboral)</w:t>
      </w:r>
    </w:p>
    <w:p w14:paraId="54D8A03F" w14:textId="33C08FA6" w:rsidR="000414DE" w:rsidRDefault="000414DE" w:rsidP="000414DE">
      <w:pPr>
        <w:jc w:val="both"/>
        <w:rPr>
          <w:rFonts w:ascii="Times New Roman" w:hAnsi="Times New Roman" w:cs="Times New Roman"/>
          <w:sz w:val="24"/>
          <w:szCs w:val="24"/>
        </w:rPr>
      </w:pPr>
      <w:r w:rsidRPr="000414DE">
        <w:rPr>
          <w:rFonts w:ascii="Times New Roman" w:hAnsi="Times New Roman" w:cs="Times New Roman"/>
          <w:sz w:val="24"/>
          <w:szCs w:val="24"/>
        </w:rPr>
        <w:t xml:space="preserve">Para la estimación del ingreso laboral de cada miembro del hogar se identificaron y seleccionaron un conjunto de variables que de acuerdo con la teoría económica tienen una influencia significativa sobre nuestra variable de interés (el ingreso laboral). En concreto, se consideró un conjunto de variables continuas: </w:t>
      </w:r>
      <w:r w:rsidRPr="000414DE">
        <w:rPr>
          <w:rFonts w:ascii="Times New Roman" w:hAnsi="Times New Roman" w:cs="Times New Roman"/>
          <w:b/>
          <w:bCs/>
          <w:sz w:val="24"/>
          <w:szCs w:val="24"/>
        </w:rPr>
        <w:t xml:space="preserve">edad - </w:t>
      </w:r>
      <w:r w:rsidRPr="000414DE">
        <w:rPr>
          <w:rFonts w:ascii="Times New Roman" w:hAnsi="Times New Roman" w:cs="Times New Roman"/>
          <w:i/>
          <w:iCs/>
          <w:sz w:val="24"/>
          <w:szCs w:val="24"/>
        </w:rPr>
        <w:t>edad</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edad al cuadrado - </w:t>
      </w:r>
      <w:r w:rsidRPr="000414DE">
        <w:rPr>
          <w:rFonts w:ascii="Times New Roman" w:hAnsi="Times New Roman" w:cs="Times New Roman"/>
          <w:i/>
          <w:iCs/>
          <w:sz w:val="24"/>
          <w:szCs w:val="24"/>
        </w:rPr>
        <w:t>edad2</w:t>
      </w:r>
      <w:r w:rsidRPr="000414DE">
        <w:rPr>
          <w:rFonts w:ascii="Times New Roman" w:hAnsi="Times New Roman" w:cs="Times New Roman"/>
          <w:sz w:val="24"/>
          <w:szCs w:val="24"/>
        </w:rPr>
        <w:t xml:space="preserve"> (para capturar el efecto decreciente de la edad sobre el ingreso), </w:t>
      </w:r>
      <w:r w:rsidRPr="000414DE">
        <w:rPr>
          <w:rFonts w:ascii="Times New Roman" w:hAnsi="Times New Roman" w:cs="Times New Roman"/>
          <w:b/>
          <w:bCs/>
          <w:sz w:val="24"/>
          <w:szCs w:val="24"/>
        </w:rPr>
        <w:t xml:space="preserve">experiencia potencial - </w:t>
      </w:r>
      <w:r w:rsidRPr="000414DE">
        <w:rPr>
          <w:rFonts w:ascii="Times New Roman" w:hAnsi="Times New Roman" w:cs="Times New Roman"/>
          <w:i/>
          <w:iCs/>
          <w:sz w:val="24"/>
          <w:szCs w:val="24"/>
        </w:rPr>
        <w:t>experiencia</w:t>
      </w:r>
      <w:r w:rsidRPr="000414DE">
        <w:rPr>
          <w:rFonts w:ascii="Times New Roman" w:hAnsi="Times New Roman" w:cs="Times New Roman"/>
          <w:sz w:val="24"/>
          <w:szCs w:val="24"/>
        </w:rPr>
        <w:t xml:space="preserve"> (construimos un </w:t>
      </w:r>
      <w:r w:rsidRPr="000414DE">
        <w:rPr>
          <w:rFonts w:ascii="Times New Roman" w:hAnsi="Times New Roman" w:cs="Times New Roman"/>
          <w:i/>
          <w:sz w:val="24"/>
          <w:szCs w:val="24"/>
        </w:rPr>
        <w:t>proxy</w:t>
      </w:r>
      <w:r w:rsidRPr="000414DE">
        <w:rPr>
          <w:rFonts w:ascii="Times New Roman" w:hAnsi="Times New Roman" w:cs="Times New Roman"/>
          <w:sz w:val="24"/>
          <w:szCs w:val="24"/>
        </w:rPr>
        <w:t xml:space="preserve"> de </w:t>
      </w:r>
      <w:r w:rsidRPr="000414DE">
        <w:rPr>
          <w:rFonts w:ascii="Times New Roman" w:hAnsi="Times New Roman" w:cs="Times New Roman"/>
          <w:bCs/>
          <w:sz w:val="24"/>
          <w:szCs w:val="24"/>
        </w:rPr>
        <w:t>experiencia laboral</w:t>
      </w:r>
      <w:r w:rsidRPr="000414DE">
        <w:rPr>
          <w:rStyle w:val="Refdenotaalfinal"/>
          <w:rFonts w:ascii="Times New Roman" w:hAnsi="Times New Roman" w:cs="Times New Roman"/>
          <w:bCs/>
          <w:sz w:val="24"/>
          <w:szCs w:val="24"/>
        </w:rPr>
        <w:endnoteReference w:id="23"/>
      </w:r>
      <w:r w:rsidRPr="000414DE">
        <w:rPr>
          <w:rFonts w:ascii="Times New Roman" w:hAnsi="Times New Roman" w:cs="Times New Roman"/>
          <w:bCs/>
          <w:sz w:val="24"/>
          <w:szCs w:val="24"/>
        </w:rPr>
        <w:t>, d</w:t>
      </w:r>
      <w:r w:rsidRPr="000414DE">
        <w:rPr>
          <w:rFonts w:ascii="Times New Roman" w:hAnsi="Times New Roman" w:cs="Times New Roman"/>
          <w:sz w:val="24"/>
          <w:szCs w:val="24"/>
        </w:rPr>
        <w:t xml:space="preserve">ebido a que no se tiene información reportada de los años de experiencia laboral, utilizamos el concepto de “experiencia potencial”, que se crea a partir de la edad, los años de educación y los años de iniciación en el mercado laboral (Aristizábal &amp; Ángel, 2017)), </w:t>
      </w:r>
      <w:r w:rsidRPr="000414DE">
        <w:rPr>
          <w:rFonts w:ascii="Times New Roman" w:hAnsi="Times New Roman" w:cs="Times New Roman"/>
          <w:b/>
          <w:bCs/>
          <w:sz w:val="24"/>
          <w:szCs w:val="24"/>
        </w:rPr>
        <w:t xml:space="preserve">experiencia potencial al cuadrado – </w:t>
      </w:r>
      <w:r w:rsidRPr="000414DE">
        <w:rPr>
          <w:rFonts w:ascii="Times New Roman" w:hAnsi="Times New Roman" w:cs="Times New Roman"/>
          <w:i/>
          <w:iCs/>
          <w:sz w:val="24"/>
          <w:szCs w:val="24"/>
        </w:rPr>
        <w:t>experiencia2</w:t>
      </w:r>
      <w:r w:rsidRPr="000414DE">
        <w:rPr>
          <w:rFonts w:ascii="Times New Roman" w:hAnsi="Times New Roman" w:cs="Times New Roman"/>
          <w:sz w:val="24"/>
          <w:szCs w:val="24"/>
        </w:rPr>
        <w:t xml:space="preserve"> (para capturar el efecto decreciente que viene con la edad sobre el ingreso), y </w:t>
      </w:r>
      <w:r w:rsidRPr="000414DE">
        <w:rPr>
          <w:rFonts w:ascii="Times New Roman" w:hAnsi="Times New Roman" w:cs="Times New Roman"/>
          <w:b/>
          <w:bCs/>
          <w:sz w:val="24"/>
          <w:szCs w:val="24"/>
        </w:rPr>
        <w:t>nivel educativo</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 </w:t>
      </w:r>
      <w:proofErr w:type="spellStart"/>
      <w:r w:rsidRPr="000414DE">
        <w:rPr>
          <w:rFonts w:ascii="Times New Roman" w:hAnsi="Times New Roman" w:cs="Times New Roman"/>
          <w:i/>
          <w:iCs/>
          <w:sz w:val="24"/>
          <w:szCs w:val="24"/>
        </w:rPr>
        <w:t>educ</w:t>
      </w:r>
      <w:proofErr w:type="spellEnd"/>
      <w:r w:rsidRPr="000414DE">
        <w:rPr>
          <w:rFonts w:ascii="Times New Roman" w:hAnsi="Times New Roman" w:cs="Times New Roman"/>
          <w:sz w:val="24"/>
          <w:szCs w:val="24"/>
        </w:rPr>
        <w:t xml:space="preserve"> (variable de educación medida en años que construimos a partir del máximo nivel educativo alcanzado que se reportó en la encuesta. En efecto, si este nivel es ninguno o no sabe se asignaron 0 años, si es preescolar 3 años, si es básica primaria 8 años, si es básica secundaria 12 años, si es media 16 años y si es superior o universitaria 20 años).</w:t>
      </w:r>
      <w:r>
        <w:rPr>
          <w:rFonts w:ascii="Times New Roman" w:hAnsi="Times New Roman" w:cs="Times New Roman"/>
          <w:sz w:val="24"/>
          <w:szCs w:val="24"/>
        </w:rPr>
        <w:t xml:space="preserve"> </w:t>
      </w:r>
    </w:p>
    <w:p w14:paraId="7D53A247" w14:textId="0C8568DE" w:rsidR="000A2CA7" w:rsidRDefault="000A2CA7" w:rsidP="000414DE">
      <w:pPr>
        <w:jc w:val="both"/>
        <w:rPr>
          <w:rFonts w:ascii="Times New Roman" w:hAnsi="Times New Roman" w:cs="Times New Roman"/>
          <w:sz w:val="24"/>
          <w:szCs w:val="24"/>
        </w:rPr>
      </w:pPr>
      <w:r w:rsidRPr="000A2CA7">
        <w:rPr>
          <w:rFonts w:ascii="Times New Roman" w:hAnsi="Times New Roman" w:cs="Times New Roman"/>
          <w:sz w:val="24"/>
          <w:szCs w:val="24"/>
        </w:rPr>
        <w:t xml:space="preserve">De otro lado, un conjunto de variables categóricas o </w:t>
      </w:r>
      <w:proofErr w:type="spellStart"/>
      <w:r w:rsidRPr="000A2CA7">
        <w:rPr>
          <w:rFonts w:ascii="Times New Roman" w:hAnsi="Times New Roman" w:cs="Times New Roman"/>
          <w:i/>
          <w:iCs/>
          <w:sz w:val="24"/>
          <w:szCs w:val="24"/>
        </w:rPr>
        <w:t>dummies</w:t>
      </w:r>
      <w:proofErr w:type="spellEnd"/>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género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mujer</w:t>
      </w:r>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toma el valor de 1 si el individuo es mujer y 0 en otro caso), </w:t>
      </w:r>
      <w:r w:rsidRPr="000A2CA7">
        <w:rPr>
          <w:rFonts w:ascii="Times New Roman" w:hAnsi="Times New Roman" w:cs="Times New Roman"/>
          <w:b/>
          <w:bCs/>
          <w:sz w:val="24"/>
          <w:szCs w:val="24"/>
        </w:rPr>
        <w:t xml:space="preserve">jefe de hogar - </w:t>
      </w:r>
      <w:proofErr w:type="spellStart"/>
      <w:r w:rsidRPr="000A2CA7">
        <w:rPr>
          <w:rFonts w:ascii="Times New Roman" w:hAnsi="Times New Roman" w:cs="Times New Roman"/>
          <w:i/>
          <w:iCs/>
          <w:sz w:val="24"/>
          <w:szCs w:val="24"/>
        </w:rPr>
        <w:t>jefeHogar</w:t>
      </w:r>
      <w:proofErr w:type="spellEnd"/>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caracteriza si la persona es </w:t>
      </w:r>
      <w:r w:rsidRPr="000A2CA7">
        <w:rPr>
          <w:rFonts w:ascii="Times New Roman" w:hAnsi="Times New Roman" w:cs="Times New Roman"/>
          <w:bCs/>
          <w:sz w:val="24"/>
          <w:szCs w:val="24"/>
        </w:rPr>
        <w:t>jefa del hogar</w:t>
      </w:r>
      <w:r w:rsidRPr="000A2CA7">
        <w:rPr>
          <w:rFonts w:ascii="Times New Roman" w:hAnsi="Times New Roman" w:cs="Times New Roman"/>
          <w:sz w:val="24"/>
          <w:szCs w:val="24"/>
        </w:rPr>
        <w:t xml:space="preserve"> o no), una </w:t>
      </w:r>
      <w:r w:rsidRPr="000A2CA7">
        <w:rPr>
          <w:rFonts w:ascii="Times New Roman" w:hAnsi="Times New Roman" w:cs="Times New Roman"/>
          <w:b/>
          <w:bCs/>
          <w:sz w:val="24"/>
          <w:szCs w:val="24"/>
        </w:rPr>
        <w:t xml:space="preserve">interacción entre jefe de hogar y género – </w:t>
      </w:r>
      <w:proofErr w:type="spellStart"/>
      <w:r w:rsidRPr="000A2CA7">
        <w:rPr>
          <w:rFonts w:ascii="Times New Roman" w:hAnsi="Times New Roman" w:cs="Times New Roman"/>
          <w:i/>
          <w:iCs/>
          <w:sz w:val="24"/>
          <w:szCs w:val="24"/>
        </w:rPr>
        <w:t>jefeHogar_mujer</w:t>
      </w:r>
      <w:proofErr w:type="spellEnd"/>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trabajo formal</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formal</w:t>
      </w:r>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iCs/>
          <w:sz w:val="24"/>
          <w:szCs w:val="24"/>
        </w:rPr>
        <w:t>dummy</w:t>
      </w:r>
      <w:proofErr w:type="spellEnd"/>
      <w:r w:rsidRPr="000A2CA7">
        <w:rPr>
          <w:rFonts w:ascii="Times New Roman" w:hAnsi="Times New Roman" w:cs="Times New Roman"/>
          <w:sz w:val="24"/>
          <w:szCs w:val="24"/>
        </w:rPr>
        <w:t xml:space="preserve"> que se creó a partir de la variable p6090 “¿Está afiliado, es cotizante o es beneficiario de alguna entidad de seguridad social en salud?”, puesto el empleo informal se </w:t>
      </w:r>
      <w:r w:rsidRPr="000A2CA7">
        <w:rPr>
          <w:rFonts w:ascii="Times New Roman" w:hAnsi="Times New Roman" w:cs="Times New Roman"/>
          <w:sz w:val="24"/>
          <w:szCs w:val="24"/>
        </w:rPr>
        <w:lastRenderedPageBreak/>
        <w:t xml:space="preserve">refiere a los trabajadores que, entre muchos factores, pertenecen a una empresa o desempeñan un trabajo sin contrato laboral y sin aportes a seguridad social (Departamento Administrativo Nacional de Estadística [DANE], 2009)), </w:t>
      </w:r>
      <w:r w:rsidRPr="000A2CA7">
        <w:rPr>
          <w:rFonts w:ascii="Times New Roman" w:hAnsi="Times New Roman" w:cs="Times New Roman"/>
          <w:b/>
          <w:bCs/>
          <w:sz w:val="24"/>
          <w:szCs w:val="24"/>
        </w:rPr>
        <w:t>microempresa</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proofErr w:type="spellStart"/>
      <w:r w:rsidRPr="000A2CA7">
        <w:rPr>
          <w:rFonts w:ascii="Times New Roman" w:hAnsi="Times New Roman" w:cs="Times New Roman"/>
          <w:i/>
          <w:iCs/>
          <w:sz w:val="24"/>
          <w:szCs w:val="24"/>
        </w:rPr>
        <w:t>microEmpresa</w:t>
      </w:r>
      <w:proofErr w:type="spellEnd"/>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iCs/>
          <w:sz w:val="24"/>
          <w:szCs w:val="24"/>
        </w:rPr>
        <w:t>dummy</w:t>
      </w:r>
      <w:proofErr w:type="spellEnd"/>
      <w:r w:rsidRPr="000A2CA7">
        <w:rPr>
          <w:rFonts w:ascii="Times New Roman" w:hAnsi="Times New Roman" w:cs="Times New Roman"/>
          <w:sz w:val="24"/>
          <w:szCs w:val="24"/>
        </w:rPr>
        <w:t xml:space="preserve"> que indica si la persona trabaja en una microempresa o no, a partir del tamaño de la empresa, medido por el número de trabajadores, se denotan como microempresas las compañías que tengan personal no superior a 10 trabajadores (Ministerio de Comercio, Industria y Turismo, 2007)), </w:t>
      </w:r>
      <w:r w:rsidRPr="000A2CA7">
        <w:rPr>
          <w:rFonts w:ascii="Times New Roman" w:hAnsi="Times New Roman" w:cs="Times New Roman"/>
          <w:b/>
          <w:bCs/>
          <w:sz w:val="24"/>
          <w:szCs w:val="24"/>
        </w:rPr>
        <w:t>ocupado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ocupado</w:t>
      </w:r>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indica si la persona se encontraba dentro de la población ocupada en el momento de la encuesta), </w:t>
      </w:r>
      <w:r w:rsidRPr="000A2CA7">
        <w:rPr>
          <w:rFonts w:ascii="Times New Roman" w:hAnsi="Times New Roman" w:cs="Times New Roman"/>
          <w:b/>
          <w:bCs/>
          <w:sz w:val="24"/>
          <w:szCs w:val="24"/>
        </w:rPr>
        <w:t>segundo trabajo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proofErr w:type="spellStart"/>
      <w:r w:rsidRPr="000A2CA7">
        <w:rPr>
          <w:rFonts w:ascii="Times New Roman" w:hAnsi="Times New Roman" w:cs="Times New Roman"/>
          <w:i/>
          <w:iCs/>
          <w:sz w:val="24"/>
          <w:szCs w:val="24"/>
        </w:rPr>
        <w:t>segundoTrabajo</w:t>
      </w:r>
      <w:proofErr w:type="spellEnd"/>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indica si la persona tenía un segundo trabajo en el momento de la encuesta) y </w:t>
      </w:r>
      <w:r w:rsidRPr="000A2CA7">
        <w:rPr>
          <w:rFonts w:ascii="Times New Roman" w:hAnsi="Times New Roman" w:cs="Times New Roman"/>
          <w:b/>
          <w:bCs/>
          <w:sz w:val="24"/>
          <w:szCs w:val="24"/>
        </w:rPr>
        <w:t>oficio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oficio</w:t>
      </w:r>
      <w:r w:rsidRPr="000A2CA7">
        <w:rPr>
          <w:rFonts w:ascii="Times New Roman" w:hAnsi="Times New Roman" w:cs="Times New Roman"/>
          <w:sz w:val="24"/>
          <w:szCs w:val="24"/>
        </w:rPr>
        <w:t xml:space="preserve"> (variable categórica que denota la ocupación de la persona y toma valores de 1 a 99).</w:t>
      </w:r>
    </w:p>
    <w:p w14:paraId="11307FC5" w14:textId="77777777" w:rsidR="00CC67B0" w:rsidRPr="00CC67B0" w:rsidRDefault="00CC67B0" w:rsidP="00CC67B0">
      <w:pPr>
        <w:spacing w:line="259" w:lineRule="auto"/>
        <w:jc w:val="both"/>
        <w:rPr>
          <w:rFonts w:ascii="Times New Roman" w:hAnsi="Times New Roman" w:cs="Times New Roman"/>
          <w:b/>
          <w:bCs/>
          <w:sz w:val="24"/>
          <w:szCs w:val="24"/>
          <w:u w:val="single"/>
        </w:rPr>
      </w:pPr>
      <w:r w:rsidRPr="00CC67B0">
        <w:rPr>
          <w:rFonts w:ascii="Times New Roman" w:hAnsi="Times New Roman" w:cs="Times New Roman"/>
          <w:b/>
          <w:bCs/>
          <w:sz w:val="24"/>
          <w:szCs w:val="24"/>
          <w:u w:val="single"/>
        </w:rPr>
        <w:t>Tablas</w:t>
      </w:r>
    </w:p>
    <w:p w14:paraId="0CA25B5F" w14:textId="77777777" w:rsidR="00CC67B0" w:rsidRPr="00CC67B0" w:rsidRDefault="00CC67B0" w:rsidP="00CC67B0">
      <w:pPr>
        <w:spacing w:line="259" w:lineRule="auto"/>
        <w:jc w:val="center"/>
        <w:rPr>
          <w:rFonts w:ascii="Times New Roman" w:hAnsi="Times New Roman" w:cs="Times New Roman"/>
          <w:b/>
          <w:bCs/>
          <w:i/>
          <w:iCs/>
          <w:sz w:val="24"/>
          <w:szCs w:val="24"/>
        </w:rPr>
      </w:pPr>
      <w:r w:rsidRPr="00CC67B0">
        <w:rPr>
          <w:rFonts w:ascii="Times New Roman" w:hAnsi="Times New Roman" w:cs="Times New Roman"/>
          <w:b/>
          <w:bCs/>
          <w:sz w:val="24"/>
          <w:szCs w:val="24"/>
        </w:rPr>
        <w:t xml:space="preserve">Tabla 1. Estadísticas descriptivas (base </w:t>
      </w:r>
      <w:proofErr w:type="spellStart"/>
      <w:proofErr w:type="gramStart"/>
      <w:r w:rsidRPr="00CC67B0">
        <w:rPr>
          <w:rFonts w:ascii="Times New Roman" w:hAnsi="Times New Roman" w:cs="Times New Roman"/>
          <w:b/>
          <w:bCs/>
          <w:i/>
          <w:iCs/>
          <w:sz w:val="24"/>
          <w:szCs w:val="24"/>
        </w:rPr>
        <w:t>train</w:t>
      </w:r>
      <w:proofErr w:type="spellEnd"/>
      <w:r w:rsidRPr="00CC67B0">
        <w:rPr>
          <w:rFonts w:ascii="Times New Roman" w:hAnsi="Times New Roman" w:cs="Times New Roman"/>
          <w:b/>
          <w:bCs/>
          <w:i/>
          <w:iCs/>
          <w:sz w:val="24"/>
          <w:szCs w:val="24"/>
        </w:rPr>
        <w:t>)*</w:t>
      </w:r>
      <w:proofErr w:type="gramEnd"/>
    </w:p>
    <w:tbl>
      <w:tblPr>
        <w:tblStyle w:val="Tablaconcuadrcula"/>
        <w:tblW w:w="0" w:type="auto"/>
        <w:jc w:val="center"/>
        <w:tblLook w:val="04A0" w:firstRow="1" w:lastRow="0" w:firstColumn="1" w:lastColumn="0" w:noHBand="0" w:noVBand="1"/>
      </w:tblPr>
      <w:tblGrid>
        <w:gridCol w:w="2830"/>
        <w:gridCol w:w="1701"/>
        <w:gridCol w:w="1560"/>
        <w:gridCol w:w="1560"/>
      </w:tblGrid>
      <w:tr w:rsidR="00CC67B0" w:rsidRPr="00CC67B0" w14:paraId="17224E5C" w14:textId="77777777" w:rsidTr="00BC61C7">
        <w:trPr>
          <w:trHeight w:val="283"/>
          <w:jc w:val="center"/>
        </w:trPr>
        <w:tc>
          <w:tcPr>
            <w:tcW w:w="2830" w:type="dxa"/>
            <w:tcBorders>
              <w:top w:val="single" w:sz="4" w:space="0" w:color="FFFFFF"/>
              <w:left w:val="single" w:sz="4" w:space="0" w:color="FFFFFF"/>
              <w:right w:val="single" w:sz="4" w:space="0" w:color="FFFFFF" w:themeColor="background1"/>
            </w:tcBorders>
            <w:vAlign w:val="center"/>
          </w:tcPr>
          <w:p w14:paraId="4B9804D5" w14:textId="77777777" w:rsidR="00CC67B0" w:rsidRPr="00CC67B0" w:rsidRDefault="00CC67B0" w:rsidP="00CC67B0">
            <w:pPr>
              <w:spacing w:line="240" w:lineRule="auto"/>
              <w:jc w:val="center"/>
              <w:rPr>
                <w:rFonts w:ascii="Times New Roman" w:hAnsi="Times New Roman" w:cs="Times New Roman"/>
                <w:b/>
                <w:sz w:val="24"/>
                <w:szCs w:val="24"/>
              </w:rPr>
            </w:pPr>
          </w:p>
        </w:tc>
        <w:tc>
          <w:tcPr>
            <w:tcW w:w="3261" w:type="dxa"/>
            <w:gridSpan w:val="2"/>
            <w:tcBorders>
              <w:top w:val="single" w:sz="4" w:space="0" w:color="FFFFFF"/>
              <w:left w:val="single" w:sz="4" w:space="0" w:color="FFFFFF" w:themeColor="background1"/>
              <w:right w:val="single" w:sz="4" w:space="0" w:color="FFFFFF"/>
            </w:tcBorders>
            <w:vAlign w:val="center"/>
          </w:tcPr>
          <w:p w14:paraId="21FE377F"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Hogares</w:t>
            </w:r>
          </w:p>
        </w:tc>
        <w:tc>
          <w:tcPr>
            <w:tcW w:w="1560" w:type="dxa"/>
            <w:tcBorders>
              <w:top w:val="single" w:sz="4" w:space="0" w:color="FFFFFF"/>
              <w:left w:val="single" w:sz="4" w:space="0" w:color="FFFFFF" w:themeColor="background1"/>
              <w:right w:val="single" w:sz="4" w:space="0" w:color="FFFFFF"/>
            </w:tcBorders>
          </w:tcPr>
          <w:p w14:paraId="30A3CDFE" w14:textId="77777777" w:rsidR="00CC67B0" w:rsidRPr="00CC67B0" w:rsidRDefault="00CC67B0" w:rsidP="00CC67B0">
            <w:pPr>
              <w:spacing w:line="240" w:lineRule="auto"/>
              <w:jc w:val="center"/>
              <w:rPr>
                <w:rFonts w:ascii="Times New Roman" w:hAnsi="Times New Roman" w:cs="Times New Roman"/>
                <w:b/>
                <w:iCs/>
                <w:sz w:val="24"/>
                <w:szCs w:val="24"/>
              </w:rPr>
            </w:pPr>
          </w:p>
        </w:tc>
      </w:tr>
      <w:tr w:rsidR="00CC67B0" w:rsidRPr="00CC67B0" w14:paraId="6D0A9DC4" w14:textId="77777777" w:rsidTr="00BC61C7">
        <w:trPr>
          <w:trHeight w:val="283"/>
          <w:jc w:val="center"/>
        </w:trPr>
        <w:tc>
          <w:tcPr>
            <w:tcW w:w="2830" w:type="dxa"/>
            <w:tcBorders>
              <w:top w:val="single" w:sz="4" w:space="0" w:color="FFFFFF"/>
              <w:left w:val="single" w:sz="4" w:space="0" w:color="FFFFFF"/>
              <w:right w:val="single" w:sz="4" w:space="0" w:color="FFFFFF" w:themeColor="background1"/>
            </w:tcBorders>
            <w:vAlign w:val="center"/>
          </w:tcPr>
          <w:p w14:paraId="1A24E508" w14:textId="77777777" w:rsidR="00CC67B0" w:rsidRPr="00CC67B0" w:rsidRDefault="00CC67B0" w:rsidP="00CC67B0">
            <w:pPr>
              <w:spacing w:line="240" w:lineRule="auto"/>
              <w:jc w:val="center"/>
              <w:rPr>
                <w:rFonts w:ascii="Times New Roman" w:hAnsi="Times New Roman" w:cs="Times New Roman"/>
                <w:b/>
                <w:sz w:val="24"/>
                <w:szCs w:val="24"/>
              </w:rPr>
            </w:pPr>
            <w:r w:rsidRPr="00CC67B0">
              <w:rPr>
                <w:rFonts w:ascii="Times New Roman" w:hAnsi="Times New Roman" w:cs="Times New Roman"/>
                <w:b/>
                <w:sz w:val="24"/>
                <w:szCs w:val="24"/>
              </w:rPr>
              <w:t>Variables</w:t>
            </w:r>
          </w:p>
        </w:tc>
        <w:tc>
          <w:tcPr>
            <w:tcW w:w="1701" w:type="dxa"/>
            <w:tcBorders>
              <w:top w:val="single" w:sz="4" w:space="0" w:color="FFFFFF"/>
              <w:left w:val="single" w:sz="4" w:space="0" w:color="FFFFFF" w:themeColor="background1"/>
              <w:right w:val="single" w:sz="4" w:space="0" w:color="FFFFFF"/>
            </w:tcBorders>
            <w:vAlign w:val="center"/>
          </w:tcPr>
          <w:p w14:paraId="147333EF" w14:textId="77777777" w:rsidR="00CC67B0" w:rsidRPr="00CC67B0" w:rsidRDefault="00CC67B0" w:rsidP="00CC67B0">
            <w:pPr>
              <w:tabs>
                <w:tab w:val="left" w:pos="460"/>
                <w:tab w:val="center" w:pos="601"/>
              </w:tabs>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Pobres</w:t>
            </w:r>
          </w:p>
        </w:tc>
        <w:tc>
          <w:tcPr>
            <w:tcW w:w="1560" w:type="dxa"/>
            <w:tcBorders>
              <w:top w:val="single" w:sz="4" w:space="0" w:color="FFFFFF"/>
              <w:left w:val="single" w:sz="4" w:space="0" w:color="FFFFFF"/>
              <w:right w:val="single" w:sz="4" w:space="0" w:color="FFFFFF"/>
            </w:tcBorders>
            <w:vAlign w:val="center"/>
          </w:tcPr>
          <w:p w14:paraId="229C0B01"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No pobres</w:t>
            </w:r>
          </w:p>
        </w:tc>
        <w:tc>
          <w:tcPr>
            <w:tcW w:w="1560" w:type="dxa"/>
            <w:tcBorders>
              <w:top w:val="single" w:sz="4" w:space="0" w:color="FFFFFF"/>
              <w:left w:val="single" w:sz="4" w:space="0" w:color="FFFFFF"/>
              <w:right w:val="single" w:sz="4" w:space="0" w:color="FFFFFF"/>
            </w:tcBorders>
          </w:tcPr>
          <w:p w14:paraId="575EDB29"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p-valor**</w:t>
            </w:r>
          </w:p>
        </w:tc>
      </w:tr>
      <w:tr w:rsidR="00CC67B0" w:rsidRPr="00CC67B0" w14:paraId="5148A065" w14:textId="77777777" w:rsidTr="00BC61C7">
        <w:trPr>
          <w:trHeight w:val="340"/>
          <w:jc w:val="center"/>
        </w:trPr>
        <w:tc>
          <w:tcPr>
            <w:tcW w:w="2830" w:type="dxa"/>
            <w:tcBorders>
              <w:left w:val="single" w:sz="4" w:space="0" w:color="FFFFFF"/>
              <w:bottom w:val="single" w:sz="4" w:space="0" w:color="FFFFFF"/>
              <w:right w:val="single" w:sz="4" w:space="0" w:color="FFFFFF" w:themeColor="background1"/>
            </w:tcBorders>
          </w:tcPr>
          <w:p w14:paraId="4B535B4B"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Subsidiado</w:t>
            </w:r>
          </w:p>
          <w:p w14:paraId="57E22615"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left w:val="single" w:sz="4" w:space="0" w:color="FFFFFF" w:themeColor="background1"/>
              <w:bottom w:val="single" w:sz="4" w:space="0" w:color="FFFFFF"/>
              <w:right w:val="single" w:sz="4" w:space="0" w:color="FFFFFF"/>
            </w:tcBorders>
            <w:shd w:val="clear" w:color="auto" w:fill="auto"/>
          </w:tcPr>
          <w:p w14:paraId="19DBEBAB"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27,815 </w:t>
            </w:r>
          </w:p>
          <w:p w14:paraId="24ECB22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(84.2)</w:t>
            </w:r>
          </w:p>
        </w:tc>
        <w:tc>
          <w:tcPr>
            <w:tcW w:w="1560" w:type="dxa"/>
            <w:tcBorders>
              <w:left w:val="single" w:sz="4" w:space="0" w:color="FFFFFF"/>
              <w:bottom w:val="single" w:sz="4" w:space="0" w:color="FFFFFF"/>
              <w:right w:val="single" w:sz="4" w:space="0" w:color="FFFFFF"/>
            </w:tcBorders>
            <w:shd w:val="clear" w:color="auto" w:fill="auto"/>
          </w:tcPr>
          <w:p w14:paraId="277B2A08"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60,721 </w:t>
            </w:r>
          </w:p>
          <w:p w14:paraId="3B0840A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(46.0)</w:t>
            </w:r>
          </w:p>
        </w:tc>
        <w:tc>
          <w:tcPr>
            <w:tcW w:w="1560" w:type="dxa"/>
            <w:tcBorders>
              <w:left w:val="single" w:sz="4" w:space="0" w:color="FFFFFF"/>
              <w:bottom w:val="single" w:sz="4" w:space="0" w:color="FFFFFF"/>
              <w:right w:val="single" w:sz="4" w:space="0" w:color="FFFFFF"/>
            </w:tcBorders>
          </w:tcPr>
          <w:p w14:paraId="46A55F5F"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070B85F7"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A3E1735"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Subsidio familiar</w:t>
            </w:r>
          </w:p>
          <w:p w14:paraId="6B0D4842"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799FD6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1,481 </w:t>
            </w:r>
          </w:p>
          <w:p w14:paraId="699BCC0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(4.5)</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18EE565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20,759 </w:t>
            </w:r>
          </w:p>
          <w:p w14:paraId="0A73643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(15.7)</w:t>
            </w:r>
          </w:p>
        </w:tc>
        <w:tc>
          <w:tcPr>
            <w:tcW w:w="1560" w:type="dxa"/>
            <w:tcBorders>
              <w:top w:val="single" w:sz="4" w:space="0" w:color="FFFFFF"/>
              <w:left w:val="single" w:sz="4" w:space="0" w:color="FFFFFF"/>
              <w:bottom w:val="single" w:sz="4" w:space="0" w:color="FFFFFF"/>
              <w:right w:val="single" w:sz="4" w:space="0" w:color="FFFFFF"/>
            </w:tcBorders>
          </w:tcPr>
          <w:p w14:paraId="07D810D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3807C0CF"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01F177D"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Subsidio educativo</w:t>
            </w:r>
          </w:p>
          <w:p w14:paraId="23D5108C"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3FE8812F"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w:t>
            </w:r>
          </w:p>
          <w:p w14:paraId="55B0B60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(0.0)</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7742F43D"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359 </w:t>
            </w:r>
          </w:p>
          <w:p w14:paraId="5EA0CAF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(0.3)</w:t>
            </w:r>
          </w:p>
        </w:tc>
        <w:tc>
          <w:tcPr>
            <w:tcW w:w="1560" w:type="dxa"/>
            <w:tcBorders>
              <w:top w:val="single" w:sz="4" w:space="0" w:color="FFFFFF"/>
              <w:left w:val="single" w:sz="4" w:space="0" w:color="FFFFFF"/>
              <w:bottom w:val="single" w:sz="4" w:space="0" w:color="FFFFFF"/>
              <w:right w:val="single" w:sz="4" w:space="0" w:color="FFFFFF"/>
            </w:tcBorders>
          </w:tcPr>
          <w:p w14:paraId="5998051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675B5B84"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1C7C984C"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 xml:space="preserve">Ayuda hogares </w:t>
            </w:r>
            <w:proofErr w:type="spellStart"/>
            <w:r w:rsidRPr="00CC67B0">
              <w:rPr>
                <w:rFonts w:ascii="Times New Roman" w:eastAsia="Times New Roman" w:hAnsi="Times New Roman" w:cs="Times New Roman"/>
                <w:color w:val="000000"/>
                <w:sz w:val="24"/>
                <w:szCs w:val="24"/>
                <w:lang w:val="es-419"/>
              </w:rPr>
              <w:t>nal</w:t>
            </w:r>
            <w:proofErr w:type="spellEnd"/>
            <w:r w:rsidRPr="00CC67B0">
              <w:rPr>
                <w:rFonts w:ascii="Times New Roman" w:eastAsia="Times New Roman" w:hAnsi="Times New Roman" w:cs="Times New Roman"/>
                <w:color w:val="000000"/>
                <w:sz w:val="24"/>
                <w:szCs w:val="24"/>
                <w:lang w:val="es-419"/>
              </w:rPr>
              <w:t>.</w:t>
            </w:r>
          </w:p>
          <w:p w14:paraId="72EB5FF1"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4ACC9391"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9,761 </w:t>
            </w:r>
          </w:p>
          <w:p w14:paraId="2545F4A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(29.6)</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07C6548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27,160 </w:t>
            </w:r>
          </w:p>
          <w:p w14:paraId="5EA56D9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(20.6)</w:t>
            </w:r>
          </w:p>
        </w:tc>
        <w:tc>
          <w:tcPr>
            <w:tcW w:w="1560" w:type="dxa"/>
            <w:tcBorders>
              <w:top w:val="single" w:sz="4" w:space="0" w:color="FFFFFF"/>
              <w:left w:val="single" w:sz="4" w:space="0" w:color="FFFFFF"/>
              <w:bottom w:val="single" w:sz="4" w:space="0" w:color="FFFFFF"/>
              <w:right w:val="single" w:sz="4" w:space="0" w:color="FFFFFF"/>
            </w:tcBorders>
          </w:tcPr>
          <w:p w14:paraId="0B69728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343AE030"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36D2B2D1"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 xml:space="preserve">Ayuda hogares </w:t>
            </w:r>
            <w:proofErr w:type="spellStart"/>
            <w:r w:rsidRPr="00CC67B0">
              <w:rPr>
                <w:rFonts w:ascii="Times New Roman" w:eastAsia="Times New Roman" w:hAnsi="Times New Roman" w:cs="Times New Roman"/>
                <w:color w:val="000000"/>
                <w:sz w:val="24"/>
                <w:szCs w:val="24"/>
                <w:lang w:val="es-419"/>
              </w:rPr>
              <w:t>extr</w:t>
            </w:r>
            <w:proofErr w:type="spellEnd"/>
            <w:r w:rsidRPr="00CC67B0">
              <w:rPr>
                <w:rFonts w:ascii="Times New Roman" w:eastAsia="Times New Roman" w:hAnsi="Times New Roman" w:cs="Times New Roman"/>
                <w:color w:val="000000"/>
                <w:sz w:val="24"/>
                <w:szCs w:val="24"/>
                <w:lang w:val="es-419"/>
              </w:rPr>
              <w:t>.</w:t>
            </w:r>
          </w:p>
          <w:p w14:paraId="4C22C9ED"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6DA9664E"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443 </w:t>
            </w:r>
          </w:p>
          <w:p w14:paraId="16C6BD0B"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(1.3)</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614F087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2,755 </w:t>
            </w:r>
          </w:p>
          <w:p w14:paraId="3004A34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(2.1)</w:t>
            </w:r>
          </w:p>
        </w:tc>
        <w:tc>
          <w:tcPr>
            <w:tcW w:w="1560" w:type="dxa"/>
            <w:tcBorders>
              <w:top w:val="single" w:sz="4" w:space="0" w:color="FFFFFF"/>
              <w:left w:val="single" w:sz="4" w:space="0" w:color="FFFFFF"/>
              <w:bottom w:val="single" w:sz="4" w:space="0" w:color="FFFFFF"/>
              <w:right w:val="single" w:sz="4" w:space="0" w:color="FFFFFF"/>
            </w:tcBorders>
          </w:tcPr>
          <w:p w14:paraId="3CF8EA2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61B80F08"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51B75000"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Ayuda instituciones</w:t>
            </w:r>
          </w:p>
          <w:p w14:paraId="0085038B"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09E5A26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10,452 </w:t>
            </w:r>
          </w:p>
          <w:p w14:paraId="4994C22E"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(31.6)</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6AEA45D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14,468 </w:t>
            </w:r>
          </w:p>
          <w:p w14:paraId="388683F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(11.0)</w:t>
            </w:r>
          </w:p>
        </w:tc>
        <w:tc>
          <w:tcPr>
            <w:tcW w:w="1560" w:type="dxa"/>
            <w:tcBorders>
              <w:top w:val="single" w:sz="4" w:space="0" w:color="FFFFFF"/>
              <w:left w:val="single" w:sz="4" w:space="0" w:color="FFFFFF"/>
              <w:bottom w:val="single" w:sz="4" w:space="0" w:color="FFFFFF"/>
              <w:right w:val="single" w:sz="4" w:space="0" w:color="FFFFFF"/>
            </w:tcBorders>
          </w:tcPr>
          <w:p w14:paraId="1B81E843"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19DC3C18"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D2584B0"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Profesional</w:t>
            </w:r>
          </w:p>
          <w:p w14:paraId="53604B86"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303E29A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27,975</w:t>
            </w:r>
          </w:p>
          <w:p w14:paraId="5BCF9FB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(84.7)</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472EF8F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117,955 (89.4)</w:t>
            </w:r>
          </w:p>
        </w:tc>
        <w:tc>
          <w:tcPr>
            <w:tcW w:w="1560" w:type="dxa"/>
            <w:tcBorders>
              <w:top w:val="single" w:sz="4" w:space="0" w:color="FFFFFF"/>
              <w:left w:val="single" w:sz="4" w:space="0" w:color="FFFFFF"/>
              <w:bottom w:val="single" w:sz="4" w:space="0" w:color="FFFFFF"/>
              <w:right w:val="single" w:sz="4" w:space="0" w:color="FFFFFF"/>
            </w:tcBorders>
          </w:tcPr>
          <w:p w14:paraId="7012BCA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44CCD50E" w14:textId="77777777" w:rsidTr="00BC61C7">
        <w:trPr>
          <w:trHeight w:val="340"/>
          <w:jc w:val="center"/>
        </w:trPr>
        <w:tc>
          <w:tcPr>
            <w:tcW w:w="2830" w:type="dxa"/>
            <w:tcBorders>
              <w:top w:val="single" w:sz="4" w:space="0" w:color="FFFFFF"/>
              <w:left w:val="single" w:sz="4" w:space="0" w:color="FFFFFF"/>
              <w:bottom w:val="single" w:sz="4" w:space="0" w:color="auto"/>
              <w:right w:val="single" w:sz="4" w:space="0" w:color="FFFFFF" w:themeColor="background1"/>
            </w:tcBorders>
          </w:tcPr>
          <w:p w14:paraId="30FA2E13"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Personas x</w:t>
            </w:r>
          </w:p>
          <w:p w14:paraId="08C6621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cuarto</w:t>
            </w:r>
          </w:p>
        </w:tc>
        <w:tc>
          <w:tcPr>
            <w:tcW w:w="1701" w:type="dxa"/>
            <w:tcBorders>
              <w:top w:val="single" w:sz="4" w:space="0" w:color="FFFFFF"/>
              <w:left w:val="single" w:sz="4" w:space="0" w:color="FFFFFF" w:themeColor="background1"/>
              <w:bottom w:val="single" w:sz="4" w:space="0" w:color="auto"/>
              <w:right w:val="single" w:sz="4" w:space="0" w:color="FFFFFF"/>
            </w:tcBorders>
            <w:shd w:val="clear" w:color="auto" w:fill="auto"/>
          </w:tcPr>
          <w:p w14:paraId="3DAD3E35"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2.25 </w:t>
            </w:r>
          </w:p>
          <w:p w14:paraId="3A383FC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(1.15)</w:t>
            </w:r>
          </w:p>
        </w:tc>
        <w:tc>
          <w:tcPr>
            <w:tcW w:w="1560" w:type="dxa"/>
            <w:tcBorders>
              <w:top w:val="single" w:sz="4" w:space="0" w:color="FFFFFF"/>
              <w:left w:val="single" w:sz="4" w:space="0" w:color="FFFFFF"/>
              <w:bottom w:val="single" w:sz="4" w:space="0" w:color="auto"/>
              <w:right w:val="single" w:sz="4" w:space="0" w:color="FFFFFF"/>
            </w:tcBorders>
            <w:shd w:val="clear" w:color="auto" w:fill="auto"/>
          </w:tcPr>
          <w:p w14:paraId="1AF3D54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1.60 </w:t>
            </w:r>
          </w:p>
          <w:p w14:paraId="174963F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(0.67)</w:t>
            </w:r>
          </w:p>
        </w:tc>
        <w:tc>
          <w:tcPr>
            <w:tcW w:w="1560" w:type="dxa"/>
            <w:tcBorders>
              <w:top w:val="single" w:sz="4" w:space="0" w:color="FFFFFF"/>
              <w:left w:val="single" w:sz="4" w:space="0" w:color="FFFFFF"/>
              <w:bottom w:val="single" w:sz="4" w:space="0" w:color="auto"/>
              <w:right w:val="single" w:sz="4" w:space="0" w:color="FFFFFF"/>
            </w:tcBorders>
          </w:tcPr>
          <w:p w14:paraId="758D323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582E77C9" w14:textId="77777777" w:rsidTr="00BC61C7">
        <w:trPr>
          <w:trHeight w:val="340"/>
          <w:jc w:val="center"/>
        </w:trPr>
        <w:tc>
          <w:tcPr>
            <w:tcW w:w="2830" w:type="dxa"/>
            <w:tcBorders>
              <w:top w:val="single" w:sz="4" w:space="0" w:color="auto"/>
              <w:left w:val="single" w:sz="4" w:space="0" w:color="FFFFFF"/>
              <w:right w:val="single" w:sz="4" w:space="0" w:color="FFFFFF" w:themeColor="background1"/>
            </w:tcBorders>
            <w:vAlign w:val="center"/>
          </w:tcPr>
          <w:p w14:paraId="011648D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N</w:t>
            </w:r>
          </w:p>
        </w:tc>
        <w:tc>
          <w:tcPr>
            <w:tcW w:w="1701" w:type="dxa"/>
            <w:tcBorders>
              <w:top w:val="single" w:sz="4" w:space="0" w:color="auto"/>
              <w:left w:val="single" w:sz="4" w:space="0" w:color="FFFFFF" w:themeColor="background1"/>
              <w:right w:val="single" w:sz="4" w:space="0" w:color="FFFFFF"/>
            </w:tcBorders>
            <w:shd w:val="clear" w:color="auto" w:fill="auto"/>
            <w:vAlign w:val="center"/>
          </w:tcPr>
          <w:p w14:paraId="4EF50FE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33,024</w:t>
            </w:r>
          </w:p>
        </w:tc>
        <w:tc>
          <w:tcPr>
            <w:tcW w:w="1560" w:type="dxa"/>
            <w:tcBorders>
              <w:top w:val="single" w:sz="4" w:space="0" w:color="auto"/>
              <w:left w:val="single" w:sz="4" w:space="0" w:color="FFFFFF"/>
              <w:right w:val="single" w:sz="4" w:space="0" w:color="FFFFFF"/>
            </w:tcBorders>
            <w:shd w:val="clear" w:color="auto" w:fill="auto"/>
            <w:vAlign w:val="center"/>
          </w:tcPr>
          <w:p w14:paraId="2A70332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131,936</w:t>
            </w:r>
          </w:p>
        </w:tc>
        <w:tc>
          <w:tcPr>
            <w:tcW w:w="1560" w:type="dxa"/>
            <w:tcBorders>
              <w:top w:val="single" w:sz="4" w:space="0" w:color="auto"/>
              <w:left w:val="single" w:sz="4" w:space="0" w:color="FFFFFF"/>
              <w:right w:val="single" w:sz="4" w:space="0" w:color="FFFFFF"/>
            </w:tcBorders>
          </w:tcPr>
          <w:p w14:paraId="2D66B4AF" w14:textId="77777777" w:rsidR="00CC67B0" w:rsidRPr="00CC67B0" w:rsidRDefault="00CC67B0" w:rsidP="00CC67B0">
            <w:pPr>
              <w:spacing w:line="240" w:lineRule="auto"/>
              <w:jc w:val="center"/>
              <w:rPr>
                <w:rFonts w:ascii="Times New Roman" w:hAnsi="Times New Roman" w:cs="Times New Roman"/>
                <w:sz w:val="24"/>
                <w:szCs w:val="24"/>
              </w:rPr>
            </w:pPr>
          </w:p>
        </w:tc>
      </w:tr>
    </w:tbl>
    <w:p w14:paraId="09B64E89" w14:textId="77777777" w:rsidR="00CC67B0" w:rsidRPr="00CC67B0" w:rsidRDefault="00CC67B0" w:rsidP="00CC67B0">
      <w:pPr>
        <w:spacing w:before="240" w:line="259" w:lineRule="auto"/>
        <w:ind w:left="720"/>
        <w:contextualSpacing/>
        <w:jc w:val="both"/>
        <w:rPr>
          <w:rFonts w:ascii="Times New Roman" w:hAnsi="Times New Roman" w:cs="Times New Roman"/>
          <w:sz w:val="20"/>
          <w:szCs w:val="24"/>
        </w:rPr>
      </w:pPr>
      <w:r w:rsidRPr="00CC67B0">
        <w:rPr>
          <w:rFonts w:ascii="Times New Roman" w:hAnsi="Times New Roman" w:cs="Times New Roman"/>
          <w:sz w:val="20"/>
          <w:szCs w:val="24"/>
        </w:rPr>
        <w:t xml:space="preserve">*El dato corresponde al número de hogares que cumplen con dicha característica, y el valor entre paréntesis indica la proporción sobre el total. Únicamente para la variable de número de personas por cuartos donde duermes el número corresponde al promedio y el valor entre paréntesis a la desviación estándar. </w:t>
      </w:r>
    </w:p>
    <w:p w14:paraId="31EFA28E" w14:textId="77777777" w:rsidR="00CC67B0" w:rsidRPr="00CC67B0" w:rsidRDefault="00CC67B0" w:rsidP="00CC67B0">
      <w:pPr>
        <w:spacing w:before="240" w:line="259" w:lineRule="auto"/>
        <w:ind w:left="720"/>
        <w:contextualSpacing/>
        <w:jc w:val="both"/>
        <w:rPr>
          <w:rFonts w:ascii="Times New Roman" w:hAnsi="Times New Roman" w:cs="Times New Roman"/>
          <w:sz w:val="20"/>
          <w:szCs w:val="24"/>
        </w:rPr>
      </w:pPr>
      <w:r w:rsidRPr="00CC67B0">
        <w:rPr>
          <w:rFonts w:ascii="Times New Roman" w:hAnsi="Times New Roman" w:cs="Times New Roman"/>
          <w:sz w:val="20"/>
          <w:szCs w:val="24"/>
        </w:rPr>
        <w:t>** El p-valor corresponde a una prueba de diferencia de medias entre los dos grupos</w:t>
      </w:r>
    </w:p>
    <w:p w14:paraId="513BF1AF" w14:textId="77777777" w:rsidR="00CC67B0" w:rsidRPr="00CC67B0" w:rsidRDefault="00CC67B0" w:rsidP="00CC67B0">
      <w:pPr>
        <w:spacing w:line="259" w:lineRule="auto"/>
        <w:jc w:val="center"/>
        <w:rPr>
          <w:rFonts w:ascii="Times New Roman" w:hAnsi="Times New Roman" w:cs="Times New Roman"/>
          <w:sz w:val="24"/>
          <w:szCs w:val="24"/>
        </w:rPr>
      </w:pPr>
      <w:r w:rsidRPr="00CC67B0">
        <w:rPr>
          <w:rFonts w:ascii="Times New Roman" w:hAnsi="Times New Roman" w:cs="Times New Roman"/>
          <w:b/>
          <w:sz w:val="24"/>
          <w:szCs w:val="24"/>
        </w:rPr>
        <w:t xml:space="preserve">Fuente: </w:t>
      </w:r>
      <w:r w:rsidRPr="00CC67B0">
        <w:rPr>
          <w:rFonts w:ascii="Times New Roman" w:hAnsi="Times New Roman" w:cs="Times New Roman"/>
          <w:sz w:val="24"/>
          <w:szCs w:val="24"/>
        </w:rPr>
        <w:t>GEIH 2018, cálculos propios.</w:t>
      </w:r>
    </w:p>
    <w:p w14:paraId="3EA52FC4" w14:textId="77777777" w:rsidR="001446BE" w:rsidRDefault="001446BE" w:rsidP="008C7272">
      <w:pPr>
        <w:jc w:val="both"/>
        <w:rPr>
          <w:rFonts w:ascii="Times New Roman" w:hAnsi="Times New Roman" w:cs="Times New Roman"/>
          <w:sz w:val="24"/>
          <w:szCs w:val="24"/>
        </w:rPr>
      </w:pPr>
    </w:p>
    <w:p w14:paraId="678A250F" w14:textId="77777777" w:rsidR="00B20CC7" w:rsidRPr="001B5B18" w:rsidRDefault="00B20CC7" w:rsidP="001B5B18">
      <w:pPr>
        <w:jc w:val="both"/>
        <w:rPr>
          <w:rFonts w:ascii="Times New Roman" w:hAnsi="Times New Roman" w:cs="Times New Roman"/>
          <w:sz w:val="24"/>
          <w:szCs w:val="24"/>
        </w:rPr>
      </w:pPr>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773F2" w14:textId="77777777" w:rsidR="004E5E55" w:rsidRDefault="004E5E55" w:rsidP="00130B06">
      <w:pPr>
        <w:spacing w:after="0" w:line="240" w:lineRule="auto"/>
      </w:pPr>
      <w:r>
        <w:separator/>
      </w:r>
    </w:p>
  </w:endnote>
  <w:endnote w:type="continuationSeparator" w:id="0">
    <w:p w14:paraId="43B21EE3" w14:textId="77777777" w:rsidR="004E5E55" w:rsidRDefault="004E5E55" w:rsidP="00130B06">
      <w:pPr>
        <w:spacing w:after="0" w:line="240" w:lineRule="auto"/>
      </w:pPr>
      <w:r>
        <w:continuationSeparator/>
      </w:r>
    </w:p>
  </w:endnote>
  <w:endnote w:id="1">
    <w:p w14:paraId="53FC51E5" w14:textId="77777777" w:rsidR="002A05AA" w:rsidRDefault="002A05AA" w:rsidP="002A05AA">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Textonotaalfinal"/>
        <w:jc w:val="both"/>
        <w:rPr>
          <w:rFonts w:ascii="Times New Roman" w:hAnsi="Times New Roman" w:cs="Times New Roman"/>
          <w:b/>
          <w:bCs/>
          <w:sz w:val="22"/>
          <w:szCs w:val="22"/>
        </w:rPr>
      </w:pPr>
    </w:p>
    <w:p w14:paraId="23B4B9FE"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Textonotaalfinal"/>
        <w:jc w:val="both"/>
        <w:rPr>
          <w:rFonts w:ascii="Times New Roman" w:hAnsi="Times New Roman" w:cs="Times New Roman"/>
          <w:sz w:val="22"/>
          <w:szCs w:val="22"/>
        </w:rPr>
      </w:pPr>
      <w:r w:rsidRPr="005B793A">
        <w:rPr>
          <w:rStyle w:val="Refdenotaalfinal"/>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proofErr w:type="spellStart"/>
      <w:r w:rsidRPr="005B793A">
        <w:rPr>
          <w:rFonts w:ascii="Times New Roman" w:hAnsi="Times New Roman" w:cs="Times New Roman"/>
          <w:i/>
          <w:iCs/>
          <w:sz w:val="22"/>
          <w:szCs w:val="22"/>
        </w:rPr>
        <w:t>train</w:t>
      </w:r>
      <w:proofErr w:type="spellEnd"/>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Textonotaalfinal"/>
        <w:jc w:val="both"/>
      </w:pPr>
      <w:r>
        <w:rPr>
          <w:rStyle w:val="Refdenotaalfinal"/>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(1)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(2)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Two-</w:t>
      </w:r>
      <w:proofErr w:type="spellStart"/>
      <w:r w:rsidRPr="00605305">
        <w:rPr>
          <w:rFonts w:ascii="Times New Roman" w:hAnsi="Times New Roman" w:cs="Times New Roman"/>
          <w:i/>
          <w:iCs/>
          <w:sz w:val="22"/>
          <w:szCs w:val="22"/>
        </w:rPr>
        <w:t>Class</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Summary</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 xml:space="preserve">5-fold Cross </w:t>
      </w:r>
      <w:proofErr w:type="spellStart"/>
      <w:r w:rsidRPr="00605305">
        <w:rPr>
          <w:rFonts w:ascii="Times New Roman" w:hAnsi="Times New Roman" w:cs="Times New Roman"/>
          <w:i/>
          <w:iCs/>
          <w:sz w:val="22"/>
          <w:szCs w:val="22"/>
        </w:rPr>
        <w:t>Validation</w:t>
      </w:r>
      <w:proofErr w:type="spellEnd"/>
      <w:r w:rsidRPr="00605305">
        <w:rPr>
          <w:rFonts w:ascii="Times New Roman" w:hAnsi="Times New Roman" w:cs="Times New Roman"/>
          <w:i/>
          <w:iCs/>
          <w:sz w:val="22"/>
          <w:szCs w:val="22"/>
        </w:rPr>
        <w:t xml:space="preserve"> (CV)</w:t>
      </w:r>
      <w:r w:rsidRPr="00605305">
        <w:rPr>
          <w:rFonts w:ascii="Times New Roman" w:hAnsi="Times New Roman" w:cs="Times New Roman"/>
          <w:sz w:val="22"/>
          <w:szCs w:val="22"/>
        </w:rPr>
        <w:t xml:space="preserve">; (3)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sz w:val="22"/>
          <w:szCs w:val="22"/>
        </w:rPr>
        <w:t xml:space="preserve">; y (6)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i/>
          <w:iCs/>
          <w:sz w:val="22"/>
          <w:szCs w:val="22"/>
        </w:rPr>
        <w:t>.</w:t>
      </w:r>
    </w:p>
  </w:endnote>
  <w:endnote w:id="7">
    <w:p w14:paraId="6EC395FB" w14:textId="77777777" w:rsidR="0030655A" w:rsidRDefault="0030655A" w:rsidP="0030655A">
      <w:pPr>
        <w:pStyle w:val="Textonotaalfinal"/>
        <w:jc w:val="both"/>
        <w:rPr>
          <w:rFonts w:ascii="Times New Roman" w:hAnsi="Times New Roman" w:cs="Times New Roman"/>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reduce de manera aleatoria la clase mayoritaria (no pobre) para balancear las clases.</w:t>
      </w:r>
    </w:p>
  </w:endnote>
  <w:endnote w:id="10">
    <w:p w14:paraId="660B5996"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Sensitivity</w:t>
      </w:r>
      <w:proofErr w:type="spellEnd"/>
      <w:r w:rsidRPr="00605305">
        <w:rPr>
          <w:rFonts w:ascii="Times New Roman" w:hAnsi="Times New Roman" w:cs="Times New Roman"/>
          <w:sz w:val="22"/>
          <w:szCs w:val="22"/>
        </w:rPr>
        <w:t xml:space="preserve"> es la ratio entre el total de hogares clasificados como pobres y el número real de dichos hogares.</w:t>
      </w:r>
    </w:p>
  </w:endnote>
  <w:endnote w:id="11">
    <w:p w14:paraId="5C78B804"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negativos es la ratio entre el número falsos negativos (hogares mal clasificados como no pobres) sobre el total de hogares clasificados como no pobres por el modelo.</w:t>
      </w:r>
    </w:p>
  </w:endnote>
  <w:endnote w:id="12">
    <w:p w14:paraId="1E385A35"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positivos es la ratio entre el número falsos positivos (hogares mal clasificados como pobres) sobre el total de hogares clasificados como pobres por el modelo.</w:t>
      </w:r>
    </w:p>
  </w:endnote>
  <w:endnote w:id="13">
    <w:p w14:paraId="72E9542E"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El </w:t>
      </w:r>
      <w:r w:rsidRPr="00605305">
        <w:rPr>
          <w:rFonts w:ascii="Times New Roman" w:hAnsi="Times New Roman" w:cs="Times New Roman"/>
          <w:i/>
          <w:iCs/>
          <w:sz w:val="22"/>
          <w:szCs w:val="22"/>
        </w:rPr>
        <w:t>AUC</w:t>
      </w:r>
      <w:r w:rsidRPr="00605305">
        <w:rPr>
          <w:rFonts w:ascii="Times New Roman" w:hAnsi="Times New Roman" w:cs="Times New Roman"/>
          <w:sz w:val="22"/>
          <w:szCs w:val="22"/>
        </w:rPr>
        <w:t xml:space="preserve"> toma un valor entre 0 y 1, donde un valor cercano a 1 indica que el modelo está seleccionado a los verdaderos positivos y tiene un ratio bajo de falsos positivos.</w:t>
      </w:r>
    </w:p>
  </w:endnote>
  <w:endnote w:id="14">
    <w:p w14:paraId="7C4F5A00"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 xml:space="preserve">Receiver </w:t>
      </w:r>
      <w:proofErr w:type="spellStart"/>
      <w:r w:rsidRPr="00605305">
        <w:rPr>
          <w:rFonts w:ascii="Times New Roman" w:hAnsi="Times New Roman" w:cs="Times New Roman"/>
          <w:i/>
          <w:iCs/>
          <w:sz w:val="22"/>
          <w:szCs w:val="22"/>
        </w:rPr>
        <w:t>Operating</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Characteristic</w:t>
      </w:r>
      <w:proofErr w:type="spellEnd"/>
      <w:r w:rsidRPr="00605305">
        <w:rPr>
          <w:rFonts w:ascii="Times New Roman" w:hAnsi="Times New Roman" w:cs="Times New Roman"/>
          <w:i/>
          <w:iCs/>
          <w:sz w:val="22"/>
          <w:szCs w:val="22"/>
        </w:rPr>
        <w:t xml:space="preserve"> Curve (ROC) </w:t>
      </w:r>
      <w:r w:rsidRPr="00605305">
        <w:rPr>
          <w:rFonts w:ascii="Times New Roman" w:hAnsi="Times New Roman" w:cs="Times New Roman"/>
          <w:sz w:val="22"/>
          <w:szCs w:val="22"/>
        </w:rPr>
        <w:t>es una curva que mide la predicción del modelo frente al ratio de verdaderos positivos y falsos positivos.</w:t>
      </w:r>
    </w:p>
  </w:endnote>
  <w:endnote w:id="15">
    <w:p w14:paraId="0B3CA46B" w14:textId="77777777" w:rsidR="001C7A53" w:rsidRPr="004F7C6D" w:rsidRDefault="001C7A53" w:rsidP="001C7A53">
      <w:pPr>
        <w:pStyle w:val="Textonotaalfinal"/>
        <w:jc w:val="both"/>
        <w:rPr>
          <w:sz w:val="22"/>
          <w:szCs w:val="22"/>
        </w:rPr>
      </w:pPr>
      <w:r w:rsidRPr="004F7C6D">
        <w:rPr>
          <w:rStyle w:val="Refdenotaalfinal"/>
          <w:sz w:val="22"/>
          <w:szCs w:val="22"/>
        </w:rPr>
        <w:endnoteRef/>
      </w:r>
      <w:r w:rsidRPr="004F7C6D">
        <w:rPr>
          <w:sz w:val="22"/>
          <w:szCs w:val="22"/>
        </w:rPr>
        <w:t xml:space="preserve"> </w:t>
      </w:r>
      <m:oMath>
        <m:r>
          <w:rPr>
            <w:rFonts w:ascii="Cambria Math" w:hAnsi="Cambria Math" w:cs="Times New Roman"/>
            <w:sz w:val="22"/>
            <w:szCs w:val="22"/>
          </w:rPr>
          <m:t xml:space="preserve">Ingreso_h=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e>
        </m:nary>
      </m:oMath>
      <w:r w:rsidRPr="004F7C6D">
        <w:rPr>
          <w:rFonts w:ascii="Times New Roman" w:hAnsi="Times New Roman" w:cs="Times New Roman"/>
          <w:sz w:val="22"/>
          <w:szCs w:val="22"/>
        </w:rPr>
        <w:t xml:space="preserve"> , donde N es el número de miembros del hogar </w:t>
      </w:r>
      <w:r w:rsidRPr="004F7C6D">
        <w:rPr>
          <w:rFonts w:ascii="Times New Roman" w:eastAsiaTheme="minorEastAsia" w:hAnsi="Times New Roman" w:cs="Times New Roman"/>
          <w:sz w:val="22"/>
          <w:szCs w:val="22"/>
        </w:rPr>
        <w:t xml:space="preserve">e </w:t>
      </w:r>
      <m:oMath>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oMath>
      <w:r w:rsidRPr="004F7C6D">
        <w:rPr>
          <w:rFonts w:ascii="Times New Roman" w:eastAsiaTheme="minorEastAsia" w:hAnsi="Times New Roman" w:cs="Times New Roman"/>
          <w:sz w:val="22"/>
          <w:szCs w:val="22"/>
        </w:rPr>
        <w:t xml:space="preserve"> es una función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oMath>
      <w:r w:rsidRPr="004F7C6D">
        <w:rPr>
          <w:rFonts w:ascii="Times New Roman" w:eastAsiaTheme="minorEastAsia" w:hAnsi="Times New Roman" w:cs="Times New Roman"/>
          <w:sz w:val="22"/>
          <w:szCs w:val="22"/>
        </w:rPr>
        <w:t xml:space="preserve"> del ingreso individual.</w:t>
      </w:r>
    </w:p>
  </w:endnote>
  <w:endnote w:id="16">
    <w:p w14:paraId="56705F9B" w14:textId="77777777" w:rsidR="00D85F60" w:rsidRPr="000B1BAC" w:rsidRDefault="00D85F60" w:rsidP="00D85F60">
      <w:pPr>
        <w:pStyle w:val="Textonotaalfinal"/>
        <w:rPr>
          <w:rFonts w:ascii="Times New Roman" w:hAnsi="Times New Roman" w:cs="Times New Roman"/>
          <w:sz w:val="22"/>
          <w:szCs w:val="22"/>
        </w:rPr>
      </w:pPr>
      <w:r w:rsidRPr="000B1BAC">
        <w:rPr>
          <w:rStyle w:val="Refdenotaalfinal"/>
          <w:rFonts w:ascii="Times New Roman" w:hAnsi="Times New Roman" w:cs="Times New Roman"/>
          <w:sz w:val="22"/>
          <w:szCs w:val="22"/>
        </w:rPr>
        <w:endnoteRef/>
      </w:r>
      <w:r w:rsidRPr="000B1BAC">
        <w:rPr>
          <w:rFonts w:ascii="Times New Roman" w:hAnsi="Times New Roman" w:cs="Times New Roman"/>
          <w:sz w:val="22"/>
          <w:szCs w:val="22"/>
        </w:rPr>
        <w:t xml:space="preserve"> Otros ingresos como subsidios, auxilios y ayudas del Estado, instituciones y otros hogares</w:t>
      </w:r>
      <w:r>
        <w:rPr>
          <w:rFonts w:ascii="Times New Roman" w:hAnsi="Times New Roman" w:cs="Times New Roman"/>
          <w:sz w:val="22"/>
          <w:szCs w:val="22"/>
        </w:rPr>
        <w:t>.</w:t>
      </w:r>
    </w:p>
  </w:endnote>
  <w:endnote w:id="17">
    <w:p w14:paraId="3010A59C" w14:textId="77777777" w:rsidR="00D85F60" w:rsidRPr="000B1BAC" w:rsidRDefault="00D85F60" w:rsidP="00D85F60">
      <w:pPr>
        <w:pStyle w:val="Textonotaalfinal"/>
        <w:jc w:val="both"/>
        <w:rPr>
          <w:sz w:val="22"/>
          <w:szCs w:val="22"/>
        </w:rPr>
      </w:pPr>
      <w:r w:rsidRPr="000B1BAC">
        <w:rPr>
          <w:rStyle w:val="Refdenotaalfinal"/>
          <w:sz w:val="22"/>
          <w:szCs w:val="22"/>
        </w:rPr>
        <w:endnoteRef/>
      </w:r>
      <w:r w:rsidRPr="000B1BAC">
        <w:rPr>
          <w:sz w:val="22"/>
          <w:szCs w:val="22"/>
        </w:rPr>
        <w:t xml:space="preserve"> </w:t>
      </w:r>
      <w:r w:rsidRPr="000B1BAC">
        <w:rPr>
          <w:rFonts w:ascii="Times New Roman" w:eastAsiaTheme="minorEastAsia" w:hAnsi="Times New Roman" w:cs="Times New Roman"/>
          <w:i/>
          <w:iCs/>
          <w:sz w:val="22"/>
          <w:szCs w:val="22"/>
        </w:rPr>
        <w:t xml:space="preserve">Best </w:t>
      </w:r>
      <w:proofErr w:type="spellStart"/>
      <w:r w:rsidRPr="000B1BAC">
        <w:rPr>
          <w:rFonts w:ascii="Times New Roman" w:eastAsiaTheme="minorEastAsia" w:hAnsi="Times New Roman" w:cs="Times New Roman"/>
          <w:i/>
          <w:iCs/>
          <w:sz w:val="22"/>
          <w:szCs w:val="22"/>
        </w:rPr>
        <w:t>Subset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Pr>
          <w:rFonts w:ascii="Times New Roman" w:eastAsiaTheme="minorEastAsia" w:hAnsi="Times New Roman" w:cs="Times New Roman"/>
          <w:sz w:val="22"/>
          <w:szCs w:val="22"/>
        </w:rPr>
        <w:t xml:space="preserve"> </w:t>
      </w:r>
      <w:r w:rsidRPr="000B1BAC">
        <w:rPr>
          <w:rFonts w:ascii="Times New Roman" w:eastAsiaTheme="minorEastAsia" w:hAnsi="Times New Roman" w:cs="Times New Roman"/>
          <w:sz w:val="22"/>
          <w:szCs w:val="22"/>
        </w:rPr>
        <w:t xml:space="preserve">combina los predictores disponibles y </w:t>
      </w:r>
      <w:proofErr w:type="spellStart"/>
      <w:r w:rsidRPr="000B1BAC">
        <w:rPr>
          <w:rFonts w:ascii="Times New Roman" w:eastAsiaTheme="minorEastAsia" w:hAnsi="Times New Roman" w:cs="Times New Roman"/>
          <w:i/>
          <w:iCs/>
          <w:sz w:val="22"/>
          <w:szCs w:val="22"/>
        </w:rPr>
        <w:t>Backward</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Stepwise</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sidRPr="000B1BAC">
        <w:rPr>
          <w:rFonts w:ascii="Times New Roman" w:eastAsiaTheme="minorEastAsia" w:hAnsi="Times New Roman" w:cs="Times New Roman"/>
          <w:sz w:val="22"/>
          <w:szCs w:val="22"/>
        </w:rPr>
        <w:t xml:space="preserve"> (introduce todas las variables en la ecuación y excluye secuencialmente una tras otra)</w:t>
      </w:r>
    </w:p>
  </w:endnote>
  <w:endnote w:id="18">
    <w:p w14:paraId="09AE2585" w14:textId="77777777" w:rsidR="00D85F60" w:rsidRPr="000B1BAC" w:rsidRDefault="00D85F60" w:rsidP="00D85F60">
      <w:pPr>
        <w:spacing w:after="0" w:line="240" w:lineRule="auto"/>
        <w:jc w:val="both"/>
        <w:rPr>
          <w:rFonts w:ascii="Times New Roman" w:eastAsiaTheme="minorEastAsia" w:hAnsi="Times New Roman" w:cs="Times New Roman"/>
        </w:rPr>
      </w:pPr>
      <w:r w:rsidRPr="000B1BAC">
        <w:rPr>
          <w:rStyle w:val="Refdenotaalfinal"/>
        </w:rPr>
        <w:endnoteRef/>
      </w:r>
      <w:r w:rsidRPr="000B1BAC">
        <w:t xml:space="preserve"> </w:t>
      </w:r>
      <w:r w:rsidRPr="000B1BAC">
        <w:rPr>
          <w:rFonts w:ascii="Times New Roman" w:hAnsi="Times New Roman" w:cs="Times New Roman"/>
        </w:rPr>
        <w:t xml:space="preserve">Este método es una combinación de las penalizaciones que imponen sobre los coeficientes </w:t>
      </w:r>
      <w:proofErr w:type="spellStart"/>
      <w:r w:rsidRPr="000B1BAC">
        <w:rPr>
          <w:rFonts w:ascii="Times New Roman" w:hAnsi="Times New Roman" w:cs="Times New Roman"/>
        </w:rPr>
        <w:t>lasso</w:t>
      </w:r>
      <w:proofErr w:type="spellEnd"/>
      <w:r w:rsidRPr="000B1BAC">
        <w:rPr>
          <w:rFonts w:ascii="Times New Roman" w:hAnsi="Times New Roman" w:cs="Times New Roman"/>
        </w:rPr>
        <w:t xml:space="preserve"> y </w:t>
      </w:r>
      <w:proofErr w:type="spellStart"/>
      <w:r w:rsidRPr="000B1BAC">
        <w:rPr>
          <w:rFonts w:ascii="Times New Roman" w:hAnsi="Times New Roman" w:cs="Times New Roman"/>
        </w:rPr>
        <w:t>ridge</w:t>
      </w:r>
      <w:proofErr w:type="spellEnd"/>
      <w:r w:rsidRPr="000B1BAC">
        <w:rPr>
          <w:rFonts w:ascii="Times New Roman" w:hAnsi="Times New Roman" w:cs="Times New Roman"/>
        </w:rPr>
        <w:t>, dos métodos de regularización.</w:t>
      </w:r>
      <w:r w:rsidRPr="000B1BAC">
        <w:rPr>
          <w:rFonts w:ascii="Times New Roman" w:eastAsiaTheme="minorEastAsia" w:hAnsi="Times New Roman" w:cs="Times New Roman"/>
        </w:rPr>
        <w:t xml:space="preserve"> </w:t>
      </w:r>
    </w:p>
  </w:endnote>
  <w:endnote w:id="19">
    <w:p w14:paraId="08A7EA73" w14:textId="77777777" w:rsidR="00CE707E" w:rsidRPr="0096666C" w:rsidRDefault="00CE707E" w:rsidP="00CE707E">
      <w:pPr>
        <w:pStyle w:val="Textonotaalfinal"/>
        <w:rPr>
          <w:sz w:val="22"/>
          <w:szCs w:val="22"/>
        </w:rPr>
      </w:pPr>
      <w:r w:rsidRPr="0096666C">
        <w:rPr>
          <w:rStyle w:val="Refdenotaalfinal"/>
          <w:sz w:val="22"/>
          <w:szCs w:val="22"/>
        </w:rPr>
        <w:endnoteRef/>
      </w:r>
      <w:r w:rsidRPr="0096666C">
        <w:rPr>
          <w:sz w:val="22"/>
          <w:szCs w:val="22"/>
        </w:rPr>
        <w:t xml:space="preserve"> </w:t>
      </w:r>
      <w:r w:rsidRPr="0096666C">
        <w:rPr>
          <w:rFonts w:ascii="Times New Roman" w:hAnsi="Times New Roman" w:cs="Times New Roman"/>
          <w:i/>
          <w:iCs/>
          <w:sz w:val="22"/>
          <w:szCs w:val="22"/>
        </w:rPr>
        <w:t xml:space="preserve">5-fold Cross </w:t>
      </w:r>
      <w:proofErr w:type="spellStart"/>
      <w:r w:rsidRPr="0096666C">
        <w:rPr>
          <w:rFonts w:ascii="Times New Roman" w:hAnsi="Times New Roman" w:cs="Times New Roman"/>
          <w:i/>
          <w:iCs/>
          <w:sz w:val="22"/>
          <w:szCs w:val="22"/>
        </w:rPr>
        <w:t>Validation</w:t>
      </w:r>
      <w:proofErr w:type="spellEnd"/>
      <w:r>
        <w:rPr>
          <w:rFonts w:ascii="Times New Roman" w:hAnsi="Times New Roman" w:cs="Times New Roman"/>
          <w:i/>
          <w:iCs/>
          <w:sz w:val="22"/>
          <w:szCs w:val="22"/>
        </w:rPr>
        <w:t xml:space="preserve"> </w:t>
      </w:r>
      <w:r w:rsidRPr="0096666C">
        <w:rPr>
          <w:rFonts w:ascii="Times New Roman" w:hAnsi="Times New Roman" w:cs="Times New Roman"/>
          <w:sz w:val="22"/>
          <w:szCs w:val="22"/>
        </w:rPr>
        <w:t>en inglés</w:t>
      </w:r>
    </w:p>
  </w:endnote>
  <w:endnote w:id="20">
    <w:p w14:paraId="2CD9F740" w14:textId="77777777" w:rsidR="00CE707E" w:rsidRPr="00541658" w:rsidRDefault="00CE707E" w:rsidP="00CE707E">
      <w:pPr>
        <w:spacing w:after="0" w:line="240" w:lineRule="auto"/>
        <w:jc w:val="both"/>
        <w:rPr>
          <w:rFonts w:ascii="Times New Roman" w:hAnsi="Times New Roman" w:cs="Times New Roman"/>
        </w:rPr>
      </w:pPr>
      <w:r w:rsidRPr="00541658">
        <w:rPr>
          <w:rStyle w:val="Refdenotaalfinal"/>
        </w:rPr>
        <w:endnoteRef/>
      </w:r>
      <w:r w:rsidRPr="00541658">
        <w:t xml:space="preserve"> </w:t>
      </w:r>
      <w:r w:rsidRPr="00541658">
        <w:rPr>
          <w:rFonts w:ascii="Times New Roman" w:hAnsi="Times New Roman" w:cs="Times New Roman"/>
        </w:rPr>
        <w:t xml:space="preserve">En el modelo existen dos </w:t>
      </w:r>
      <w:proofErr w:type="spellStart"/>
      <w:r w:rsidRPr="00541658">
        <w:rPr>
          <w:rFonts w:ascii="Times New Roman" w:hAnsi="Times New Roman" w:cs="Times New Roman"/>
        </w:rPr>
        <w:t>hiperparámetros</w:t>
      </w:r>
      <w:proofErr w:type="spellEnd"/>
      <w:r w:rsidRPr="00541658">
        <w:rPr>
          <w:rFonts w:ascii="Times New Roman" w:hAnsi="Times New Roman" w:cs="Times New Roman"/>
        </w:rPr>
        <w:t>: alfa (α)</w:t>
      </w:r>
      <w:r w:rsidRPr="00541658">
        <w:rPr>
          <w:rFonts w:ascii="Times New Roman" w:hAnsi="Times New Roman" w:cs="Times New Roman"/>
          <w:b/>
          <w:bCs/>
        </w:rPr>
        <w:t xml:space="preserve"> </w:t>
      </w:r>
      <w:r w:rsidRPr="00541658">
        <w:rPr>
          <w:rFonts w:ascii="Times New Roman" w:hAnsi="Times New Roman" w:cs="Times New Roman"/>
        </w:rPr>
        <w:t>que controla el grado en que influye cada penalización y toma valores [0,1], así, si</w:t>
      </w:r>
      <w:r w:rsidRPr="00541658">
        <w:rPr>
          <w:rFonts w:ascii="Cambria Math" w:hAnsi="Cambria Math" w:cs="Times New Roman"/>
          <w:i/>
        </w:rPr>
        <w:t xml:space="preserve"> </w:t>
      </w:r>
      <m:oMath>
        <m:r>
          <m:rPr>
            <m:sty m:val="p"/>
          </m:rPr>
          <w:rPr>
            <w:rFonts w:ascii="Cambria Math" w:hAnsi="Cambria Math" w:cs="Times New Roman"/>
          </w:rPr>
          <m:t>α</m:t>
        </m:r>
        <m:r>
          <m:rPr>
            <m:sty m:val="p"/>
          </m:rPr>
          <w:rPr>
            <w:rFonts w:ascii="Cambria Math" w:hAnsi="Times New Roman" w:cs="Times New Roman"/>
          </w:rPr>
          <m:t>=1</m:t>
        </m:r>
      </m:oMath>
      <w:r w:rsidRPr="00541658">
        <w:rPr>
          <w:rFonts w:ascii="Times New Roman" w:hAnsi="Times New Roman" w:cs="Times New Roman"/>
        </w:rPr>
        <w:t xml:space="preserve"> se aplica </w:t>
      </w:r>
      <w:r w:rsidRPr="00541658">
        <w:rPr>
          <w:rFonts w:ascii="Times New Roman" w:hAnsi="Times New Roman" w:cs="Times New Roman"/>
          <w:i/>
          <w:iCs/>
        </w:rPr>
        <w:t>Lasso</w:t>
      </w:r>
      <w:r w:rsidRPr="00541658">
        <w:rPr>
          <w:rFonts w:ascii="Times New Roman" w:hAnsi="Times New Roman" w:cs="Times New Roman"/>
        </w:rPr>
        <w:t xml:space="preserve"> y si </w:t>
      </w:r>
      <m:oMath>
        <m:r>
          <m:rPr>
            <m:sty m:val="p"/>
          </m:rPr>
          <w:rPr>
            <w:rFonts w:ascii="Cambria Math" w:hAnsi="Cambria Math" w:cs="Times New Roman"/>
          </w:rPr>
          <m:t>α</m:t>
        </m:r>
        <m:r>
          <m:rPr>
            <m:sty m:val="p"/>
          </m:rPr>
          <w:rPr>
            <w:rFonts w:ascii="Cambria Math" w:hAnsi="Times New Roman" w:cs="Times New Roman"/>
          </w:rPr>
          <m:t xml:space="preserve">=0 </m:t>
        </m:r>
      </m:oMath>
      <w:r w:rsidRPr="00541658">
        <w:rPr>
          <w:rFonts w:ascii="Times New Roman" w:eastAsiaTheme="minorEastAsia" w:hAnsi="Times New Roman" w:cs="Times New Roman"/>
        </w:rPr>
        <w:t xml:space="preserve">se aplica </w:t>
      </w:r>
      <w:r w:rsidRPr="00541658">
        <w:rPr>
          <w:rFonts w:ascii="Times New Roman" w:eastAsiaTheme="minorEastAsia" w:hAnsi="Times New Roman" w:cs="Times New Roman"/>
          <w:i/>
          <w:iCs/>
        </w:rPr>
        <w:t xml:space="preserve">Ridge; </w:t>
      </w:r>
      <w:r w:rsidRPr="00541658">
        <w:rPr>
          <w:rFonts w:ascii="Times New Roman" w:hAnsi="Times New Roman" w:cs="Times New Roman"/>
        </w:rPr>
        <w:t>y lambda (λ)</w:t>
      </w:r>
      <w:r w:rsidRPr="00541658">
        <w:rPr>
          <w:rFonts w:ascii="Times New Roman" w:hAnsi="Times New Roman" w:cs="Times New Roman"/>
          <w:b/>
          <w:bCs/>
        </w:rPr>
        <w:t xml:space="preserve"> </w:t>
      </w:r>
      <w:r w:rsidRPr="00541658">
        <w:rPr>
          <w:rFonts w:ascii="Times New Roman" w:hAnsi="Times New Roman" w:cs="Times New Roman"/>
        </w:rPr>
        <w:t xml:space="preserve">que es el </w:t>
      </w:r>
      <w:proofErr w:type="spellStart"/>
      <w:r w:rsidRPr="00541658">
        <w:rPr>
          <w:rFonts w:ascii="Times New Roman" w:hAnsi="Times New Roman" w:cs="Times New Roman"/>
        </w:rPr>
        <w:t>hiperparámetro</w:t>
      </w:r>
      <w:proofErr w:type="spellEnd"/>
      <w:r w:rsidRPr="00541658">
        <w:rPr>
          <w:rFonts w:ascii="Times New Roman" w:hAnsi="Times New Roman" w:cs="Times New Roman"/>
        </w:rPr>
        <w:t xml:space="preserve"> de regularización.</w:t>
      </w:r>
    </w:p>
  </w:endnote>
  <w:endnote w:id="21">
    <w:p w14:paraId="40EF11F0" w14:textId="77777777" w:rsidR="00CE707E" w:rsidRPr="00605305" w:rsidRDefault="00CE707E" w:rsidP="00CE707E">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Se multiplicó la línea de pobreza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por el número de personas en la unidad de gasto, puesto que la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está en términos per cápita, y el ingreso estimado es agregado del hogar.</w:t>
      </w:r>
    </w:p>
  </w:endnote>
  <w:endnote w:id="22">
    <w:p w14:paraId="7E0A6F89" w14:textId="77777777" w:rsidR="00B9370D" w:rsidRPr="00605305" w:rsidRDefault="00B9370D" w:rsidP="00B9370D">
      <w:pPr>
        <w:pStyle w:val="Textonotaalfinal"/>
        <w:jc w:val="both"/>
        <w:rPr>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Specificity</w:t>
      </w:r>
      <w:proofErr w:type="spellEnd"/>
      <w:r w:rsidRPr="00605305">
        <w:rPr>
          <w:rFonts w:ascii="Times New Roman" w:hAnsi="Times New Roman" w:cs="Times New Roman"/>
          <w:sz w:val="22"/>
          <w:szCs w:val="22"/>
        </w:rPr>
        <w:t xml:space="preserve"> es la ratio entre el total de hogares clasificados como no pobres y el número real de dichos hogares.</w:t>
      </w:r>
    </w:p>
  </w:endnote>
  <w:endnote w:id="23">
    <w:p w14:paraId="15886C87" w14:textId="77777777" w:rsidR="000414DE" w:rsidRDefault="000414DE" w:rsidP="000414DE">
      <w:pPr>
        <w:pStyle w:val="Textonotaalfinal"/>
      </w:pPr>
      <w:r w:rsidRPr="00605305">
        <w:rPr>
          <w:rStyle w:val="Refdenotaalfinal"/>
          <w:sz w:val="22"/>
          <w:szCs w:val="22"/>
        </w:rPr>
        <w:endnoteRef/>
      </w:r>
      <w:r w:rsidRPr="00605305">
        <w:rPr>
          <w:sz w:val="22"/>
          <w:szCs w:val="22"/>
        </w:rPr>
        <w:t xml:space="preserve"> </w:t>
      </w:r>
      <w:r w:rsidRPr="00605305">
        <w:rPr>
          <w:rFonts w:ascii="Times New Roman" w:hAnsi="Times New Roman" w:cs="Times New Roman"/>
          <w:sz w:val="22"/>
          <w:szCs w:val="22"/>
        </w:rPr>
        <w:t>Para las personas con educación se utiliza la siguiente aproximación de experiencia (X): Si 18 &lt; edad &lt; 22, X = edad – 18; si edad &gt; 22, X = edad – educación – 6. Y para personas sin educación terciaria se aproxima como sigue: si edad &gt; 18, X = edad – 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26A0B" w14:textId="77777777" w:rsidR="004E5E55" w:rsidRDefault="004E5E55" w:rsidP="00130B06">
      <w:pPr>
        <w:spacing w:after="0" w:line="240" w:lineRule="auto"/>
      </w:pPr>
      <w:r>
        <w:separator/>
      </w:r>
    </w:p>
  </w:footnote>
  <w:footnote w:type="continuationSeparator" w:id="0">
    <w:p w14:paraId="62E3AB25" w14:textId="77777777" w:rsidR="004E5E55" w:rsidRDefault="004E5E55" w:rsidP="00130B06">
      <w:pPr>
        <w:spacing w:after="0" w:line="240" w:lineRule="auto"/>
      </w:pPr>
      <w:r>
        <w:continuationSeparator/>
      </w:r>
    </w:p>
  </w:footnote>
  <w:footnote w:id="1">
    <w:p w14:paraId="7E4263D1" w14:textId="77777777" w:rsidR="002A05AA" w:rsidRDefault="002A05AA" w:rsidP="002A05AA">
      <w:pPr>
        <w:pStyle w:val="Textonotapie"/>
        <w:rPr>
          <w:rFonts w:ascii="Times New Roman" w:hAnsi="Times New Roman" w:cs="Times New Roman"/>
        </w:rPr>
      </w:pPr>
      <w:r>
        <w:rPr>
          <w:rStyle w:val="Refdenotaalpi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1F"/>
    <w:rsid w:val="000414DE"/>
    <w:rsid w:val="00060CB5"/>
    <w:rsid w:val="000A2CA7"/>
    <w:rsid w:val="001030ED"/>
    <w:rsid w:val="00130B06"/>
    <w:rsid w:val="001446BE"/>
    <w:rsid w:val="001B0592"/>
    <w:rsid w:val="001B5B18"/>
    <w:rsid w:val="001C7A53"/>
    <w:rsid w:val="00282B7D"/>
    <w:rsid w:val="002A05AA"/>
    <w:rsid w:val="0030655A"/>
    <w:rsid w:val="00417046"/>
    <w:rsid w:val="004444ED"/>
    <w:rsid w:val="00496EB5"/>
    <w:rsid w:val="004B3512"/>
    <w:rsid w:val="004E5E55"/>
    <w:rsid w:val="0051431D"/>
    <w:rsid w:val="005C04FE"/>
    <w:rsid w:val="008B119B"/>
    <w:rsid w:val="008C7272"/>
    <w:rsid w:val="00A312AF"/>
    <w:rsid w:val="00A3776D"/>
    <w:rsid w:val="00A5088E"/>
    <w:rsid w:val="00B20CC7"/>
    <w:rsid w:val="00B9370D"/>
    <w:rsid w:val="00C6681F"/>
    <w:rsid w:val="00CC67B0"/>
    <w:rsid w:val="00CE707E"/>
    <w:rsid w:val="00D85F60"/>
    <w:rsid w:val="00DA0FD7"/>
    <w:rsid w:val="00DD0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0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30B06"/>
    <w:rPr>
      <w:color w:val="0563C1" w:themeColor="hyperlink"/>
      <w:u w:val="single"/>
    </w:rPr>
  </w:style>
  <w:style w:type="paragraph" w:styleId="Textonotapie">
    <w:name w:val="footnote text"/>
    <w:basedOn w:val="Normal"/>
    <w:link w:val="TextonotapieCar"/>
    <w:uiPriority w:val="99"/>
    <w:semiHidden/>
    <w:unhideWhenUsed/>
    <w:rsid w:val="00130B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0B06"/>
    <w:rPr>
      <w:sz w:val="20"/>
      <w:szCs w:val="20"/>
    </w:rPr>
  </w:style>
  <w:style w:type="paragraph" w:styleId="Textonotaalfinal">
    <w:name w:val="endnote text"/>
    <w:basedOn w:val="Normal"/>
    <w:link w:val="TextonotaalfinalCar"/>
    <w:uiPriority w:val="99"/>
    <w:unhideWhenUsed/>
    <w:rsid w:val="00130B0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130B06"/>
    <w:rPr>
      <w:sz w:val="20"/>
      <w:szCs w:val="20"/>
    </w:rPr>
  </w:style>
  <w:style w:type="character" w:styleId="Refdenotaalpie">
    <w:name w:val="footnote reference"/>
    <w:basedOn w:val="Fuentedeprrafopredeter"/>
    <w:uiPriority w:val="99"/>
    <w:semiHidden/>
    <w:unhideWhenUsed/>
    <w:rsid w:val="00130B06"/>
    <w:rPr>
      <w:vertAlign w:val="superscript"/>
    </w:rPr>
  </w:style>
  <w:style w:type="character" w:styleId="Refdenotaalfinal">
    <w:name w:val="endnote reference"/>
    <w:basedOn w:val="Fuentedeprrafopredeter"/>
    <w:uiPriority w:val="99"/>
    <w:semiHidden/>
    <w:unhideWhenUsed/>
    <w:rsid w:val="00130B06"/>
    <w:rPr>
      <w:vertAlign w:val="superscript"/>
    </w:rPr>
  </w:style>
  <w:style w:type="table" w:styleId="Tablaconcuadrcula">
    <w:name w:val="Table Grid"/>
    <w:basedOn w:val="Tablanormal"/>
    <w:uiPriority w:val="39"/>
    <w:rsid w:val="00CC6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2709</Words>
  <Characters>14901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17</cp:revision>
  <dcterms:created xsi:type="dcterms:W3CDTF">2022-07-12T22:13:00Z</dcterms:created>
  <dcterms:modified xsi:type="dcterms:W3CDTF">2022-07-12T23:40:00Z</dcterms:modified>
</cp:coreProperties>
</file>