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Refdenotaalfinal"/>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ipervnculo"/>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Refdenotaalpi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Refdenotaalfinal"/>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Refdenotaalfinal"/>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Refdenotaalfinal"/>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Refdenotaalfinal"/>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r w:rsidRPr="00B20CC7">
        <w:rPr>
          <w:rFonts w:ascii="Times New Roman" w:hAnsi="Times New Roman" w:cs="Times New Roman"/>
          <w:i/>
          <w:iCs/>
          <w:sz w:val="24"/>
          <w:szCs w:val="24"/>
        </w:rPr>
        <w:t>Best Subset Selection</w:t>
      </w:r>
      <w:r w:rsidRPr="00B20CC7">
        <w:rPr>
          <w:rFonts w:ascii="Times New Roman" w:hAnsi="Times New Roman" w:cs="Times New Roman"/>
          <w:sz w:val="24"/>
          <w:szCs w:val="24"/>
        </w:rPr>
        <w:t xml:space="preserve"> para identificar aquellas que tendrían mayor relevancia y se evaluaron 6 modelos</w:t>
      </w:r>
      <w:r w:rsidRPr="00B20CC7">
        <w:rPr>
          <w:rStyle w:val="Refdenotaalfinal"/>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Refdenotaalfinal"/>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r w:rsidRPr="0030655A">
        <w:rPr>
          <w:rFonts w:ascii="Times New Roman" w:hAnsi="Times New Roman" w:cs="Times New Roman"/>
          <w:i/>
          <w:iCs/>
          <w:sz w:val="24"/>
          <w:szCs w:val="24"/>
        </w:rPr>
        <w:t>Subsidiado_hg</w:t>
      </w:r>
      <w:r w:rsidRPr="0030655A">
        <w:rPr>
          <w:rFonts w:ascii="Times New Roman" w:hAnsi="Times New Roman" w:cs="Times New Roman"/>
          <w:sz w:val="24"/>
          <w:szCs w:val="24"/>
        </w:rPr>
        <w:t xml:space="preserve"> que toma el valor de 1 si al menos un miembro de hogar (MdH) pertenece al régimen subsidiado de salud; (ii) </w:t>
      </w:r>
      <w:r w:rsidRPr="0030655A">
        <w:rPr>
          <w:rFonts w:ascii="Times New Roman" w:hAnsi="Times New Roman" w:cs="Times New Roman"/>
          <w:i/>
          <w:iCs/>
          <w:sz w:val="24"/>
          <w:szCs w:val="24"/>
        </w:rPr>
        <w:t>ayudaInstituciones_hg</w:t>
      </w:r>
      <w:r w:rsidRPr="0030655A">
        <w:rPr>
          <w:rFonts w:ascii="Times New Roman" w:hAnsi="Times New Roman" w:cs="Times New Roman"/>
          <w:sz w:val="24"/>
          <w:szCs w:val="24"/>
        </w:rPr>
        <w:t xml:space="preserve"> que indica si al menos un MdH recibió ayuda monetaria de una institución nacional o extranjera (=1), (iii) </w:t>
      </w:r>
      <w:r w:rsidRPr="0030655A">
        <w:rPr>
          <w:rFonts w:ascii="Times New Roman" w:hAnsi="Times New Roman" w:cs="Times New Roman"/>
          <w:i/>
          <w:iCs/>
          <w:sz w:val="24"/>
          <w:szCs w:val="24"/>
        </w:rPr>
        <w:t>personaxCuarto_hg</w:t>
      </w:r>
      <w:r w:rsidRPr="0030655A">
        <w:rPr>
          <w:rFonts w:ascii="Times New Roman" w:hAnsi="Times New Roman" w:cs="Times New Roman"/>
          <w:sz w:val="24"/>
          <w:szCs w:val="24"/>
        </w:rPr>
        <w:t xml:space="preserve"> que indica la ratio entre MdH y cuartos donde duermen; y (iv) </w:t>
      </w:r>
      <w:r w:rsidRPr="0030655A">
        <w:rPr>
          <w:rFonts w:ascii="Times New Roman" w:hAnsi="Times New Roman" w:cs="Times New Roman"/>
          <w:i/>
          <w:iCs/>
          <w:sz w:val="24"/>
          <w:szCs w:val="24"/>
        </w:rPr>
        <w:t>educ_hg</w:t>
      </w:r>
      <w:r w:rsidRPr="0030655A">
        <w:rPr>
          <w:rFonts w:ascii="Times New Roman" w:hAnsi="Times New Roman" w:cs="Times New Roman"/>
          <w:sz w:val="24"/>
          <w:szCs w:val="24"/>
        </w:rPr>
        <w:t xml:space="preserve"> que es el promedio de años de escolaridad de los MdH.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Refdenotaalfinal"/>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r w:rsidRPr="0030655A">
        <w:rPr>
          <w:rFonts w:ascii="Times New Roman" w:hAnsi="Times New Roman" w:cs="Times New Roman"/>
          <w:i/>
          <w:iCs/>
          <w:sz w:val="24"/>
          <w:szCs w:val="24"/>
        </w:rPr>
        <w:t>class imbalances</w:t>
      </w:r>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Up-sampling</w:t>
      </w:r>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Down-sampling</w:t>
      </w:r>
      <w:r w:rsidRPr="0030655A">
        <w:rPr>
          <w:rStyle w:val="Refdenotaalfinal"/>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r w:rsidRPr="001C7A53">
        <w:rPr>
          <w:rFonts w:ascii="Times New Roman" w:hAnsi="Times New Roman" w:cs="Times New Roman"/>
          <w:i/>
          <w:iCs/>
          <w:sz w:val="24"/>
          <w:szCs w:val="24"/>
        </w:rPr>
        <w:t>Sensitivity)</w:t>
      </w:r>
      <w:r w:rsidRPr="001C7A53">
        <w:rPr>
          <w:rStyle w:val="Refdenotaalfinal"/>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Refdenotaalfinal"/>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Refdenotaalfinal"/>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Refdenotaalfinal"/>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Refdenotaalfinal"/>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Una segunda aproximación para construir un modelo predictivo de pobreza de los hogares es a través de su ingreso. Estimamos el ingreso del hogar a partir de la agregación de una estimación individual del ingreso de cada MdH</w:t>
      </w:r>
      <w:r w:rsidRPr="001C7A53">
        <w:rPr>
          <w:rStyle w:val="Refdenotaalfinal"/>
          <w:rFonts w:ascii="Times New Roman" w:hAnsi="Times New Roman" w:cs="Times New Roman"/>
          <w:sz w:val="24"/>
          <w:szCs w:val="24"/>
        </w:rPr>
        <w:endnoteReference w:id="15"/>
      </w:r>
      <w:r w:rsidRPr="001C7A53">
        <w:rPr>
          <w:rFonts w:ascii="Times New Roman" w:hAnsi="Times New Roman" w:cs="Times New Roman"/>
          <w:sz w:val="24"/>
          <w:szCs w:val="24"/>
        </w:rPr>
        <w:t xml:space="preserve">. Luego, utilizando la línea de pobreza (Lp)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Lp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Refdenotaalfinal"/>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r w:rsidRPr="006C16F7">
        <w:rPr>
          <w:rFonts w:ascii="Times New Roman" w:eastAsiaTheme="minorEastAsia" w:hAnsi="Times New Roman" w:cs="Times New Roman"/>
          <w:i/>
          <w:iCs/>
          <w:sz w:val="24"/>
          <w:szCs w:val="24"/>
        </w:rPr>
        <w:t>Best Subset Selection</w:t>
      </w:r>
      <w:r w:rsidRPr="006C16F7">
        <w:rPr>
          <w:rFonts w:ascii="Times New Roman" w:eastAsiaTheme="minorEastAsia" w:hAnsi="Times New Roman" w:cs="Times New Roman"/>
          <w:sz w:val="24"/>
          <w:szCs w:val="24"/>
        </w:rPr>
        <w:t xml:space="preserve"> (</w:t>
      </w:r>
      <w:r w:rsidRPr="006C16F7">
        <w:rPr>
          <w:rFonts w:ascii="Times New Roman" w:eastAsiaTheme="minorEastAsia" w:hAnsi="Times New Roman" w:cs="Times New Roman"/>
          <w:i/>
          <w:iCs/>
          <w:sz w:val="24"/>
          <w:szCs w:val="24"/>
        </w:rPr>
        <w:t xml:space="preserve">BSuS) </w:t>
      </w:r>
      <w:r w:rsidRPr="006C16F7">
        <w:rPr>
          <w:rFonts w:ascii="Times New Roman" w:eastAsiaTheme="minorEastAsia" w:hAnsi="Times New Roman" w:cs="Times New Roman"/>
          <w:sz w:val="24"/>
          <w:szCs w:val="24"/>
        </w:rPr>
        <w:t xml:space="preserve">y </w:t>
      </w:r>
      <w:r w:rsidRPr="006C16F7">
        <w:rPr>
          <w:rFonts w:ascii="Times New Roman" w:eastAsiaTheme="minorEastAsia" w:hAnsi="Times New Roman" w:cs="Times New Roman"/>
          <w:i/>
          <w:iCs/>
          <w:sz w:val="24"/>
          <w:szCs w:val="24"/>
        </w:rPr>
        <w:t>Backward Stepwise Selection (BSwS)</w:t>
      </w:r>
      <w:r w:rsidRPr="006C16F7">
        <w:rPr>
          <w:rStyle w:val="Refdenotaalfinal"/>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r w:rsidRPr="006C16F7">
        <w:rPr>
          <w:rFonts w:ascii="Times New Roman" w:eastAsiaTheme="minorEastAsia" w:hAnsi="Times New Roman" w:cs="Times New Roman"/>
          <w:i/>
          <w:iCs/>
          <w:sz w:val="24"/>
          <w:szCs w:val="24"/>
        </w:rPr>
        <w:t>Elastic Net</w:t>
      </w:r>
      <w:r w:rsidRPr="006C16F7">
        <w:rPr>
          <w:rStyle w:val="Refdenotaalfinal"/>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r w:rsidRPr="006C16F7">
        <w:rPr>
          <w:rFonts w:ascii="Times New Roman" w:eastAsiaTheme="minorEastAsia" w:hAnsi="Times New Roman" w:cs="Times New Roman"/>
          <w:i/>
          <w:iCs/>
          <w:sz w:val="24"/>
          <w:szCs w:val="24"/>
        </w:rPr>
        <w:t>overfitting)</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r w:rsidRPr="006C16F7">
        <w:rPr>
          <w:rFonts w:ascii="Times New Roman" w:eastAsiaTheme="minorEastAsia" w:hAnsi="Times New Roman" w:cs="Times New Roman"/>
          <w:i/>
          <w:iCs/>
          <w:sz w:val="24"/>
          <w:szCs w:val="24"/>
        </w:rPr>
        <w:t xml:space="preserve">BSwS y </w:t>
      </w:r>
      <w:r w:rsidRPr="006C16F7">
        <w:rPr>
          <w:rFonts w:ascii="Times New Roman" w:eastAsiaTheme="minorEastAsia" w:hAnsi="Times New Roman" w:cs="Times New Roman"/>
          <w:sz w:val="24"/>
          <w:szCs w:val="24"/>
        </w:rPr>
        <w:t xml:space="preserve">4 de </w:t>
      </w:r>
      <w:r w:rsidRPr="006C16F7">
        <w:rPr>
          <w:rFonts w:ascii="Times New Roman" w:eastAsiaTheme="minorEastAsia" w:hAnsi="Times New Roman" w:cs="Times New Roman"/>
          <w:i/>
          <w:iCs/>
          <w:sz w:val="24"/>
          <w:szCs w:val="24"/>
        </w:rPr>
        <w:t>Elastic Net</w:t>
      </w:r>
      <w:r w:rsidRPr="006C16F7">
        <w:rPr>
          <w:rFonts w:ascii="Times New Roman" w:eastAsiaTheme="minorEastAsia" w:hAnsi="Times New Roman" w:cs="Times New Roman"/>
          <w:sz w:val="24"/>
          <w:szCs w:val="24"/>
        </w:rPr>
        <w:t xml:space="preserve">), mientras el modelo de </w:t>
      </w:r>
      <w:r w:rsidRPr="006C16F7">
        <w:rPr>
          <w:rFonts w:ascii="Times New Roman" w:eastAsiaTheme="minorEastAsia" w:hAnsi="Times New Roman" w:cs="Times New Roman"/>
          <w:i/>
          <w:iCs/>
          <w:sz w:val="24"/>
          <w:szCs w:val="24"/>
        </w:rPr>
        <w:t>BSuS</w:t>
      </w:r>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364FAF19"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u w:val="single"/>
        </w:rPr>
        <w:t>Modelo seleccionado:</w:t>
      </w:r>
      <w:r w:rsidRPr="00CE707E">
        <w:rPr>
          <w:rFonts w:ascii="Times New Roman" w:hAnsi="Times New Roman" w:cs="Times New Roman"/>
          <w:sz w:val="24"/>
          <w:szCs w:val="24"/>
        </w:rPr>
        <w:t xml:space="preserve"> El modelo (3) seleccionado corresponde a la estimación utilizando </w:t>
      </w:r>
      <w:r w:rsidRPr="00CE707E">
        <w:rPr>
          <w:rFonts w:ascii="Times New Roman" w:hAnsi="Times New Roman" w:cs="Times New Roman"/>
          <w:i/>
          <w:iCs/>
          <w:sz w:val="24"/>
          <w:szCs w:val="24"/>
        </w:rPr>
        <w:t>Elastic Net</w:t>
      </w:r>
      <w:r w:rsidRPr="00CE707E">
        <w:rPr>
          <w:rFonts w:ascii="Times New Roman" w:hAnsi="Times New Roman" w:cs="Times New Roman"/>
          <w:sz w:val="24"/>
          <w:szCs w:val="24"/>
        </w:rPr>
        <w:t>, y validación cruzada en 5 conjuntos</w:t>
      </w:r>
      <w:r w:rsidRPr="00CE707E">
        <w:rPr>
          <w:rFonts w:ascii="Times New Roman" w:hAnsi="Times New Roman" w:cs="Times New Roman"/>
          <w:sz w:val="24"/>
          <w:szCs w:val="24"/>
          <w:vertAlign w:val="superscript"/>
        </w:rPr>
        <w:endnoteReference w:id="19"/>
      </w:r>
      <w:r w:rsidRPr="00CE707E">
        <w:rPr>
          <w:rFonts w:ascii="Times New Roman" w:hAnsi="Times New Roman" w:cs="Times New Roman"/>
          <w:sz w:val="24"/>
          <w:szCs w:val="24"/>
        </w:rPr>
        <w:t xml:space="preserve">, de un modelo donde la variable dependiente es </w:t>
      </w:r>
      <m:oMath>
        <m:r>
          <w:rPr>
            <w:rFonts w:ascii="Cambria Math" w:hAnsi="Cambria Math" w:cs="Times New Roman"/>
            <w:sz w:val="24"/>
            <w:szCs w:val="24"/>
          </w:rPr>
          <m:t>y_laboral</m:t>
        </m:r>
      </m:oMath>
      <w:r w:rsidRPr="00CE707E">
        <w:rPr>
          <w:rFonts w:ascii="Times New Roman" w:hAnsi="Times New Roman" w:cs="Times New Roman"/>
          <w:sz w:val="24"/>
          <w:szCs w:val="24"/>
        </w:rPr>
        <w:t xml:space="preserve">, que denota el ingreso laboral del individuo y las variables explicativas son:  </w:t>
      </w:r>
      <m:oMath>
        <m:r>
          <w:rPr>
            <w:rFonts w:ascii="Cambria Math" w:hAnsi="Cambria Math" w:cs="Times New Roman"/>
            <w:sz w:val="24"/>
            <w:szCs w:val="24"/>
          </w:rPr>
          <m:t>microEmpresa</m:t>
        </m:r>
      </m:oMath>
      <w:r w:rsidRPr="00CE707E">
        <w:rPr>
          <w:rFonts w:ascii="Times New Roman" w:eastAsiaTheme="minorEastAsia" w:hAnsi="Times New Roman" w:cs="Times New Roman"/>
          <w:sz w:val="24"/>
          <w:szCs w:val="24"/>
        </w:rPr>
        <w:t xml:space="preserve">, una variable categórica que indica si la persona trabaja en microempresa (=1), </w:t>
      </w:r>
      <m:oMath>
        <m:r>
          <w:rPr>
            <w:rFonts w:ascii="Cambria Math" w:eastAsiaTheme="minorEastAsia" w:hAnsi="Cambria Math" w:cs="Times New Roman"/>
            <w:sz w:val="24"/>
            <w:szCs w:val="24"/>
          </w:rPr>
          <m:t>o</m:t>
        </m:r>
        <m:r>
          <w:rPr>
            <w:rFonts w:ascii="Cambria Math" w:hAnsi="Cambria Math" w:cs="Times New Roman"/>
            <w:sz w:val="24"/>
            <w:szCs w:val="24"/>
          </w:rPr>
          <m:t>cupado</m:t>
        </m:r>
      </m:oMath>
      <w:r w:rsidRPr="00CE707E">
        <w:rPr>
          <w:rFonts w:ascii="Times New Roman" w:eastAsiaTheme="minorEastAsia" w:hAnsi="Times New Roman" w:cs="Times New Roman"/>
          <w:sz w:val="24"/>
          <w:szCs w:val="24"/>
        </w:rPr>
        <w:t xml:space="preserve">, que determina si la persona se encuentra ocupada (=1), </w:t>
      </w:r>
      <m:oMath>
        <m:r>
          <w:rPr>
            <w:rFonts w:ascii="Cambria Math" w:hAnsi="Cambria Math" w:cs="Times New Roman"/>
            <w:sz w:val="24"/>
            <w:szCs w:val="24"/>
          </w:rPr>
          <m:t>educ</m:t>
        </m:r>
      </m:oMath>
      <w:r w:rsidRPr="00CE707E">
        <w:rPr>
          <w:rFonts w:ascii="Times New Roman" w:eastAsiaTheme="minorEastAsia" w:hAnsi="Times New Roman" w:cs="Times New Roman"/>
          <w:sz w:val="24"/>
          <w:szCs w:val="24"/>
        </w:rPr>
        <w:t xml:space="preserve">, es el nivel educativo medido en años y </w:t>
      </w:r>
      <m:oMath>
        <m:r>
          <w:rPr>
            <w:rFonts w:ascii="Cambria Math" w:hAnsi="Cambria Math" w:cs="Times New Roman"/>
            <w:sz w:val="24"/>
            <w:szCs w:val="24"/>
          </w:rPr>
          <m:t>oficio</m:t>
        </m:r>
      </m:oMath>
      <w:r w:rsidRPr="00CE707E">
        <w:rPr>
          <w:rFonts w:ascii="Times New Roman" w:eastAsiaTheme="minorEastAsia" w:hAnsi="Times New Roman" w:cs="Times New Roman"/>
          <w:sz w:val="24"/>
          <w:szCs w:val="24"/>
        </w:rPr>
        <w:t xml:space="preserve">, denota la ocupación del individuo. </w:t>
      </w:r>
    </w:p>
    <w:p w14:paraId="29FD201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En la estimación las variables fueron centradas y escaladas con media 0 y desviación estándar 1, para asegurar que la penalización que impone el modelo se aplique por igual sobre cada coeficiente. La estimación utilizó los hiperparámetros</w:t>
      </w:r>
      <w:r w:rsidRPr="00CE707E">
        <w:rPr>
          <w:rFonts w:ascii="Times New Roman" w:hAnsi="Times New Roman" w:cs="Times New Roman"/>
          <w:sz w:val="24"/>
          <w:szCs w:val="24"/>
          <w:vertAlign w:val="superscript"/>
        </w:rPr>
        <w:endnoteReference w:id="20"/>
      </w:r>
      <w:r w:rsidRPr="00CE707E">
        <w:rPr>
          <w:rFonts w:ascii="Times New Roman" w:hAnsi="Times New Roman" w:cs="Times New Roman"/>
          <w:sz w:val="24"/>
          <w:szCs w:val="24"/>
        </w:rPr>
        <w:t xml:space="preserve"> óptimos </w:t>
      </w:r>
      <m:oMath>
        <m:r>
          <m:rPr>
            <m:sty m:val="p"/>
          </m:rPr>
          <w:rPr>
            <w:rFonts w:ascii="Cambria Math" w:hAnsi="Cambria Math" w:cs="Times New Roman"/>
            <w:sz w:val="24"/>
            <w:szCs w:val="24"/>
          </w:rPr>
          <m:t>α</m:t>
        </m:r>
        <m:r>
          <m:rPr>
            <m:sty m:val="p"/>
          </m:rPr>
          <w:rPr>
            <w:rFonts w:ascii="Cambria Math" w:hAnsi="Times New Roman" w:cs="Times New Roman"/>
            <w:sz w:val="24"/>
            <w:szCs w:val="24"/>
          </w:rPr>
          <m:t>=0.1</m:t>
        </m:r>
      </m:oMath>
      <w:r w:rsidRPr="00CE707E">
        <w:rPr>
          <w:rFonts w:ascii="Times New Roman" w:eastAsiaTheme="minorEastAsia" w:hAnsi="Times New Roman" w:cs="Times New Roman"/>
          <w:sz w:val="24"/>
          <w:szCs w:val="24"/>
        </w:rPr>
        <w:t xml:space="preserve"> y </w:t>
      </w:r>
      <m:oMath>
        <m:r>
          <m:rPr>
            <m:sty m:val="p"/>
          </m:rPr>
          <w:rPr>
            <w:rFonts w:ascii="Cambria Math" w:hAnsi="Cambria Math" w:cs="Times New Roman"/>
            <w:sz w:val="24"/>
            <w:szCs w:val="24"/>
          </w:rPr>
          <m:t>λ</m:t>
        </m:r>
        <m:r>
          <m:rPr>
            <m:sty m:val="p"/>
          </m:rPr>
          <w:rPr>
            <w:rFonts w:ascii="Cambria Math" w:hAnsi="Times New Roman" w:cs="Times New Roman"/>
            <w:sz w:val="24"/>
            <w:szCs w:val="24"/>
          </w:rPr>
          <m:t>=1,042.2</m:t>
        </m:r>
      </m:oMath>
      <w:r w:rsidRPr="00CE707E">
        <w:rPr>
          <w:rFonts w:ascii="Times New Roman" w:eastAsiaTheme="minorEastAsia" w:hAnsi="Times New Roman" w:cs="Times New Roman"/>
          <w:sz w:val="24"/>
          <w:szCs w:val="24"/>
        </w:rPr>
        <w:t xml:space="preserve">, </w:t>
      </w:r>
      <w:r w:rsidRPr="00CE707E">
        <w:rPr>
          <w:rFonts w:ascii="Times New Roman" w:hAnsi="Times New Roman" w:cs="Times New Roman"/>
          <w:sz w:val="24"/>
          <w:szCs w:val="24"/>
        </w:rPr>
        <w:t xml:space="preserve">que minimizan el </w:t>
      </w:r>
      <w:r w:rsidRPr="00CE707E">
        <w:rPr>
          <w:rFonts w:ascii="Times New Roman" w:hAnsi="Times New Roman" w:cs="Times New Roman"/>
          <w:i/>
          <w:iCs/>
          <w:sz w:val="24"/>
          <w:szCs w:val="24"/>
        </w:rPr>
        <w:t>MSE</w:t>
      </w:r>
      <w:r w:rsidRPr="00CE707E">
        <w:rPr>
          <w:rFonts w:ascii="Times New Roman" w:hAnsi="Times New Roman" w:cs="Times New Roman"/>
          <w:sz w:val="24"/>
          <w:szCs w:val="24"/>
        </w:rPr>
        <w:t>, valores que se encontraron empleando validación cruzada en 5 conjuntos.</w:t>
      </w:r>
    </w:p>
    <w:p w14:paraId="6EC4A2D6" w14:textId="77777777" w:rsidR="00CE707E" w:rsidRPr="00CE707E" w:rsidRDefault="00CE707E" w:rsidP="00CE707E">
      <w:pPr>
        <w:spacing w:line="259" w:lineRule="auto"/>
        <w:jc w:val="both"/>
        <w:rPr>
          <w:rFonts w:ascii="Times New Roman" w:hAnsi="Times New Roman" w:cs="Times New Roman"/>
          <w:sz w:val="24"/>
          <w:szCs w:val="24"/>
        </w:rPr>
      </w:pPr>
      <w:r w:rsidRPr="00CE707E">
        <w:rPr>
          <w:rFonts w:ascii="Times New Roman" w:hAnsi="Times New Roman" w:cs="Times New Roman"/>
          <w:sz w:val="24"/>
          <w:szCs w:val="24"/>
        </w:rPr>
        <w:t xml:space="preserve">El modelo de predicción del ingreso individual se entrenó con la base </w:t>
      </w:r>
      <w:r w:rsidRPr="00CE707E">
        <w:rPr>
          <w:rFonts w:ascii="Times New Roman" w:hAnsi="Times New Roman" w:cs="Times New Roman"/>
          <w:i/>
          <w:iCs/>
          <w:sz w:val="24"/>
          <w:szCs w:val="24"/>
        </w:rPr>
        <w:t>train</w:t>
      </w:r>
      <w:r w:rsidRPr="00CE707E">
        <w:rPr>
          <w:rFonts w:ascii="Times New Roman" w:hAnsi="Times New Roman" w:cs="Times New Roman"/>
          <w:sz w:val="24"/>
          <w:szCs w:val="24"/>
        </w:rPr>
        <w:t>, y luego se agregaron los ingresos predichos de los MdH para obtener un estimado del ingreso agregado del hogar, que comparamos frente a la Lp</w:t>
      </w:r>
      <w:r w:rsidRPr="00CE707E">
        <w:rPr>
          <w:rFonts w:ascii="Times New Roman" w:hAnsi="Times New Roman" w:cs="Times New Roman"/>
          <w:sz w:val="24"/>
          <w:szCs w:val="24"/>
          <w:vertAlign w:val="superscript"/>
        </w:rPr>
        <w:endnoteReference w:id="21"/>
      </w:r>
      <w:r w:rsidRPr="00CE707E">
        <w:rPr>
          <w:rFonts w:ascii="Times New Roman" w:hAnsi="Times New Roman" w:cs="Times New Roman"/>
          <w:sz w:val="24"/>
          <w:szCs w:val="24"/>
        </w:rPr>
        <w:t xml:space="preserve"> y clasificamos los hogares en “pobre” y “no pobre”. Encontramos que, de un total de 164,960 hogares, 52,035 son clasificados como pobres, mientras 112,925 son clasificados como no pobres. </w:t>
      </w:r>
    </w:p>
    <w:p w14:paraId="719B740B" w14:textId="77777777" w:rsidR="00B9370D" w:rsidRP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u w:val="single"/>
        </w:rPr>
        <w:t>Desempeño del modelo:</w:t>
      </w:r>
      <w:r w:rsidRPr="00B9370D">
        <w:rPr>
          <w:rFonts w:ascii="Times New Roman" w:hAnsi="Times New Roman" w:cs="Times New Roman"/>
          <w:sz w:val="24"/>
          <w:szCs w:val="24"/>
        </w:rPr>
        <w:t xml:space="preserve"> Dado que conocemos la clasificación de los hogares en la base con la que entrenamos el modelo, podemos evaluar su desempeño. En la matriz de confusión para esta estimación (Tabla 6), se tiene que la sensibilidad (</w:t>
      </w:r>
      <w:r w:rsidRPr="00B9370D">
        <w:rPr>
          <w:rFonts w:ascii="Times New Roman" w:hAnsi="Times New Roman" w:cs="Times New Roman"/>
          <w:i/>
          <w:iCs/>
          <w:sz w:val="24"/>
          <w:szCs w:val="24"/>
        </w:rPr>
        <w:t xml:space="preserve">Sensitivity) </w:t>
      </w:r>
      <w:r w:rsidRPr="00B9370D">
        <w:rPr>
          <w:rFonts w:ascii="Times New Roman" w:hAnsi="Times New Roman" w:cs="Times New Roman"/>
          <w:sz w:val="24"/>
          <w:szCs w:val="24"/>
        </w:rPr>
        <w:t xml:space="preserve">es de 65.6%, y la tasa de falsos negativos, que mide la proporción de verdaderos pobres que el modelo clasifica como </w:t>
      </w:r>
      <w:r w:rsidRPr="00B9370D">
        <w:rPr>
          <w:rFonts w:ascii="Times New Roman" w:hAnsi="Times New Roman" w:cs="Times New Roman"/>
          <w:sz w:val="24"/>
          <w:szCs w:val="24"/>
        </w:rPr>
        <w:lastRenderedPageBreak/>
        <w:t>no pobres, es de 10.0%. La tasa de falsos positivos es 58,3%,  la especificidad (</w:t>
      </w:r>
      <w:r w:rsidRPr="00B9370D">
        <w:rPr>
          <w:rFonts w:ascii="Times New Roman" w:hAnsi="Times New Roman" w:cs="Times New Roman"/>
          <w:i/>
          <w:iCs/>
          <w:sz w:val="24"/>
          <w:szCs w:val="24"/>
        </w:rPr>
        <w:t>Specificity</w:t>
      </w:r>
      <w:r w:rsidRPr="00B9370D">
        <w:rPr>
          <w:rStyle w:val="Refdenotaalfinal"/>
          <w:rFonts w:ascii="Times New Roman" w:hAnsi="Times New Roman" w:cs="Times New Roman"/>
          <w:i/>
          <w:iCs/>
          <w:sz w:val="24"/>
          <w:szCs w:val="24"/>
        </w:rPr>
        <w:endnoteReference w:id="22"/>
      </w:r>
      <w:r w:rsidRPr="00B9370D">
        <w:rPr>
          <w:rFonts w:ascii="Times New Roman" w:hAnsi="Times New Roman" w:cs="Times New Roman"/>
          <w:i/>
          <w:iCs/>
          <w:sz w:val="24"/>
          <w:szCs w:val="24"/>
        </w:rPr>
        <w:t>)</w:t>
      </w:r>
      <w:r w:rsidRPr="00B9370D">
        <w:rPr>
          <w:rFonts w:ascii="Times New Roman" w:hAnsi="Times New Roman" w:cs="Times New Roman"/>
          <w:sz w:val="24"/>
          <w:szCs w:val="24"/>
        </w:rPr>
        <w:t xml:space="preserve"> de 76.9% y la precisión (</w:t>
      </w:r>
      <w:r w:rsidRPr="00B9370D">
        <w:rPr>
          <w:rFonts w:ascii="Times New Roman" w:hAnsi="Times New Roman" w:cs="Times New Roman"/>
          <w:i/>
          <w:iCs/>
          <w:sz w:val="24"/>
          <w:szCs w:val="24"/>
        </w:rPr>
        <w:t xml:space="preserve">accuracy) </w:t>
      </w:r>
      <w:r w:rsidRPr="00B9370D">
        <w:rPr>
          <w:rFonts w:ascii="Times New Roman" w:hAnsi="Times New Roman" w:cs="Times New Roman"/>
          <w:sz w:val="24"/>
          <w:szCs w:val="24"/>
        </w:rPr>
        <w:t xml:space="preserve">de 74.7% con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[74.5% , 74.9%]</m:t>
        </m:r>
      </m:oMath>
      <w:r w:rsidRPr="00B9370D">
        <w:rPr>
          <w:rFonts w:ascii="Times New Roman" w:hAnsi="Times New Roman" w:cs="Times New Roman"/>
          <w:sz w:val="24"/>
          <w:szCs w:val="24"/>
        </w:rPr>
        <w:t xml:space="preserve">. </w:t>
      </w:r>
    </w:p>
    <w:p w14:paraId="73BFB31E" w14:textId="77777777" w:rsidR="00B9370D" w:rsidRPr="00B9370D" w:rsidRDefault="00B9370D" w:rsidP="00B9370D">
      <w:pPr>
        <w:jc w:val="both"/>
        <w:rPr>
          <w:rFonts w:ascii="Times New Roman" w:hAnsi="Times New Roman" w:cs="Times New Roman"/>
          <w:b/>
          <w:sz w:val="24"/>
          <w:szCs w:val="24"/>
        </w:rPr>
      </w:pPr>
      <w:r w:rsidRPr="00B9370D">
        <w:rPr>
          <w:rFonts w:ascii="Times New Roman" w:hAnsi="Times New Roman" w:cs="Times New Roman"/>
          <w:b/>
          <w:sz w:val="24"/>
          <w:szCs w:val="24"/>
        </w:rPr>
        <w:t xml:space="preserve">4. Conclusiones y recomendaciones  </w:t>
      </w:r>
    </w:p>
    <w:p w14:paraId="1C47801C" w14:textId="5CC45F2B" w:rsidR="00B9370D" w:rsidRDefault="00B9370D" w:rsidP="00B9370D">
      <w:pPr>
        <w:jc w:val="both"/>
        <w:rPr>
          <w:rFonts w:ascii="Times New Roman" w:hAnsi="Times New Roman" w:cs="Times New Roman"/>
          <w:sz w:val="24"/>
          <w:szCs w:val="24"/>
        </w:rPr>
      </w:pPr>
      <w:r w:rsidRPr="00B9370D">
        <w:rPr>
          <w:rFonts w:ascii="Times New Roman" w:hAnsi="Times New Roman" w:cs="Times New Roman"/>
          <w:sz w:val="24"/>
          <w:szCs w:val="24"/>
        </w:rPr>
        <w:t>El problema de medir correctamente la pobreza de los hogares ha sido abordado desde diferentes perspectivas, que dependen principalmente de la disponibilidad de información y el concepto de pobreza que se busque entender. En este trabajo, se hizo una aproximación de la pobreza desde dos enfoques: un problema de clasificación de los hogares en pobres y no pobres, a partir de características construidas con los datos disponibles, y un problema de predicción del ingreso, que al comparar con una línea de pobreza determinada para cada hogar permite clasificarlo como pobre o no pobre.</w:t>
      </w:r>
      <w:r>
        <w:rPr>
          <w:rFonts w:ascii="Times New Roman" w:hAnsi="Times New Roman" w:cs="Times New Roman"/>
          <w:sz w:val="24"/>
          <w:szCs w:val="24"/>
        </w:rPr>
        <w:t xml:space="preserve"> </w:t>
      </w:r>
    </w:p>
    <w:p w14:paraId="03152E32" w14:textId="77777777" w:rsidR="008C7272" w:rsidRP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 xml:space="preserve">Desde el primer enfoque encontramos que variables que capturan la recepción de subsidios o ayudas, el espacio disponible para dormir en la vivienda y el nivel educativo promedio de los MdH, son las características que mejor permiten perfilar el hogar. De otro lado, características tales como trabajar en microempresa, estar ocupado, el tipo de ocupación y el nivel educativo, son los determinantes del ingreso individual que permitieron un mejor ajuste del ingreso agregado del hogar para caracterizar pobreza. En concreto, con el método de clasificación encontramos que el 25,7% de hogares en </w:t>
      </w:r>
      <w:r w:rsidRPr="008C7272">
        <w:rPr>
          <w:rFonts w:ascii="Times New Roman" w:hAnsi="Times New Roman" w:cs="Times New Roman"/>
          <w:i/>
          <w:iCs/>
          <w:sz w:val="24"/>
          <w:szCs w:val="24"/>
        </w:rPr>
        <w:t>test</w:t>
      </w:r>
      <w:r w:rsidRPr="008C7272">
        <w:rPr>
          <w:rFonts w:ascii="Times New Roman" w:hAnsi="Times New Roman" w:cs="Times New Roman"/>
          <w:sz w:val="24"/>
          <w:szCs w:val="24"/>
        </w:rPr>
        <w:t xml:space="preserve"> son pobres, y con el modelo de predicción del ingreso comparado con la línea de pobreza, que el 32,1% de dichos hogares se clasifican como pobres. </w:t>
      </w:r>
    </w:p>
    <w:p w14:paraId="7483E5D6" w14:textId="5E99D38F" w:rsidR="008C7272" w:rsidRDefault="008C7272" w:rsidP="008C7272">
      <w:pPr>
        <w:jc w:val="both"/>
        <w:rPr>
          <w:rFonts w:ascii="Times New Roman" w:hAnsi="Times New Roman" w:cs="Times New Roman"/>
          <w:sz w:val="24"/>
          <w:szCs w:val="24"/>
        </w:rPr>
      </w:pPr>
      <w:r w:rsidRPr="008C7272">
        <w:rPr>
          <w:rFonts w:ascii="Times New Roman" w:hAnsi="Times New Roman" w:cs="Times New Roman"/>
          <w:sz w:val="24"/>
          <w:szCs w:val="24"/>
        </w:rPr>
        <w:t>Los hallazgos señalan que cerca del 30% de los hogares colombianos analizados en la muestra se encuentran en condiciones de pobreza, un porcentaje importante, si además consideramos que dentro de estos hogares se encuentran aquellos que además están en condición de pobreza extrema e indigencia. Resaltamos que la información disponible se enfoca más en las fuentes de ingresos por trabajo de los individuos, y no de otros ingresos, que representan un porcentaje importante de las entradas de hogares de bajos recursos. Asimismo, carecemos de información sobre las condiciones y calidad de vida de las personas, que suelen funcionar mejor como indicadores de pobreza.</w:t>
      </w:r>
    </w:p>
    <w:p w14:paraId="622639AF"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De esta forma, es fundamental mejorar las fuentes de información para lograr un mejor perfilamiento de los hogares, para que los recursos puedan dirigirse a la población más vulnerable, se logre trabajar en iniciativas que fomenten la educación y el empleo, al tiempo que se reduzcan las disparidades en oportunidades, de modo que se logren incrementar los ingresos de dichos hogares y se fortalezcan sus medios de vida. Lo que, sumado a mejores condiciones de salubridad, nutrición, protección social, conectividad, productividad, entre otros, mejoraría sus condiciones de vida, bienestar y permitiría salir progresivamente de la pobreza. </w:t>
      </w:r>
    </w:p>
    <w:p w14:paraId="6F7FD35A" w14:textId="77777777" w:rsidR="001446BE" w:rsidRPr="001446BE" w:rsidRDefault="001446BE" w:rsidP="001446BE">
      <w:pPr>
        <w:spacing w:line="259" w:lineRule="auto"/>
        <w:rPr>
          <w:rFonts w:ascii="Times New Roman" w:hAnsi="Times New Roman" w:cs="Times New Roman"/>
          <w:b/>
          <w:sz w:val="24"/>
          <w:szCs w:val="24"/>
        </w:rPr>
      </w:pPr>
    </w:p>
    <w:p w14:paraId="15DC094D" w14:textId="77777777" w:rsidR="001446BE" w:rsidRPr="001446BE" w:rsidRDefault="001446BE" w:rsidP="001446BE">
      <w:pPr>
        <w:spacing w:line="259" w:lineRule="auto"/>
        <w:rPr>
          <w:rFonts w:ascii="Times New Roman" w:hAnsi="Times New Roman" w:cs="Times New Roman"/>
          <w:b/>
          <w:sz w:val="24"/>
          <w:szCs w:val="24"/>
        </w:rPr>
      </w:pPr>
      <w:r w:rsidRPr="001446BE">
        <w:rPr>
          <w:rFonts w:ascii="Times New Roman" w:hAnsi="Times New Roman" w:cs="Times New Roman"/>
          <w:b/>
          <w:sz w:val="24"/>
          <w:szCs w:val="24"/>
        </w:rPr>
        <w:br w:type="page"/>
      </w:r>
    </w:p>
    <w:p w14:paraId="355D8E23" w14:textId="77777777" w:rsidR="001446BE" w:rsidRPr="001446BE" w:rsidRDefault="001446BE" w:rsidP="001446BE">
      <w:pPr>
        <w:spacing w:line="259" w:lineRule="auto"/>
        <w:rPr>
          <w:rFonts w:ascii="Times New Roman" w:hAnsi="Times New Roman" w:cs="Times New Roman"/>
          <w:sz w:val="24"/>
          <w:szCs w:val="24"/>
        </w:rPr>
      </w:pPr>
      <w:r w:rsidRPr="001446BE">
        <w:rPr>
          <w:rFonts w:ascii="Times New Roman" w:hAnsi="Times New Roman" w:cs="Times New Roman"/>
          <w:b/>
          <w:sz w:val="24"/>
          <w:szCs w:val="24"/>
        </w:rPr>
        <w:lastRenderedPageBreak/>
        <w:t>Anexos</w:t>
      </w:r>
    </w:p>
    <w:p w14:paraId="6122B346" w14:textId="77777777" w:rsidR="001446BE" w:rsidRPr="001446BE" w:rsidRDefault="001446BE" w:rsidP="001446BE">
      <w:pPr>
        <w:spacing w:line="259" w:lineRule="auto"/>
        <w:rPr>
          <w:rFonts w:ascii="Times New Roman" w:hAnsi="Times New Roman" w:cs="Times New Roman"/>
          <w:b/>
          <w:bCs/>
          <w:sz w:val="24"/>
          <w:szCs w:val="24"/>
          <w:u w:val="single"/>
        </w:rPr>
      </w:pPr>
      <w:r w:rsidRPr="001446BE">
        <w:rPr>
          <w:rFonts w:ascii="Times New Roman" w:hAnsi="Times New Roman" w:cs="Times New Roman"/>
          <w:b/>
          <w:bCs/>
          <w:sz w:val="24"/>
          <w:szCs w:val="24"/>
          <w:u w:val="single"/>
        </w:rPr>
        <w:t>Anexo 1: variables de interés (clasificación de pobreza)</w:t>
      </w:r>
    </w:p>
    <w:p w14:paraId="0B44671D" w14:textId="77777777" w:rsidR="001446BE" w:rsidRPr="001446BE" w:rsidRDefault="001446BE" w:rsidP="001446BE">
      <w:pPr>
        <w:spacing w:line="259" w:lineRule="auto"/>
        <w:jc w:val="both"/>
        <w:rPr>
          <w:rFonts w:ascii="Times New Roman" w:hAnsi="Times New Roman" w:cs="Times New Roman"/>
          <w:sz w:val="24"/>
          <w:szCs w:val="24"/>
        </w:rPr>
      </w:pPr>
      <w:r w:rsidRPr="001446BE">
        <w:rPr>
          <w:rFonts w:ascii="Times New Roman" w:hAnsi="Times New Roman" w:cs="Times New Roman"/>
          <w:sz w:val="24"/>
          <w:szCs w:val="24"/>
        </w:rPr>
        <w:t xml:space="preserve">Adicional a las variables usadas en el modelo </w:t>
      </w:r>
      <w:r w:rsidRPr="001446BE">
        <w:rPr>
          <w:rFonts w:ascii="Times New Roman" w:hAnsi="Times New Roman" w:cs="Times New Roman"/>
          <w:i/>
          <w:iCs/>
          <w:sz w:val="24"/>
          <w:szCs w:val="24"/>
        </w:rPr>
        <w:t>logit</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Subsidiado_hg, ayudaInstitucions_hg, personaxCuarto_hg y educ_hg</w:t>
      </w:r>
      <w:r w:rsidRPr="001446BE">
        <w:rPr>
          <w:rFonts w:ascii="Times New Roman" w:hAnsi="Times New Roman" w:cs="Times New Roman"/>
          <w:sz w:val="24"/>
          <w:szCs w:val="24"/>
        </w:rPr>
        <w:t xml:space="preserve">), se consideraron otras características: </w:t>
      </w:r>
      <w:r w:rsidRPr="001446BE">
        <w:rPr>
          <w:rFonts w:ascii="Times New Roman" w:hAnsi="Times New Roman" w:cs="Times New Roman"/>
          <w:b/>
          <w:bCs/>
          <w:sz w:val="24"/>
          <w:szCs w:val="24"/>
        </w:rPr>
        <w:t>subsidio familiar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subFamiliar_hg</w:t>
      </w:r>
      <w:r w:rsidRPr="001446BE">
        <w:rPr>
          <w:rFonts w:ascii="Times New Roman" w:hAnsi="Times New Roman" w:cs="Times New Roman"/>
          <w:sz w:val="24"/>
          <w:szCs w:val="24"/>
        </w:rPr>
        <w:t xml:space="preserve"> una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MdH había recibido un subsidio familiar en el último mes (=1); </w:t>
      </w:r>
      <w:r w:rsidRPr="001446BE">
        <w:rPr>
          <w:rFonts w:ascii="Times New Roman" w:hAnsi="Times New Roman" w:cs="Times New Roman"/>
          <w:b/>
          <w:bCs/>
          <w:sz w:val="24"/>
          <w:szCs w:val="24"/>
        </w:rPr>
        <w:t>subsidio educativo</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subEducativo_hg</w:t>
      </w:r>
      <w:r w:rsidRPr="001446BE">
        <w:rPr>
          <w:rFonts w:ascii="Times New Roman" w:hAnsi="Times New Roman" w:cs="Times New Roman"/>
          <w:sz w:val="24"/>
          <w:szCs w:val="24"/>
        </w:rPr>
        <w:t xml:space="preserve"> variable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denota si algún MdH había recibido un subsidio educativo en el último mes (=1); </w:t>
      </w:r>
      <w:r w:rsidRPr="001446BE">
        <w:rPr>
          <w:rFonts w:ascii="Times New Roman" w:hAnsi="Times New Roman" w:cs="Times New Roman"/>
          <w:b/>
          <w:bCs/>
          <w:sz w:val="24"/>
          <w:szCs w:val="24"/>
        </w:rPr>
        <w:t>ayuda de hogares nacionales</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ayudaHogaresnal_hg</w:t>
      </w:r>
      <w:r w:rsidRPr="001446BE">
        <w:rPr>
          <w:rFonts w:ascii="Times New Roman" w:hAnsi="Times New Roman" w:cs="Times New Roman"/>
          <w:sz w:val="24"/>
          <w:szCs w:val="24"/>
        </w:rPr>
        <w:t xml:space="preserve"> una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indica si algún MdH había recibido ayuda monetaria de otro hogar o persona a nivel nacional en los últimos dos meses (=1); </w:t>
      </w:r>
      <w:r w:rsidRPr="001446BE">
        <w:rPr>
          <w:rFonts w:ascii="Times New Roman" w:hAnsi="Times New Roman" w:cs="Times New Roman"/>
          <w:b/>
          <w:bCs/>
          <w:sz w:val="24"/>
          <w:szCs w:val="24"/>
        </w:rPr>
        <w:t>ayuda de hogares extranjeros</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ayudaHogaresext_hg</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dummy</w:t>
      </w:r>
      <w:r w:rsidRPr="001446BE">
        <w:rPr>
          <w:rFonts w:ascii="Times New Roman" w:hAnsi="Times New Roman" w:cs="Times New Roman"/>
          <w:sz w:val="24"/>
          <w:szCs w:val="24"/>
        </w:rPr>
        <w:t xml:space="preserve"> que señala si algún MdH había recibido ayuda monetaria de otro hogar o persona del extranjero en los últimos dos meses (=1); </w:t>
      </w:r>
      <w:r w:rsidRPr="001446BE">
        <w:rPr>
          <w:rFonts w:ascii="Times New Roman" w:hAnsi="Times New Roman" w:cs="Times New Roman"/>
          <w:b/>
          <w:bCs/>
          <w:sz w:val="24"/>
          <w:szCs w:val="24"/>
        </w:rPr>
        <w:t>profesional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profesional_hg</w:t>
      </w:r>
      <w:r w:rsidRPr="001446BE">
        <w:rPr>
          <w:rFonts w:ascii="Times New Roman" w:hAnsi="Times New Roman" w:cs="Times New Roman"/>
          <w:sz w:val="24"/>
          <w:szCs w:val="24"/>
        </w:rPr>
        <w:t xml:space="preserve"> toma el valor de 1 si al menos un MdH tiene más de 12 años de educación, indicando que terminó bachillerato y tiene la posibilidad de aplicar a un título técnico o universitario; </w:t>
      </w:r>
      <w:r w:rsidRPr="001446BE">
        <w:rPr>
          <w:rFonts w:ascii="Times New Roman" w:hAnsi="Times New Roman" w:cs="Times New Roman"/>
          <w:b/>
          <w:bCs/>
          <w:sz w:val="24"/>
          <w:szCs w:val="24"/>
        </w:rPr>
        <w:t>trabajador de microempresa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microempresa_hg</w:t>
      </w:r>
      <w:r w:rsidRPr="001446BE">
        <w:rPr>
          <w:rFonts w:ascii="Times New Roman" w:hAnsi="Times New Roman" w:cs="Times New Roman"/>
          <w:sz w:val="24"/>
          <w:szCs w:val="24"/>
        </w:rPr>
        <w:t xml:space="preserve"> indica si al menos un MdH trabaja en una empresa con máximo 10 empleados (=1); </w:t>
      </w:r>
      <w:r w:rsidRPr="001446BE">
        <w:rPr>
          <w:rFonts w:ascii="Times New Roman" w:hAnsi="Times New Roman" w:cs="Times New Roman"/>
          <w:b/>
          <w:bCs/>
          <w:sz w:val="24"/>
          <w:szCs w:val="24"/>
        </w:rPr>
        <w:t>trabajador formal en el hogar</w:t>
      </w:r>
      <w:r w:rsidRPr="001446BE">
        <w:rPr>
          <w:rFonts w:ascii="Times New Roman" w:hAnsi="Times New Roman" w:cs="Times New Roman"/>
          <w:sz w:val="24"/>
          <w:szCs w:val="24"/>
        </w:rPr>
        <w:t xml:space="preserve"> - </w:t>
      </w:r>
      <w:r w:rsidRPr="001446BE">
        <w:rPr>
          <w:rFonts w:ascii="Times New Roman" w:hAnsi="Times New Roman" w:cs="Times New Roman"/>
          <w:i/>
          <w:iCs/>
          <w:sz w:val="24"/>
          <w:szCs w:val="24"/>
        </w:rPr>
        <w:t>formal_hg</w:t>
      </w:r>
      <w:r w:rsidRPr="001446BE">
        <w:rPr>
          <w:rFonts w:ascii="Times New Roman" w:hAnsi="Times New Roman" w:cs="Times New Roman"/>
          <w:sz w:val="24"/>
          <w:szCs w:val="24"/>
        </w:rPr>
        <w:t xml:space="preserve"> determina si al menos un MdH era cotizante o beneficiario de alguna entidad de seguridad social en salud, y por lo tanto, se considera trabajador formal; y </w:t>
      </w:r>
      <w:r w:rsidRPr="001446BE">
        <w:rPr>
          <w:rFonts w:ascii="Times New Roman" w:hAnsi="Times New Roman" w:cs="Times New Roman"/>
          <w:b/>
          <w:bCs/>
          <w:sz w:val="24"/>
          <w:szCs w:val="24"/>
        </w:rPr>
        <w:t>miembros del hogar -</w:t>
      </w:r>
      <w:r w:rsidRPr="001446BE">
        <w:rPr>
          <w:rFonts w:ascii="Times New Roman" w:hAnsi="Times New Roman" w:cs="Times New Roman"/>
          <w:sz w:val="24"/>
          <w:szCs w:val="24"/>
        </w:rPr>
        <w:t xml:space="preserve"> </w:t>
      </w:r>
      <w:r w:rsidRPr="001446BE">
        <w:rPr>
          <w:rFonts w:ascii="Times New Roman" w:hAnsi="Times New Roman" w:cs="Times New Roman"/>
          <w:i/>
          <w:iCs/>
          <w:sz w:val="24"/>
          <w:szCs w:val="24"/>
        </w:rPr>
        <w:t>Nper</w:t>
      </w:r>
      <w:r w:rsidRPr="001446BE">
        <w:rPr>
          <w:rFonts w:ascii="Times New Roman" w:hAnsi="Times New Roman" w:cs="Times New Roman"/>
          <w:sz w:val="24"/>
          <w:szCs w:val="24"/>
        </w:rPr>
        <w:t xml:space="preserve"> que indica el número de personas en el hogar.    </w:t>
      </w:r>
    </w:p>
    <w:p w14:paraId="7554E4C0" w14:textId="77777777" w:rsidR="000414DE" w:rsidRPr="000414DE" w:rsidRDefault="000414DE" w:rsidP="000414DE">
      <w:pPr>
        <w:rPr>
          <w:rFonts w:ascii="Times New Roman" w:hAnsi="Times New Roman" w:cs="Times New Roman"/>
          <w:b/>
          <w:bCs/>
          <w:sz w:val="24"/>
          <w:szCs w:val="24"/>
          <w:u w:val="single"/>
        </w:rPr>
      </w:pPr>
      <w:r w:rsidRPr="000414DE">
        <w:rPr>
          <w:rFonts w:ascii="Times New Roman" w:hAnsi="Times New Roman" w:cs="Times New Roman"/>
          <w:b/>
          <w:bCs/>
          <w:sz w:val="24"/>
          <w:szCs w:val="24"/>
          <w:u w:val="single"/>
        </w:rPr>
        <w:t>Anexo 2: variables de interés (ingreso laboral)</w:t>
      </w:r>
    </w:p>
    <w:p w14:paraId="54D8A03F" w14:textId="77777777" w:rsidR="000414DE" w:rsidRDefault="000414DE" w:rsidP="000414DE">
      <w:pPr>
        <w:jc w:val="both"/>
        <w:rPr>
          <w:rFonts w:ascii="Times New Roman" w:hAnsi="Times New Roman" w:cs="Times New Roman"/>
          <w:sz w:val="24"/>
          <w:szCs w:val="24"/>
        </w:rPr>
      </w:pPr>
      <w:r w:rsidRPr="000414DE">
        <w:rPr>
          <w:rFonts w:ascii="Times New Roman" w:hAnsi="Times New Roman" w:cs="Times New Roman"/>
          <w:sz w:val="24"/>
          <w:szCs w:val="24"/>
        </w:rPr>
        <w:t xml:space="preserve">Para la estimación del ingreso laboral de cada miembro del hogar se identificaron y seleccionaron un conjunto de variables que de acuerdo con la teoría económica tienen una influencia significativa sobre nuestra variable de interés (el ingreso laboral). En concreto, se consideró un conjunto de variables continuas: </w:t>
      </w:r>
      <w:r w:rsidRPr="000414DE">
        <w:rPr>
          <w:rFonts w:ascii="Times New Roman" w:hAnsi="Times New Roman" w:cs="Times New Roman"/>
          <w:b/>
          <w:bCs/>
          <w:sz w:val="24"/>
          <w:szCs w:val="24"/>
        </w:rPr>
        <w:t xml:space="preserve">edad - </w:t>
      </w:r>
      <w:r w:rsidRPr="000414DE">
        <w:rPr>
          <w:rFonts w:ascii="Times New Roman" w:hAnsi="Times New Roman" w:cs="Times New Roman"/>
          <w:i/>
          <w:iCs/>
          <w:sz w:val="24"/>
          <w:szCs w:val="24"/>
        </w:rPr>
        <w:t>edad</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edad al cuadrado - </w:t>
      </w:r>
      <w:r w:rsidRPr="000414DE">
        <w:rPr>
          <w:rFonts w:ascii="Times New Roman" w:hAnsi="Times New Roman" w:cs="Times New Roman"/>
          <w:i/>
          <w:iCs/>
          <w:sz w:val="24"/>
          <w:szCs w:val="24"/>
        </w:rPr>
        <w:t>edad2</w:t>
      </w:r>
      <w:r w:rsidRPr="000414DE">
        <w:rPr>
          <w:rFonts w:ascii="Times New Roman" w:hAnsi="Times New Roman" w:cs="Times New Roman"/>
          <w:sz w:val="24"/>
          <w:szCs w:val="24"/>
        </w:rPr>
        <w:t xml:space="preserve"> (para capturar el efecto decreciente de la edad sobre el ingreso), </w:t>
      </w:r>
      <w:r w:rsidRPr="000414DE">
        <w:rPr>
          <w:rFonts w:ascii="Times New Roman" w:hAnsi="Times New Roman" w:cs="Times New Roman"/>
          <w:b/>
          <w:bCs/>
          <w:sz w:val="24"/>
          <w:szCs w:val="24"/>
        </w:rPr>
        <w:t xml:space="preserve">experiencia potencial - </w:t>
      </w:r>
      <w:r w:rsidRPr="000414DE">
        <w:rPr>
          <w:rFonts w:ascii="Times New Roman" w:hAnsi="Times New Roman" w:cs="Times New Roman"/>
          <w:i/>
          <w:iCs/>
          <w:sz w:val="24"/>
          <w:szCs w:val="24"/>
        </w:rPr>
        <w:t>experiencia</w:t>
      </w:r>
      <w:r w:rsidRPr="000414DE">
        <w:rPr>
          <w:rFonts w:ascii="Times New Roman" w:hAnsi="Times New Roman" w:cs="Times New Roman"/>
          <w:sz w:val="24"/>
          <w:szCs w:val="24"/>
        </w:rPr>
        <w:t xml:space="preserve"> (construimos un </w:t>
      </w:r>
      <w:r w:rsidRPr="000414DE">
        <w:rPr>
          <w:rFonts w:ascii="Times New Roman" w:hAnsi="Times New Roman" w:cs="Times New Roman"/>
          <w:i/>
          <w:sz w:val="24"/>
          <w:szCs w:val="24"/>
        </w:rPr>
        <w:t>proxy</w:t>
      </w:r>
      <w:r w:rsidRPr="000414DE">
        <w:rPr>
          <w:rFonts w:ascii="Times New Roman" w:hAnsi="Times New Roman" w:cs="Times New Roman"/>
          <w:sz w:val="24"/>
          <w:szCs w:val="24"/>
        </w:rPr>
        <w:t xml:space="preserve"> de </w:t>
      </w:r>
      <w:r w:rsidRPr="000414DE">
        <w:rPr>
          <w:rFonts w:ascii="Times New Roman" w:hAnsi="Times New Roman" w:cs="Times New Roman"/>
          <w:bCs/>
          <w:sz w:val="24"/>
          <w:szCs w:val="24"/>
        </w:rPr>
        <w:t>experiencia laboral</w:t>
      </w:r>
      <w:r w:rsidRPr="000414DE">
        <w:rPr>
          <w:rStyle w:val="Refdenotaalfinal"/>
          <w:rFonts w:ascii="Times New Roman" w:hAnsi="Times New Roman" w:cs="Times New Roman"/>
          <w:bCs/>
          <w:sz w:val="24"/>
          <w:szCs w:val="24"/>
        </w:rPr>
        <w:endnoteReference w:id="23"/>
      </w:r>
      <w:r w:rsidRPr="000414DE">
        <w:rPr>
          <w:rFonts w:ascii="Times New Roman" w:hAnsi="Times New Roman" w:cs="Times New Roman"/>
          <w:bCs/>
          <w:sz w:val="24"/>
          <w:szCs w:val="24"/>
        </w:rPr>
        <w:t>, d</w:t>
      </w:r>
      <w:r w:rsidRPr="000414DE">
        <w:rPr>
          <w:rFonts w:ascii="Times New Roman" w:hAnsi="Times New Roman" w:cs="Times New Roman"/>
          <w:sz w:val="24"/>
          <w:szCs w:val="24"/>
        </w:rPr>
        <w:t xml:space="preserve">ebido a que no se tiene información reportada de los años de experiencia laboral, utilizamos el concepto de “experiencia potencial”, que se crea a partir de la edad, los años de educación y los años de iniciación en el mercado laboral (Aristizábal &amp; Ángel, 2017)), </w:t>
      </w:r>
      <w:r w:rsidRPr="000414DE">
        <w:rPr>
          <w:rFonts w:ascii="Times New Roman" w:hAnsi="Times New Roman" w:cs="Times New Roman"/>
          <w:b/>
          <w:bCs/>
          <w:sz w:val="24"/>
          <w:szCs w:val="24"/>
        </w:rPr>
        <w:t xml:space="preserve">experiencia potencial al cuadrado – </w:t>
      </w:r>
      <w:r w:rsidRPr="000414DE">
        <w:rPr>
          <w:rFonts w:ascii="Times New Roman" w:hAnsi="Times New Roman" w:cs="Times New Roman"/>
          <w:i/>
          <w:iCs/>
          <w:sz w:val="24"/>
          <w:szCs w:val="24"/>
        </w:rPr>
        <w:t>experiencia2</w:t>
      </w:r>
      <w:r w:rsidRPr="000414DE">
        <w:rPr>
          <w:rFonts w:ascii="Times New Roman" w:hAnsi="Times New Roman" w:cs="Times New Roman"/>
          <w:sz w:val="24"/>
          <w:szCs w:val="24"/>
        </w:rPr>
        <w:t xml:space="preserve"> (para capturar el efecto decreciente que viene con la edad sobre el ingreso), y </w:t>
      </w:r>
      <w:r w:rsidRPr="000414DE">
        <w:rPr>
          <w:rFonts w:ascii="Times New Roman" w:hAnsi="Times New Roman" w:cs="Times New Roman"/>
          <w:b/>
          <w:bCs/>
          <w:sz w:val="24"/>
          <w:szCs w:val="24"/>
        </w:rPr>
        <w:t>nivel educativo</w:t>
      </w:r>
      <w:r w:rsidRPr="000414DE">
        <w:rPr>
          <w:rFonts w:ascii="Times New Roman" w:hAnsi="Times New Roman" w:cs="Times New Roman"/>
          <w:sz w:val="24"/>
          <w:szCs w:val="24"/>
        </w:rPr>
        <w:t xml:space="preserve"> </w:t>
      </w:r>
      <w:r w:rsidRPr="000414DE">
        <w:rPr>
          <w:rFonts w:ascii="Times New Roman" w:hAnsi="Times New Roman" w:cs="Times New Roman"/>
          <w:b/>
          <w:bCs/>
          <w:sz w:val="24"/>
          <w:szCs w:val="24"/>
        </w:rPr>
        <w:t xml:space="preserve">- </w:t>
      </w:r>
      <w:r w:rsidRPr="000414DE">
        <w:rPr>
          <w:rFonts w:ascii="Times New Roman" w:hAnsi="Times New Roman" w:cs="Times New Roman"/>
          <w:i/>
          <w:iCs/>
          <w:sz w:val="24"/>
          <w:szCs w:val="24"/>
        </w:rPr>
        <w:t>educ</w:t>
      </w:r>
      <w:r w:rsidRPr="000414DE">
        <w:rPr>
          <w:rFonts w:ascii="Times New Roman" w:hAnsi="Times New Roman" w:cs="Times New Roman"/>
          <w:sz w:val="24"/>
          <w:szCs w:val="24"/>
        </w:rPr>
        <w:t xml:space="preserve"> (variable de educación medida en años que construimos a partir del máximo nivel educativo alcanzado que se reportó en la encuesta. En efecto, si este nivel es ninguno o no sabe se asignaron 0 años, si es preescolar 3 años, si es básica primaria 8 años, si es básica secundaria 12 años, si es media 16 años y si es superior o universitaria 20 años).</w:t>
      </w:r>
      <w:r>
        <w:rPr>
          <w:rFonts w:ascii="Times New Roman" w:hAnsi="Times New Roman" w:cs="Times New Roman"/>
          <w:sz w:val="24"/>
          <w:szCs w:val="24"/>
        </w:rPr>
        <w:t xml:space="preserve"> </w:t>
      </w:r>
    </w:p>
    <w:p w14:paraId="3EA52FC4" w14:textId="77777777" w:rsidR="001446BE" w:rsidRDefault="001446BE" w:rsidP="008C7272">
      <w:pPr>
        <w:jc w:val="both"/>
        <w:rPr>
          <w:rFonts w:ascii="Times New Roman" w:hAnsi="Times New Roman" w:cs="Times New Roman"/>
          <w:sz w:val="24"/>
          <w:szCs w:val="24"/>
        </w:rPr>
      </w:pPr>
      <w:bookmarkStart w:id="0" w:name="_GoBack"/>
      <w:bookmarkEnd w:id="0"/>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574CC" w14:textId="77777777" w:rsidR="001030ED" w:rsidRDefault="001030ED" w:rsidP="00130B06">
      <w:pPr>
        <w:spacing w:after="0" w:line="240" w:lineRule="auto"/>
      </w:pPr>
      <w:r>
        <w:separator/>
      </w:r>
    </w:p>
  </w:endnote>
  <w:endnote w:type="continuationSeparator" w:id="0">
    <w:p w14:paraId="41C9246F" w14:textId="77777777" w:rsidR="001030ED" w:rsidRDefault="001030ED" w:rsidP="00130B06">
      <w:pPr>
        <w:spacing w:after="0" w:line="240" w:lineRule="auto"/>
      </w:pPr>
      <w:r>
        <w:continuationSeparator/>
      </w:r>
    </w:p>
  </w:endnote>
  <w:endnote w:id="1">
    <w:p w14:paraId="53FC51E5" w14:textId="77777777" w:rsidR="002A05AA" w:rsidRDefault="002A05AA" w:rsidP="002A05AA">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Textonotaalfinal"/>
        <w:jc w:val="both"/>
        <w:rPr>
          <w:rFonts w:ascii="Times New Roman" w:hAnsi="Times New Roman" w:cs="Times New Roman"/>
          <w:b/>
          <w:bCs/>
          <w:sz w:val="22"/>
          <w:szCs w:val="22"/>
        </w:rPr>
      </w:pPr>
    </w:p>
    <w:p w14:paraId="23B4B9FE"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Textonotaalfinal"/>
        <w:jc w:val="both"/>
        <w:rPr>
          <w:rFonts w:ascii="Times New Roman" w:hAnsi="Times New Roman" w:cs="Times New Roman"/>
          <w:sz w:val="22"/>
          <w:szCs w:val="22"/>
        </w:rPr>
      </w:pPr>
      <w:r w:rsidRPr="005B793A">
        <w:rPr>
          <w:rStyle w:val="Refdenotaalfinal"/>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r w:rsidRPr="005B793A">
        <w:rPr>
          <w:rFonts w:ascii="Times New Roman" w:hAnsi="Times New Roman" w:cs="Times New Roman"/>
          <w:i/>
          <w:iCs/>
          <w:sz w:val="22"/>
          <w:szCs w:val="22"/>
        </w:rPr>
        <w:t>train</w:t>
      </w:r>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Textonotaalfinal"/>
        <w:jc w:val="both"/>
      </w:pPr>
      <w:r>
        <w:rPr>
          <w:rStyle w:val="Refdenotaalfinal"/>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Two-Class Summary</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Cross Validation (CV)</w:t>
      </w:r>
      <w:r w:rsidRPr="00605305">
        <w:rPr>
          <w:rFonts w:ascii="Times New Roman" w:hAnsi="Times New Roman" w:cs="Times New Roman"/>
          <w:sz w:val="22"/>
          <w:szCs w:val="22"/>
        </w:rPr>
        <w:t xml:space="preserve">; (3)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Up-sampling</w:t>
      </w:r>
      <w:r w:rsidRPr="00605305">
        <w:rPr>
          <w:rFonts w:ascii="Times New Roman" w:hAnsi="Times New Roman" w:cs="Times New Roman"/>
          <w:sz w:val="22"/>
          <w:szCs w:val="22"/>
        </w:rPr>
        <w:t xml:space="preserve">; y (6)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5 Stats</w:t>
      </w:r>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Down-sampling.</w:t>
      </w:r>
    </w:p>
  </w:endnote>
  <w:endnote w:id="7">
    <w:p w14:paraId="6EC395FB" w14:textId="77777777" w:rsidR="0030655A" w:rsidRDefault="0030655A" w:rsidP="0030655A">
      <w:pPr>
        <w:pStyle w:val="Textonotaalfinal"/>
        <w:jc w:val="both"/>
        <w:rPr>
          <w:rFonts w:ascii="Times New Roman" w:hAnsi="Times New Roman" w:cs="Times New Roman"/>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Textonotaalfinal"/>
        <w:jc w:val="both"/>
        <w:rPr>
          <w:rFonts w:ascii="Times New Roman" w:hAnsi="Times New Roman" w:cs="Times New Roman"/>
          <w:sz w:val="22"/>
          <w:szCs w:val="22"/>
        </w:rPr>
      </w:pPr>
      <w:r>
        <w:rPr>
          <w:rStyle w:val="Refdenotaalfinal"/>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Up-sampling</w:t>
      </w:r>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Down-sampling</w:t>
      </w:r>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r w:rsidRPr="00605305">
        <w:rPr>
          <w:rFonts w:ascii="Times New Roman" w:hAnsi="Times New Roman" w:cs="Times New Roman"/>
          <w:i/>
          <w:iCs/>
          <w:sz w:val="22"/>
          <w:szCs w:val="22"/>
        </w:rPr>
        <w:t>Sensitivity</w:t>
      </w:r>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un ratio bajo de falsos positivos.</w:t>
      </w:r>
    </w:p>
  </w:endnote>
  <w:endnote w:id="14">
    <w:p w14:paraId="7C4F5A00" w14:textId="77777777" w:rsidR="001C7A53" w:rsidRPr="00605305" w:rsidRDefault="001C7A53" w:rsidP="001C7A53">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Operating Characteristic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Textonotaalfinal"/>
        <w:jc w:val="both"/>
        <w:rPr>
          <w:sz w:val="22"/>
          <w:szCs w:val="22"/>
        </w:rPr>
      </w:pPr>
      <w:r w:rsidRPr="004F7C6D">
        <w:rPr>
          <w:rStyle w:val="Refdenotaalfinal"/>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Textonotaalfinal"/>
        <w:rPr>
          <w:rFonts w:ascii="Times New Roman" w:hAnsi="Times New Roman" w:cs="Times New Roman"/>
          <w:sz w:val="22"/>
          <w:szCs w:val="22"/>
        </w:rPr>
      </w:pPr>
      <w:r w:rsidRPr="000B1BAC">
        <w:rPr>
          <w:rStyle w:val="Refdenotaalfinal"/>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Textonotaalfinal"/>
        <w:jc w:val="both"/>
        <w:rPr>
          <w:sz w:val="22"/>
          <w:szCs w:val="22"/>
        </w:rPr>
      </w:pPr>
      <w:r w:rsidRPr="000B1BAC">
        <w:rPr>
          <w:rStyle w:val="Refdenotaalfinal"/>
          <w:sz w:val="22"/>
          <w:szCs w:val="22"/>
        </w:rPr>
        <w:endnoteRef/>
      </w:r>
      <w:r w:rsidRPr="000B1BAC">
        <w:rPr>
          <w:sz w:val="22"/>
          <w:szCs w:val="22"/>
        </w:rPr>
        <w:t xml:space="preserve"> </w:t>
      </w:r>
      <w:r w:rsidRPr="000B1BAC">
        <w:rPr>
          <w:rFonts w:ascii="Times New Roman" w:eastAsiaTheme="minorEastAsia" w:hAnsi="Times New Roman" w:cs="Times New Roman"/>
          <w:i/>
          <w:iCs/>
          <w:sz w:val="22"/>
          <w:szCs w:val="22"/>
        </w:rPr>
        <w:t>Best Subset Selection</w:t>
      </w:r>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r w:rsidRPr="000B1BAC">
        <w:rPr>
          <w:rFonts w:ascii="Times New Roman" w:eastAsiaTheme="minorEastAsia" w:hAnsi="Times New Roman" w:cs="Times New Roman"/>
          <w:i/>
          <w:iCs/>
          <w:sz w:val="22"/>
          <w:szCs w:val="22"/>
        </w:rPr>
        <w:t>Backward Stepwise Selection</w:t>
      </w:r>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Refdenotaalfinal"/>
        </w:rPr>
        <w:endnoteRef/>
      </w:r>
      <w:r w:rsidRPr="000B1BAC">
        <w:t xml:space="preserve"> </w:t>
      </w:r>
      <w:r w:rsidRPr="000B1BAC">
        <w:rPr>
          <w:rFonts w:ascii="Times New Roman" w:hAnsi="Times New Roman" w:cs="Times New Roman"/>
        </w:rPr>
        <w:t>Este método es una combinación de las penalizaciones que imponen sobre los coeficientes lasso y ridge, dos métodos de regularización.</w:t>
      </w:r>
      <w:r w:rsidRPr="000B1BAC">
        <w:rPr>
          <w:rFonts w:ascii="Times New Roman" w:eastAsiaTheme="minorEastAsia" w:hAnsi="Times New Roman" w:cs="Times New Roman"/>
        </w:rPr>
        <w:t xml:space="preserve"> </w:t>
      </w:r>
    </w:p>
  </w:endnote>
  <w:endnote w:id="19">
    <w:p w14:paraId="08A7EA73" w14:textId="77777777" w:rsidR="00CE707E" w:rsidRPr="0096666C" w:rsidRDefault="00CE707E" w:rsidP="00CE707E">
      <w:pPr>
        <w:pStyle w:val="Textonotaalfinal"/>
        <w:rPr>
          <w:sz w:val="22"/>
          <w:szCs w:val="22"/>
        </w:rPr>
      </w:pPr>
      <w:r w:rsidRPr="0096666C">
        <w:rPr>
          <w:rStyle w:val="Refdenotaalfinal"/>
          <w:sz w:val="22"/>
          <w:szCs w:val="22"/>
        </w:rPr>
        <w:endnoteRef/>
      </w:r>
      <w:r w:rsidRPr="0096666C">
        <w:rPr>
          <w:sz w:val="22"/>
          <w:szCs w:val="22"/>
        </w:rPr>
        <w:t xml:space="preserve"> </w:t>
      </w:r>
      <w:r w:rsidRPr="0096666C">
        <w:rPr>
          <w:rFonts w:ascii="Times New Roman" w:hAnsi="Times New Roman" w:cs="Times New Roman"/>
          <w:i/>
          <w:iCs/>
          <w:sz w:val="22"/>
          <w:szCs w:val="22"/>
        </w:rPr>
        <w:t>5-fold Cross Validation</w:t>
      </w:r>
      <w:r>
        <w:rPr>
          <w:rFonts w:ascii="Times New Roman" w:hAnsi="Times New Roman" w:cs="Times New Roman"/>
          <w:i/>
          <w:iCs/>
          <w:sz w:val="22"/>
          <w:szCs w:val="22"/>
        </w:rPr>
        <w:t xml:space="preserve"> </w:t>
      </w:r>
      <w:r w:rsidRPr="0096666C">
        <w:rPr>
          <w:rFonts w:ascii="Times New Roman" w:hAnsi="Times New Roman" w:cs="Times New Roman"/>
          <w:sz w:val="22"/>
          <w:szCs w:val="22"/>
        </w:rPr>
        <w:t>en inglés</w:t>
      </w:r>
    </w:p>
  </w:endnote>
  <w:endnote w:id="20">
    <w:p w14:paraId="2CD9F740" w14:textId="77777777" w:rsidR="00CE707E" w:rsidRPr="00541658" w:rsidRDefault="00CE707E" w:rsidP="00CE707E">
      <w:pPr>
        <w:spacing w:after="0" w:line="240" w:lineRule="auto"/>
        <w:jc w:val="both"/>
        <w:rPr>
          <w:rFonts w:ascii="Times New Roman" w:hAnsi="Times New Roman" w:cs="Times New Roman"/>
        </w:rPr>
      </w:pPr>
      <w:r w:rsidRPr="00541658">
        <w:rPr>
          <w:rStyle w:val="Refdenotaalfinal"/>
        </w:rPr>
        <w:endnoteRef/>
      </w:r>
      <w:r w:rsidRPr="00541658">
        <w:t xml:space="preserve"> </w:t>
      </w:r>
      <w:r w:rsidRPr="00541658">
        <w:rPr>
          <w:rFonts w:ascii="Times New Roman" w:hAnsi="Times New Roman" w:cs="Times New Roman"/>
        </w:rPr>
        <w:t>En el modelo existen dos hiperparámetros: alfa (α)</w:t>
      </w:r>
      <w:r w:rsidRPr="00541658">
        <w:rPr>
          <w:rFonts w:ascii="Times New Roman" w:hAnsi="Times New Roman" w:cs="Times New Roman"/>
          <w:b/>
          <w:bCs/>
        </w:rPr>
        <w:t xml:space="preserve"> </w:t>
      </w:r>
      <w:r w:rsidRPr="00541658">
        <w:rPr>
          <w:rFonts w:ascii="Times New Roman" w:hAnsi="Times New Roman" w:cs="Times New Roman"/>
        </w:rPr>
        <w:t>que controla el grado en que influye cada penalización y toma valores [0,1], así, si</w:t>
      </w:r>
      <w:r w:rsidRPr="00541658">
        <w:rPr>
          <w:rFonts w:ascii="Cambria Math" w:hAnsi="Cambria Math" w:cs="Times New Roman"/>
          <w:i/>
        </w:rPr>
        <w:t xml:space="preserve"> </w:t>
      </w:r>
      <m:oMath>
        <m:r>
          <m:rPr>
            <m:sty m:val="p"/>
          </m:rPr>
          <w:rPr>
            <w:rFonts w:ascii="Cambria Math" w:hAnsi="Cambria Math" w:cs="Times New Roman"/>
          </w:rPr>
          <m:t>α</m:t>
        </m:r>
        <m:r>
          <m:rPr>
            <m:sty m:val="p"/>
          </m:rPr>
          <w:rPr>
            <w:rFonts w:ascii="Cambria Math" w:hAnsi="Times New Roman" w:cs="Times New Roman"/>
          </w:rPr>
          <m:t>=1</m:t>
        </m:r>
      </m:oMath>
      <w:r w:rsidRPr="00541658">
        <w:rPr>
          <w:rFonts w:ascii="Times New Roman" w:hAnsi="Times New Roman" w:cs="Times New Roman"/>
        </w:rPr>
        <w:t xml:space="preserve"> se aplica </w:t>
      </w:r>
      <w:r w:rsidRPr="00541658">
        <w:rPr>
          <w:rFonts w:ascii="Times New Roman" w:hAnsi="Times New Roman" w:cs="Times New Roman"/>
          <w:i/>
          <w:iCs/>
        </w:rPr>
        <w:t>Lasso</w:t>
      </w:r>
      <w:r w:rsidRPr="00541658">
        <w:rPr>
          <w:rFonts w:ascii="Times New Roman" w:hAnsi="Times New Roman" w:cs="Times New Roman"/>
        </w:rPr>
        <w:t xml:space="preserve"> y si </w:t>
      </w:r>
      <m:oMath>
        <m:r>
          <m:rPr>
            <m:sty m:val="p"/>
          </m:rPr>
          <w:rPr>
            <w:rFonts w:ascii="Cambria Math" w:hAnsi="Cambria Math" w:cs="Times New Roman"/>
          </w:rPr>
          <m:t>α</m:t>
        </m:r>
        <m:r>
          <m:rPr>
            <m:sty m:val="p"/>
          </m:rPr>
          <w:rPr>
            <w:rFonts w:ascii="Cambria Math" w:hAnsi="Times New Roman" w:cs="Times New Roman"/>
          </w:rPr>
          <m:t xml:space="preserve">=0 </m:t>
        </m:r>
      </m:oMath>
      <w:r w:rsidRPr="00541658">
        <w:rPr>
          <w:rFonts w:ascii="Times New Roman" w:eastAsiaTheme="minorEastAsia" w:hAnsi="Times New Roman" w:cs="Times New Roman"/>
        </w:rPr>
        <w:t xml:space="preserve">se aplica </w:t>
      </w:r>
      <w:r w:rsidRPr="00541658">
        <w:rPr>
          <w:rFonts w:ascii="Times New Roman" w:eastAsiaTheme="minorEastAsia" w:hAnsi="Times New Roman" w:cs="Times New Roman"/>
          <w:i/>
          <w:iCs/>
        </w:rPr>
        <w:t xml:space="preserve">Ridge; </w:t>
      </w:r>
      <w:r w:rsidRPr="00541658">
        <w:rPr>
          <w:rFonts w:ascii="Times New Roman" w:hAnsi="Times New Roman" w:cs="Times New Roman"/>
        </w:rPr>
        <w:t>y lambda (λ)</w:t>
      </w:r>
      <w:r w:rsidRPr="00541658">
        <w:rPr>
          <w:rFonts w:ascii="Times New Roman" w:hAnsi="Times New Roman" w:cs="Times New Roman"/>
          <w:b/>
          <w:bCs/>
        </w:rPr>
        <w:t xml:space="preserve"> </w:t>
      </w:r>
      <w:r w:rsidRPr="00541658">
        <w:rPr>
          <w:rFonts w:ascii="Times New Roman" w:hAnsi="Times New Roman" w:cs="Times New Roman"/>
        </w:rPr>
        <w:t>que es el hiperparámetro de regularización.</w:t>
      </w:r>
    </w:p>
  </w:endnote>
  <w:endnote w:id="21">
    <w:p w14:paraId="40EF11F0" w14:textId="77777777" w:rsidR="00CE707E" w:rsidRPr="00605305" w:rsidRDefault="00CE707E" w:rsidP="00CE707E">
      <w:pPr>
        <w:pStyle w:val="Textonotaalfinal"/>
        <w:jc w:val="both"/>
        <w:rPr>
          <w:rFonts w:ascii="Times New Roman" w:hAnsi="Times New Roman" w:cs="Times New Roman"/>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Se multiplicó la línea de pobreza (Lp) por el número de personas en la unidad de gasto, puesto que la Lp está en términos per cápita, y el ingreso estimado es agregado del hogar.</w:t>
      </w:r>
    </w:p>
  </w:endnote>
  <w:endnote w:id="22">
    <w:p w14:paraId="7E0A6F89" w14:textId="77777777" w:rsidR="00B9370D" w:rsidRPr="00605305" w:rsidRDefault="00B9370D" w:rsidP="00B9370D">
      <w:pPr>
        <w:pStyle w:val="Textonotaalfinal"/>
        <w:jc w:val="both"/>
        <w:rPr>
          <w:sz w:val="22"/>
          <w:szCs w:val="22"/>
        </w:rPr>
      </w:pPr>
      <w:r w:rsidRPr="00605305">
        <w:rPr>
          <w:rStyle w:val="Refdenotaalfinal"/>
          <w:rFonts w:ascii="Times New Roman" w:hAnsi="Times New Roman" w:cs="Times New Roman"/>
          <w:sz w:val="22"/>
          <w:szCs w:val="22"/>
        </w:rPr>
        <w:endnoteRef/>
      </w:r>
      <w:r w:rsidRPr="00605305">
        <w:rPr>
          <w:rFonts w:ascii="Times New Roman" w:hAnsi="Times New Roman" w:cs="Times New Roman"/>
          <w:sz w:val="22"/>
          <w:szCs w:val="22"/>
        </w:rPr>
        <w:t xml:space="preserve"> </w:t>
      </w:r>
      <w:r w:rsidRPr="00605305">
        <w:rPr>
          <w:rFonts w:ascii="Times New Roman" w:hAnsi="Times New Roman" w:cs="Times New Roman"/>
          <w:i/>
          <w:iCs/>
          <w:sz w:val="22"/>
          <w:szCs w:val="22"/>
        </w:rPr>
        <w:t>Specificity</w:t>
      </w:r>
      <w:r w:rsidRPr="00605305">
        <w:rPr>
          <w:rFonts w:ascii="Times New Roman" w:hAnsi="Times New Roman" w:cs="Times New Roman"/>
          <w:sz w:val="22"/>
          <w:szCs w:val="22"/>
        </w:rPr>
        <w:t xml:space="preserve"> es la ratio entre el total de hogares clasificados como no pobres y el número real de dichos hogares.</w:t>
      </w:r>
    </w:p>
  </w:endnote>
  <w:endnote w:id="23">
    <w:p w14:paraId="15886C87" w14:textId="77777777" w:rsidR="000414DE" w:rsidRDefault="000414DE" w:rsidP="000414DE">
      <w:pPr>
        <w:pStyle w:val="Textonotaalfinal"/>
      </w:pPr>
      <w:r w:rsidRPr="00605305">
        <w:rPr>
          <w:rStyle w:val="Refdenotaalfinal"/>
          <w:sz w:val="22"/>
          <w:szCs w:val="22"/>
        </w:rPr>
        <w:endnoteRef/>
      </w:r>
      <w:r w:rsidRPr="00605305">
        <w:rPr>
          <w:sz w:val="22"/>
          <w:szCs w:val="22"/>
        </w:rPr>
        <w:t xml:space="preserve"> </w:t>
      </w:r>
      <w:r w:rsidRPr="00605305">
        <w:rPr>
          <w:rFonts w:ascii="Times New Roman" w:hAnsi="Times New Roman" w:cs="Times New Roman"/>
          <w:sz w:val="22"/>
          <w:szCs w:val="22"/>
        </w:rPr>
        <w:t>Para las personas con educación se utiliza la siguiente aproximación de experiencia (X): Si 18 &lt; edad &lt; 22, X = edad – 18; si edad &gt; 22, X = edad – educación – 6. Y para personas sin educación terciaria se aproxima como sigue: si edad &gt; 18, X = edad – 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63DC89" w14:textId="77777777" w:rsidR="001030ED" w:rsidRDefault="001030ED" w:rsidP="00130B06">
      <w:pPr>
        <w:spacing w:after="0" w:line="240" w:lineRule="auto"/>
      </w:pPr>
      <w:r>
        <w:separator/>
      </w:r>
    </w:p>
  </w:footnote>
  <w:footnote w:type="continuationSeparator" w:id="0">
    <w:p w14:paraId="7939B0F9" w14:textId="77777777" w:rsidR="001030ED" w:rsidRDefault="001030ED" w:rsidP="00130B06">
      <w:pPr>
        <w:spacing w:after="0" w:line="240" w:lineRule="auto"/>
      </w:pPr>
      <w:r>
        <w:continuationSeparator/>
      </w:r>
    </w:p>
  </w:footnote>
  <w:footnote w:id="1">
    <w:p w14:paraId="7E4263D1" w14:textId="77777777" w:rsidR="002A05AA" w:rsidRDefault="002A05AA" w:rsidP="002A05AA">
      <w:pPr>
        <w:pStyle w:val="Textonotapie"/>
        <w:rPr>
          <w:rFonts w:ascii="Times New Roman" w:hAnsi="Times New Roman" w:cs="Times New Roman"/>
        </w:rPr>
      </w:pPr>
      <w:r>
        <w:rPr>
          <w:rStyle w:val="Refdenotaalpi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1F"/>
    <w:rsid w:val="000414DE"/>
    <w:rsid w:val="00060CB5"/>
    <w:rsid w:val="001030ED"/>
    <w:rsid w:val="00130B06"/>
    <w:rsid w:val="001446BE"/>
    <w:rsid w:val="001B0592"/>
    <w:rsid w:val="001B5B18"/>
    <w:rsid w:val="001C7A53"/>
    <w:rsid w:val="00282B7D"/>
    <w:rsid w:val="002A05AA"/>
    <w:rsid w:val="0030655A"/>
    <w:rsid w:val="00417046"/>
    <w:rsid w:val="004444ED"/>
    <w:rsid w:val="00496EB5"/>
    <w:rsid w:val="004B3512"/>
    <w:rsid w:val="0051431D"/>
    <w:rsid w:val="005C04FE"/>
    <w:rsid w:val="008B119B"/>
    <w:rsid w:val="008C7272"/>
    <w:rsid w:val="00A312AF"/>
    <w:rsid w:val="00A3776D"/>
    <w:rsid w:val="00B20CC7"/>
    <w:rsid w:val="00B9370D"/>
    <w:rsid w:val="00C6681F"/>
    <w:rsid w:val="00CE707E"/>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0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30B06"/>
    <w:rPr>
      <w:color w:val="0563C1" w:themeColor="hyperlink"/>
      <w:u w:val="single"/>
    </w:rPr>
  </w:style>
  <w:style w:type="paragraph" w:styleId="Textonotapie">
    <w:name w:val="footnote text"/>
    <w:basedOn w:val="Normal"/>
    <w:link w:val="TextonotapieCar"/>
    <w:uiPriority w:val="99"/>
    <w:semiHidden/>
    <w:unhideWhenUsed/>
    <w:rsid w:val="00130B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0B06"/>
    <w:rPr>
      <w:sz w:val="20"/>
      <w:szCs w:val="20"/>
    </w:rPr>
  </w:style>
  <w:style w:type="paragraph" w:styleId="Textonotaalfinal">
    <w:name w:val="endnote text"/>
    <w:basedOn w:val="Normal"/>
    <w:link w:val="TextonotaalfinalCar"/>
    <w:uiPriority w:val="99"/>
    <w:unhideWhenUsed/>
    <w:rsid w:val="00130B0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130B06"/>
    <w:rPr>
      <w:sz w:val="20"/>
      <w:szCs w:val="20"/>
    </w:rPr>
  </w:style>
  <w:style w:type="character" w:styleId="Refdenotaalpie">
    <w:name w:val="footnote reference"/>
    <w:basedOn w:val="Fuentedeprrafopredeter"/>
    <w:uiPriority w:val="99"/>
    <w:semiHidden/>
    <w:unhideWhenUsed/>
    <w:rsid w:val="00130B06"/>
    <w:rPr>
      <w:vertAlign w:val="superscript"/>
    </w:rPr>
  </w:style>
  <w:style w:type="character" w:styleId="Refdenotaalfinal">
    <w:name w:val="endnote reference"/>
    <w:basedOn w:val="Fuentedeprrafopredeter"/>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2329</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15</cp:revision>
  <dcterms:created xsi:type="dcterms:W3CDTF">2022-07-12T22:13:00Z</dcterms:created>
  <dcterms:modified xsi:type="dcterms:W3CDTF">2022-07-12T23:29:00Z</dcterms:modified>
</cp:coreProperties>
</file>