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Best Subset Selection</w:t>
      </w:r>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r w:rsidRPr="0030655A">
        <w:rPr>
          <w:rFonts w:ascii="Times New Roman" w:hAnsi="Times New Roman" w:cs="Times New Roman"/>
          <w:i/>
          <w:iCs/>
          <w:sz w:val="24"/>
          <w:szCs w:val="24"/>
        </w:rPr>
        <w:t>Subsidiado_hg</w:t>
      </w:r>
      <w:r w:rsidRPr="0030655A">
        <w:rPr>
          <w:rFonts w:ascii="Times New Roman" w:hAnsi="Times New Roman" w:cs="Times New Roman"/>
          <w:sz w:val="24"/>
          <w:szCs w:val="24"/>
        </w:rPr>
        <w:t xml:space="preserve"> que toma el valor de 1 si al menos un miembro de hogar (MdH) pertenece al régimen subsidiado de salud; (ii) </w:t>
      </w:r>
      <w:r w:rsidRPr="0030655A">
        <w:rPr>
          <w:rFonts w:ascii="Times New Roman" w:hAnsi="Times New Roman" w:cs="Times New Roman"/>
          <w:i/>
          <w:iCs/>
          <w:sz w:val="24"/>
          <w:szCs w:val="24"/>
        </w:rPr>
        <w:t>ayudaInstituciones_hg</w:t>
      </w:r>
      <w:r w:rsidRPr="0030655A">
        <w:rPr>
          <w:rFonts w:ascii="Times New Roman" w:hAnsi="Times New Roman" w:cs="Times New Roman"/>
          <w:sz w:val="24"/>
          <w:szCs w:val="24"/>
        </w:rPr>
        <w:t xml:space="preserve"> que indica si al menos un MdH recibió ayuda monetaria de una institución nacional o extranjera (=1), (iii) </w:t>
      </w:r>
      <w:r w:rsidRPr="0030655A">
        <w:rPr>
          <w:rFonts w:ascii="Times New Roman" w:hAnsi="Times New Roman" w:cs="Times New Roman"/>
          <w:i/>
          <w:iCs/>
          <w:sz w:val="24"/>
          <w:szCs w:val="24"/>
        </w:rPr>
        <w:t>personaxCuarto_hg</w:t>
      </w:r>
      <w:r w:rsidRPr="0030655A">
        <w:rPr>
          <w:rFonts w:ascii="Times New Roman" w:hAnsi="Times New Roman" w:cs="Times New Roman"/>
          <w:sz w:val="24"/>
          <w:szCs w:val="24"/>
        </w:rPr>
        <w:t xml:space="preserve"> que indica la ratio entre MdH y cuartos donde duermen; y (iv) </w:t>
      </w:r>
      <w:r w:rsidRPr="0030655A">
        <w:rPr>
          <w:rFonts w:ascii="Times New Roman" w:hAnsi="Times New Roman" w:cs="Times New Roman"/>
          <w:i/>
          <w:iCs/>
          <w:sz w:val="24"/>
          <w:szCs w:val="24"/>
        </w:rPr>
        <w:t>educ_hg</w:t>
      </w:r>
      <w:r w:rsidRPr="0030655A">
        <w:rPr>
          <w:rFonts w:ascii="Times New Roman" w:hAnsi="Times New Roman" w:cs="Times New Roman"/>
          <w:sz w:val="24"/>
          <w:szCs w:val="24"/>
        </w:rPr>
        <w:t xml:space="preserve"> que es el promedio de años de escolaridad de los MdH.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r w:rsidRPr="0030655A">
        <w:rPr>
          <w:rFonts w:ascii="Times New Roman" w:hAnsi="Times New Roman" w:cs="Times New Roman"/>
          <w:i/>
          <w:iCs/>
          <w:sz w:val="24"/>
          <w:szCs w:val="24"/>
        </w:rPr>
        <w:t>class imbalances</w:t>
      </w:r>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Up-sampling</w:t>
      </w:r>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Down-sampling</w:t>
      </w:r>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r w:rsidRPr="001C7A53">
        <w:rPr>
          <w:rFonts w:ascii="Times New Roman" w:hAnsi="Times New Roman" w:cs="Times New Roman"/>
          <w:i/>
          <w:iCs/>
          <w:sz w:val="24"/>
          <w:szCs w:val="24"/>
        </w:rPr>
        <w:t>Sensitivity)</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Una segunda aproximación para construir un modelo predictivo de pobreza de los hogares es a través de su ingreso. Estimamos el ingreso del hogar a partir de la agregación de una estimación individual del ingreso de cada MdH</w:t>
      </w:r>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xml:space="preserve">. Luego, utilizando la línea de pobreza (Lp)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Best Subset Selection</w:t>
      </w:r>
      <w:r w:rsidRPr="006C16F7">
        <w:rPr>
          <w:rFonts w:ascii="Times New Roman" w:eastAsiaTheme="minorEastAsia" w:hAnsi="Times New Roman" w:cs="Times New Roman"/>
          <w:sz w:val="24"/>
          <w:szCs w:val="24"/>
        </w:rPr>
        <w:t xml:space="preserve"> (</w:t>
      </w:r>
      <w:r w:rsidRPr="006C16F7">
        <w:rPr>
          <w:rFonts w:ascii="Times New Roman" w:eastAsiaTheme="minorEastAsia" w:hAnsi="Times New Roman" w:cs="Times New Roman"/>
          <w:i/>
          <w:iCs/>
          <w:sz w:val="24"/>
          <w:szCs w:val="24"/>
        </w:rPr>
        <w:t xml:space="preserve">BSuS) </w:t>
      </w:r>
      <w:r w:rsidRPr="006C16F7">
        <w:rPr>
          <w:rFonts w:ascii="Times New Roman" w:eastAsiaTheme="minorEastAsia" w:hAnsi="Times New Roman" w:cs="Times New Roman"/>
          <w:sz w:val="24"/>
          <w:szCs w:val="24"/>
        </w:rPr>
        <w:t xml:space="preserve">y </w:t>
      </w:r>
      <w:r w:rsidRPr="006C16F7">
        <w:rPr>
          <w:rFonts w:ascii="Times New Roman" w:eastAsiaTheme="minorEastAsia" w:hAnsi="Times New Roman" w:cs="Times New Roman"/>
          <w:i/>
          <w:iCs/>
          <w:sz w:val="24"/>
          <w:szCs w:val="24"/>
        </w:rPr>
        <w:t>Backward Stepwise Selection (BSwS)</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r w:rsidRPr="006C16F7">
        <w:rPr>
          <w:rFonts w:ascii="Times New Roman" w:eastAsiaTheme="minorEastAsia" w:hAnsi="Times New Roman" w:cs="Times New Roman"/>
          <w:i/>
          <w:iCs/>
          <w:sz w:val="24"/>
          <w:szCs w:val="24"/>
        </w:rPr>
        <w:t>Elastic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r w:rsidRPr="006C16F7">
        <w:rPr>
          <w:rFonts w:ascii="Times New Roman" w:eastAsiaTheme="minorEastAsia" w:hAnsi="Times New Roman" w:cs="Times New Roman"/>
          <w:i/>
          <w:iCs/>
          <w:sz w:val="24"/>
          <w:szCs w:val="24"/>
        </w:rPr>
        <w:t>overfitting)</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r w:rsidRPr="006C16F7">
        <w:rPr>
          <w:rFonts w:ascii="Times New Roman" w:eastAsiaTheme="minorEastAsia" w:hAnsi="Times New Roman" w:cs="Times New Roman"/>
          <w:i/>
          <w:iCs/>
          <w:sz w:val="24"/>
          <w:szCs w:val="24"/>
        </w:rPr>
        <w:t xml:space="preserve">BSwS y </w:t>
      </w:r>
      <w:r w:rsidRPr="006C16F7">
        <w:rPr>
          <w:rFonts w:ascii="Times New Roman" w:eastAsiaTheme="minorEastAsia" w:hAnsi="Times New Roman" w:cs="Times New Roman"/>
          <w:sz w:val="24"/>
          <w:szCs w:val="24"/>
        </w:rPr>
        <w:t xml:space="preserve">4 de </w:t>
      </w:r>
      <w:r w:rsidRPr="006C16F7">
        <w:rPr>
          <w:rFonts w:ascii="Times New Roman" w:eastAsiaTheme="minorEastAsia" w:hAnsi="Times New Roman" w:cs="Times New Roman"/>
          <w:i/>
          <w:iCs/>
          <w:sz w:val="24"/>
          <w:szCs w:val="24"/>
        </w:rPr>
        <w:t>Elastic Net</w:t>
      </w:r>
      <w:r w:rsidRPr="006C16F7">
        <w:rPr>
          <w:rFonts w:ascii="Times New Roman" w:eastAsiaTheme="minorEastAsia" w:hAnsi="Times New Roman" w:cs="Times New Roman"/>
          <w:sz w:val="24"/>
          <w:szCs w:val="24"/>
        </w:rPr>
        <w:t xml:space="preserve">), mientras el modelo de </w:t>
      </w:r>
      <w:r w:rsidRPr="006C16F7">
        <w:rPr>
          <w:rFonts w:ascii="Times New Roman" w:eastAsiaTheme="minorEastAsia" w:hAnsi="Times New Roman" w:cs="Times New Roman"/>
          <w:i/>
          <w:iCs/>
          <w:sz w:val="24"/>
          <w:szCs w:val="24"/>
        </w:rPr>
        <w:t>BSuS</w:t>
      </w:r>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r w:rsidRPr="00CE707E">
        <w:rPr>
          <w:rFonts w:ascii="Times New Roman" w:hAnsi="Times New Roman" w:cs="Times New Roman"/>
          <w:i/>
          <w:iCs/>
          <w:sz w:val="24"/>
          <w:szCs w:val="24"/>
        </w:rPr>
        <w:t>Elastic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r w:rsidRPr="00CE707E">
        <w:rPr>
          <w:rFonts w:ascii="Times New Roman" w:hAnsi="Times New Roman" w:cs="Times New Roman"/>
          <w:i/>
          <w:iCs/>
          <w:sz w:val="24"/>
          <w:szCs w:val="24"/>
        </w:rPr>
        <w:t>train</w:t>
      </w:r>
      <w:r w:rsidRPr="00CE707E">
        <w:rPr>
          <w:rFonts w:ascii="Times New Roman" w:hAnsi="Times New Roman" w:cs="Times New Roman"/>
          <w:sz w:val="24"/>
          <w:szCs w:val="24"/>
        </w:rPr>
        <w:t>, y luego se agregaron los ingresos predichos de los MdH para obtener un estimado del ingreso agregado del hogar, que comparamos frente a la Lp</w:t>
      </w:r>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r w:rsidRPr="00B9370D">
        <w:rPr>
          <w:rFonts w:ascii="Times New Roman" w:hAnsi="Times New Roman" w:cs="Times New Roman"/>
          <w:i/>
          <w:iCs/>
          <w:sz w:val="24"/>
          <w:szCs w:val="24"/>
        </w:rPr>
        <w:t xml:space="preserve">Sensitivity)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r w:rsidRPr="00B9370D">
        <w:rPr>
          <w:rFonts w:ascii="Times New Roman" w:hAnsi="Times New Roman" w:cs="Times New Roman"/>
          <w:i/>
          <w:iCs/>
          <w:sz w:val="24"/>
          <w:szCs w:val="24"/>
        </w:rPr>
        <w:t>Specificity</w:t>
      </w:r>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r w:rsidRPr="00B9370D">
        <w:rPr>
          <w:rFonts w:ascii="Times New Roman" w:hAnsi="Times New Roman" w:cs="Times New Roman"/>
          <w:i/>
          <w:iCs/>
          <w:sz w:val="24"/>
          <w:szCs w:val="24"/>
        </w:rPr>
        <w:t xml:space="preserve">accuracy)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MdH,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r w:rsidRPr="001446BE">
        <w:rPr>
          <w:rFonts w:ascii="Times New Roman" w:hAnsi="Times New Roman" w:cs="Times New Roman"/>
          <w:i/>
          <w:iCs/>
          <w:sz w:val="24"/>
          <w:szCs w:val="24"/>
        </w:rPr>
        <w:t>logit</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Subsidiado_hg, ayudaInstitucions_hg, personaxCuarto_hg y educ_hg</w:t>
      </w:r>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subFamiliar_hg</w:t>
      </w:r>
      <w:r w:rsidRPr="001446BE">
        <w:rPr>
          <w:rFonts w:ascii="Times New Roman" w:hAnsi="Times New Roman" w:cs="Times New Roman"/>
          <w:sz w:val="24"/>
          <w:szCs w:val="24"/>
        </w:rPr>
        <w:t xml:space="preserve"> una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subEducativo_hg</w:t>
      </w:r>
      <w:r w:rsidRPr="001446BE">
        <w:rPr>
          <w:rFonts w:ascii="Times New Roman" w:hAnsi="Times New Roman" w:cs="Times New Roman"/>
          <w:sz w:val="24"/>
          <w:szCs w:val="24"/>
        </w:rPr>
        <w:t xml:space="preserve">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denota si algún MdH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ayudaHogaresnal_hg</w:t>
      </w:r>
      <w:r w:rsidRPr="001446BE">
        <w:rPr>
          <w:rFonts w:ascii="Times New Roman" w:hAnsi="Times New Roman" w:cs="Times New Roman"/>
          <w:sz w:val="24"/>
          <w:szCs w:val="24"/>
        </w:rPr>
        <w:t xml:space="preserve"> una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ayudaHogaresext_hg</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señala si algún MdH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profesional_hg</w:t>
      </w:r>
      <w:r w:rsidRPr="001446BE">
        <w:rPr>
          <w:rFonts w:ascii="Times New Roman" w:hAnsi="Times New Roman" w:cs="Times New Roman"/>
          <w:sz w:val="24"/>
          <w:szCs w:val="24"/>
        </w:rPr>
        <w:t xml:space="preserve"> toma el valor de 1 si al menos un MdH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microempresa_hg</w:t>
      </w:r>
      <w:r w:rsidRPr="001446BE">
        <w:rPr>
          <w:rFonts w:ascii="Times New Roman" w:hAnsi="Times New Roman" w:cs="Times New Roman"/>
          <w:sz w:val="24"/>
          <w:szCs w:val="24"/>
        </w:rPr>
        <w:t xml:space="preserve"> indica si al menos un MdH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formal_hg</w:t>
      </w:r>
      <w:r w:rsidRPr="001446BE">
        <w:rPr>
          <w:rFonts w:ascii="Times New Roman" w:hAnsi="Times New Roman" w:cs="Times New Roman"/>
          <w:sz w:val="24"/>
          <w:szCs w:val="24"/>
        </w:rPr>
        <w:t xml:space="preserve"> determina si al menos un MdH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Nper</w:t>
      </w:r>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r w:rsidRPr="000414DE">
        <w:rPr>
          <w:rFonts w:ascii="Times New Roman" w:hAnsi="Times New Roman" w:cs="Times New Roman"/>
          <w:i/>
          <w:iCs/>
          <w:sz w:val="24"/>
          <w:szCs w:val="24"/>
        </w:rPr>
        <w:t>educ</w:t>
      </w:r>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r w:rsidRPr="000A2CA7">
        <w:rPr>
          <w:rFonts w:ascii="Times New Roman" w:hAnsi="Times New Roman" w:cs="Times New Roman"/>
          <w:i/>
          <w:iCs/>
          <w:sz w:val="24"/>
          <w:szCs w:val="24"/>
        </w:rPr>
        <w:t>dummies</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r w:rsidRPr="000A2CA7">
        <w:rPr>
          <w:rFonts w:ascii="Times New Roman" w:hAnsi="Times New Roman" w:cs="Times New Roman"/>
          <w:i/>
          <w:iCs/>
          <w:sz w:val="24"/>
          <w:szCs w:val="24"/>
        </w:rPr>
        <w:t>jefeHogar</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r w:rsidRPr="000A2CA7">
        <w:rPr>
          <w:rFonts w:ascii="Times New Roman" w:hAnsi="Times New Roman" w:cs="Times New Roman"/>
          <w:i/>
          <w:iCs/>
          <w:sz w:val="24"/>
          <w:szCs w:val="24"/>
        </w:rPr>
        <w:t>jefeHogar_mujer</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microEmpresa</w:t>
      </w:r>
      <w:r w:rsidRPr="000A2CA7">
        <w:rPr>
          <w:rFonts w:ascii="Times New Roman" w:hAnsi="Times New Roman" w:cs="Times New Roman"/>
          <w:sz w:val="24"/>
          <w:szCs w:val="24"/>
        </w:rPr>
        <w:t xml:space="preserve"> (variable </w:t>
      </w:r>
      <w:r w:rsidRPr="000A2CA7">
        <w:rPr>
          <w:rFonts w:ascii="Times New Roman" w:hAnsi="Times New Roman" w:cs="Times New Roman"/>
          <w:i/>
          <w:iCs/>
          <w:sz w:val="24"/>
          <w:szCs w:val="24"/>
        </w:rPr>
        <w:t>dummy</w:t>
      </w:r>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segundoTrabajo</w:t>
      </w:r>
      <w:r w:rsidRPr="000A2CA7">
        <w:rPr>
          <w:rFonts w:ascii="Times New Roman" w:hAnsi="Times New Roman" w:cs="Times New Roman"/>
          <w:sz w:val="24"/>
          <w:szCs w:val="24"/>
        </w:rPr>
        <w:t xml:space="preserve"> (variable </w:t>
      </w:r>
      <w:r w:rsidRPr="000A2CA7">
        <w:rPr>
          <w:rFonts w:ascii="Times New Roman" w:hAnsi="Times New Roman" w:cs="Times New Roman"/>
          <w:i/>
          <w:sz w:val="24"/>
          <w:szCs w:val="24"/>
        </w:rPr>
        <w:t xml:space="preserve">dummy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r w:rsidRPr="00CC67B0">
        <w:rPr>
          <w:rFonts w:ascii="Times New Roman" w:hAnsi="Times New Roman" w:cs="Times New Roman"/>
          <w:b/>
          <w:bCs/>
          <w:i/>
          <w:iCs/>
          <w:sz w:val="24"/>
          <w:szCs w:val="24"/>
        </w:rPr>
        <w:t>train)*</w:t>
      </w:r>
    </w:p>
    <w:tbl>
      <w:tblPr>
        <w:tblStyle w:val="Tablaconcuadrcula"/>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hogares nal.</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hogares extr.</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9C32AFA" w:rsid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4F54ABFC" w14:textId="77777777" w:rsidR="001B25C5" w:rsidRPr="00CC67B0" w:rsidRDefault="001B25C5" w:rsidP="00CC67B0">
      <w:pPr>
        <w:spacing w:line="259" w:lineRule="auto"/>
        <w:jc w:val="center"/>
        <w:rPr>
          <w:rFonts w:ascii="Times New Roman" w:hAnsi="Times New Roman" w:cs="Times New Roman"/>
          <w:sz w:val="24"/>
          <w:szCs w:val="24"/>
        </w:rPr>
      </w:pPr>
      <w:bookmarkStart w:id="0" w:name="_GoBack"/>
      <w:bookmarkEnd w:id="0"/>
    </w:p>
    <w:p w14:paraId="49311FD6" w14:textId="77777777" w:rsidR="001B25C5" w:rsidRPr="001B25C5" w:rsidRDefault="001B25C5" w:rsidP="001B25C5">
      <w:pPr>
        <w:jc w:val="center"/>
        <w:rPr>
          <w:rFonts w:ascii="Times New Roman" w:hAnsi="Times New Roman" w:cs="Times New Roman"/>
          <w:b/>
          <w:bCs/>
          <w:i/>
          <w:iCs/>
          <w:sz w:val="24"/>
          <w:szCs w:val="24"/>
        </w:rPr>
      </w:pPr>
      <w:r w:rsidRPr="001B25C5">
        <w:rPr>
          <w:rFonts w:ascii="Times New Roman" w:hAnsi="Times New Roman" w:cs="Times New Roman"/>
          <w:b/>
          <w:bCs/>
          <w:sz w:val="24"/>
          <w:szCs w:val="24"/>
        </w:rPr>
        <w:t xml:space="preserve">Tabla 2. Estadísticas descriptivas (base </w:t>
      </w:r>
      <w:r w:rsidRPr="001B25C5">
        <w:rPr>
          <w:rFonts w:ascii="Times New Roman" w:hAnsi="Times New Roman" w:cs="Times New Roman"/>
          <w:b/>
          <w:bCs/>
          <w:i/>
          <w:iCs/>
          <w:sz w:val="24"/>
          <w:szCs w:val="24"/>
        </w:rPr>
        <w:t>test)*</w:t>
      </w:r>
    </w:p>
    <w:tbl>
      <w:tblPr>
        <w:tblStyle w:val="Tablaconcuadrcula"/>
        <w:tblW w:w="0" w:type="auto"/>
        <w:jc w:val="center"/>
        <w:tblLook w:val="04A0" w:firstRow="1" w:lastRow="0" w:firstColumn="1" w:lastColumn="0" w:noHBand="0" w:noVBand="1"/>
      </w:tblPr>
      <w:tblGrid>
        <w:gridCol w:w="2376"/>
        <w:gridCol w:w="2581"/>
      </w:tblGrid>
      <w:tr w:rsidR="001B25C5" w:rsidRPr="001B25C5" w14:paraId="0BC13B16" w14:textId="77777777" w:rsidTr="00612F50">
        <w:trPr>
          <w:trHeight w:val="283"/>
          <w:jc w:val="center"/>
        </w:trPr>
        <w:tc>
          <w:tcPr>
            <w:tcW w:w="2376" w:type="dxa"/>
            <w:tcBorders>
              <w:top w:val="single" w:sz="4" w:space="0" w:color="FFFFFF"/>
              <w:left w:val="single" w:sz="4" w:space="0" w:color="FFFFFF"/>
              <w:right w:val="single" w:sz="4" w:space="0" w:color="FFFFFF" w:themeColor="background1"/>
            </w:tcBorders>
          </w:tcPr>
          <w:p w14:paraId="7C9F20DE" w14:textId="77777777" w:rsidR="001B25C5" w:rsidRPr="001B25C5" w:rsidRDefault="001B25C5" w:rsidP="00612F50">
            <w:pPr>
              <w:jc w:val="center"/>
              <w:rPr>
                <w:rFonts w:ascii="Times New Roman" w:hAnsi="Times New Roman" w:cs="Times New Roman"/>
                <w:b/>
                <w:sz w:val="24"/>
                <w:szCs w:val="24"/>
              </w:rPr>
            </w:pPr>
            <w:r w:rsidRPr="001B25C5">
              <w:rPr>
                <w:rFonts w:ascii="Times New Roman" w:hAnsi="Times New Roman" w:cs="Times New Roman"/>
                <w:b/>
                <w:sz w:val="24"/>
                <w:szCs w:val="24"/>
              </w:rPr>
              <w:t>Variables</w:t>
            </w:r>
          </w:p>
        </w:tc>
        <w:tc>
          <w:tcPr>
            <w:tcW w:w="2581" w:type="dxa"/>
            <w:tcBorders>
              <w:top w:val="single" w:sz="4" w:space="0" w:color="FFFFFF"/>
              <w:left w:val="single" w:sz="4" w:space="0" w:color="FFFFFF" w:themeColor="background1"/>
              <w:right w:val="single" w:sz="4" w:space="0" w:color="FFFFFF"/>
            </w:tcBorders>
          </w:tcPr>
          <w:p w14:paraId="7FBCDEEE" w14:textId="77777777" w:rsidR="001B25C5" w:rsidRPr="001B25C5" w:rsidRDefault="001B25C5" w:rsidP="00612F50">
            <w:pPr>
              <w:jc w:val="center"/>
              <w:rPr>
                <w:rFonts w:ascii="Times New Roman" w:hAnsi="Times New Roman" w:cs="Times New Roman"/>
                <w:b/>
                <w:iCs/>
                <w:sz w:val="24"/>
                <w:szCs w:val="24"/>
              </w:rPr>
            </w:pPr>
            <w:r w:rsidRPr="001B25C5">
              <w:rPr>
                <w:rFonts w:ascii="Times New Roman" w:hAnsi="Times New Roman" w:cs="Times New Roman"/>
                <w:b/>
                <w:iCs/>
                <w:sz w:val="24"/>
                <w:szCs w:val="24"/>
              </w:rPr>
              <w:t>Proporción</w:t>
            </w:r>
          </w:p>
        </w:tc>
      </w:tr>
      <w:tr w:rsidR="001B25C5" w:rsidRPr="001B25C5" w14:paraId="47B20CB4" w14:textId="77777777" w:rsidTr="00612F50">
        <w:trPr>
          <w:trHeight w:val="340"/>
          <w:jc w:val="center"/>
        </w:trPr>
        <w:tc>
          <w:tcPr>
            <w:tcW w:w="2376" w:type="dxa"/>
            <w:tcBorders>
              <w:left w:val="single" w:sz="4" w:space="0" w:color="FFFFFF"/>
              <w:bottom w:val="single" w:sz="4" w:space="0" w:color="FFFFFF"/>
              <w:right w:val="single" w:sz="4" w:space="0" w:color="FFFFFF" w:themeColor="background1"/>
            </w:tcBorders>
          </w:tcPr>
          <w:p w14:paraId="0F0480C1"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lastRenderedPageBreak/>
              <w:t>Subsidiado</w:t>
            </w:r>
          </w:p>
          <w:p w14:paraId="3ACC23B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left w:val="single" w:sz="4" w:space="0" w:color="FFFFFF" w:themeColor="background1"/>
              <w:bottom w:val="single" w:sz="4" w:space="0" w:color="FFFFFF"/>
              <w:right w:val="single" w:sz="4" w:space="0" w:color="FFFFFF"/>
            </w:tcBorders>
            <w:shd w:val="clear" w:color="auto" w:fill="auto"/>
          </w:tcPr>
          <w:p w14:paraId="4482CE6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37,175 </w:t>
            </w:r>
          </w:p>
          <w:p w14:paraId="6935956B"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(56.2)</w:t>
            </w:r>
          </w:p>
        </w:tc>
      </w:tr>
      <w:tr w:rsidR="001B25C5" w:rsidRPr="001B25C5" w14:paraId="23866959"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49E1F4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familiar</w:t>
            </w:r>
          </w:p>
          <w:p w14:paraId="112277A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255167C"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8,723 </w:t>
            </w:r>
          </w:p>
          <w:p w14:paraId="454C8490"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(13.2)</w:t>
            </w:r>
          </w:p>
        </w:tc>
      </w:tr>
      <w:tr w:rsidR="001B25C5" w:rsidRPr="001B25C5" w14:paraId="22FAF805"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7684376C"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educativo</w:t>
            </w:r>
          </w:p>
          <w:p w14:paraId="494F1E00"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B3EB1E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140 </w:t>
            </w:r>
          </w:p>
          <w:p w14:paraId="2F3BC4D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(0.2)</w:t>
            </w:r>
          </w:p>
        </w:tc>
      </w:tr>
      <w:tr w:rsidR="001B25C5" w:rsidRPr="001B25C5" w14:paraId="24659F6C"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109AD17"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hogares nal.</w:t>
            </w:r>
          </w:p>
          <w:p w14:paraId="3B41F39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C2AD672"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15,430 </w:t>
            </w:r>
          </w:p>
          <w:p w14:paraId="4271D78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(23.3)</w:t>
            </w:r>
          </w:p>
        </w:tc>
      </w:tr>
      <w:tr w:rsidR="001B25C5" w:rsidRPr="001B25C5" w14:paraId="46945D9D"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9A1BC1D"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hogares extr.</w:t>
            </w:r>
          </w:p>
          <w:p w14:paraId="7CBA821E"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A1EB41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1,326 </w:t>
            </w:r>
          </w:p>
          <w:p w14:paraId="26EF54C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(2.0)</w:t>
            </w:r>
          </w:p>
        </w:tc>
      </w:tr>
      <w:tr w:rsidR="001B25C5" w:rsidRPr="001B25C5" w14:paraId="0B7A20B2"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44D82B8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instituciones</w:t>
            </w:r>
          </w:p>
          <w:p w14:paraId="340A853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2A4E75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10,398 </w:t>
            </w:r>
          </w:p>
          <w:p w14:paraId="5B4BF16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(15.7)</w:t>
            </w:r>
          </w:p>
        </w:tc>
      </w:tr>
      <w:tr w:rsidR="001B25C5" w:rsidRPr="001B25C5" w14:paraId="4E0B5996"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744F952"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Profesional</w:t>
            </w:r>
          </w:p>
          <w:p w14:paraId="5C1DA28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F0991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58,355 </w:t>
            </w:r>
          </w:p>
          <w:p w14:paraId="642DD9D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(88.2)</w:t>
            </w:r>
          </w:p>
        </w:tc>
      </w:tr>
      <w:tr w:rsidR="001B25C5" w:rsidRPr="001B25C5" w14:paraId="3CB559E6" w14:textId="77777777" w:rsidTr="00612F50">
        <w:trPr>
          <w:trHeight w:val="340"/>
          <w:jc w:val="center"/>
        </w:trPr>
        <w:tc>
          <w:tcPr>
            <w:tcW w:w="2376" w:type="dxa"/>
            <w:tcBorders>
              <w:top w:val="single" w:sz="4" w:space="0" w:color="FFFFFF"/>
              <w:left w:val="single" w:sz="4" w:space="0" w:color="FFFFFF"/>
              <w:bottom w:val="single" w:sz="4" w:space="0" w:color="auto"/>
              <w:right w:val="single" w:sz="4" w:space="0" w:color="FFFFFF" w:themeColor="background1"/>
            </w:tcBorders>
          </w:tcPr>
          <w:p w14:paraId="24789DB8"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Personas x</w:t>
            </w:r>
          </w:p>
          <w:p w14:paraId="4247679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 cuarto</w:t>
            </w:r>
          </w:p>
        </w:tc>
        <w:tc>
          <w:tcPr>
            <w:tcW w:w="258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485E248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1.73 </w:t>
            </w:r>
          </w:p>
          <w:p w14:paraId="5EAD62D4"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(0.83)</w:t>
            </w:r>
          </w:p>
        </w:tc>
      </w:tr>
      <w:tr w:rsidR="001B25C5" w:rsidRPr="001B25C5" w14:paraId="6919994C" w14:textId="77777777" w:rsidTr="00612F50">
        <w:trPr>
          <w:trHeight w:val="340"/>
          <w:jc w:val="center"/>
        </w:trPr>
        <w:tc>
          <w:tcPr>
            <w:tcW w:w="2376" w:type="dxa"/>
            <w:tcBorders>
              <w:top w:val="single" w:sz="4" w:space="0" w:color="auto"/>
              <w:left w:val="single" w:sz="4" w:space="0" w:color="FFFFFF"/>
              <w:right w:val="single" w:sz="4" w:space="0" w:color="FFFFFF" w:themeColor="background1"/>
            </w:tcBorders>
          </w:tcPr>
          <w:p w14:paraId="1446A23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N</w:t>
            </w:r>
          </w:p>
        </w:tc>
        <w:tc>
          <w:tcPr>
            <w:tcW w:w="2581" w:type="dxa"/>
            <w:tcBorders>
              <w:top w:val="single" w:sz="4" w:space="0" w:color="auto"/>
              <w:left w:val="single" w:sz="4" w:space="0" w:color="FFFFFF" w:themeColor="background1"/>
              <w:right w:val="single" w:sz="4" w:space="0" w:color="FFFFFF"/>
            </w:tcBorders>
            <w:shd w:val="clear" w:color="auto" w:fill="auto"/>
          </w:tcPr>
          <w:p w14:paraId="74C9499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66,168</w:t>
            </w:r>
          </w:p>
        </w:tc>
      </w:tr>
    </w:tbl>
    <w:p w14:paraId="161AD84C" w14:textId="77777777" w:rsidR="001B25C5" w:rsidRPr="001B25C5" w:rsidRDefault="001B25C5" w:rsidP="001B25C5">
      <w:pPr>
        <w:pStyle w:val="Prrafodelista"/>
        <w:spacing w:before="240"/>
        <w:jc w:val="both"/>
        <w:rPr>
          <w:rFonts w:ascii="Times New Roman" w:hAnsi="Times New Roman" w:cs="Times New Roman"/>
          <w:sz w:val="20"/>
          <w:szCs w:val="24"/>
        </w:rPr>
      </w:pPr>
      <w:r w:rsidRPr="001B25C5">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el número de personas por cuartos donde duermes el número corresponde al promedio y el valor entre paréntesis a la desviación estándar. </w:t>
      </w:r>
    </w:p>
    <w:p w14:paraId="1EE88D5D" w14:textId="77777777" w:rsidR="001B25C5" w:rsidRPr="001B25C5" w:rsidRDefault="001B25C5" w:rsidP="001B25C5">
      <w:pPr>
        <w:jc w:val="center"/>
        <w:rPr>
          <w:rFonts w:ascii="Times New Roman" w:hAnsi="Times New Roman" w:cs="Times New Roman"/>
          <w:sz w:val="24"/>
          <w:szCs w:val="24"/>
        </w:rPr>
      </w:pPr>
      <w:r w:rsidRPr="001B25C5">
        <w:rPr>
          <w:rFonts w:ascii="Times New Roman" w:hAnsi="Times New Roman" w:cs="Times New Roman"/>
          <w:b/>
          <w:sz w:val="24"/>
          <w:szCs w:val="24"/>
        </w:rPr>
        <w:t xml:space="preserve">Fuente: </w:t>
      </w:r>
      <w:r w:rsidRPr="001B25C5">
        <w:rPr>
          <w:rFonts w:ascii="Times New Roman" w:hAnsi="Times New Roman" w:cs="Times New Roman"/>
          <w:sz w:val="24"/>
          <w:szCs w:val="24"/>
        </w:rPr>
        <w:t>GEIH 2018, cálculos propios.</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80AF3" w14:textId="77777777" w:rsidR="00DE49D7" w:rsidRDefault="00DE49D7" w:rsidP="00130B06">
      <w:pPr>
        <w:spacing w:after="0" w:line="240" w:lineRule="auto"/>
      </w:pPr>
      <w:r>
        <w:separator/>
      </w:r>
    </w:p>
  </w:endnote>
  <w:endnote w:type="continuationSeparator" w:id="0">
    <w:p w14:paraId="5353C8D8" w14:textId="77777777" w:rsidR="00DE49D7" w:rsidRDefault="00DE49D7"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r w:rsidRPr="005B793A">
        <w:rPr>
          <w:rFonts w:ascii="Times New Roman" w:hAnsi="Times New Roman" w:cs="Times New Roman"/>
          <w:i/>
          <w:iCs/>
          <w:sz w:val="22"/>
          <w:szCs w:val="22"/>
        </w:rPr>
        <w:t>train</w:t>
      </w:r>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Two-Class Summary</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Cross Validation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Up-sampling</w:t>
      </w:r>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Down-sampling.</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Up-sampling</w:t>
      </w:r>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Down-sampling</w:t>
      </w:r>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Sensitivity</w:t>
      </w:r>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Operating Characteristic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Best Subset Selection</w:t>
      </w:r>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r w:rsidRPr="000B1BAC">
        <w:rPr>
          <w:rFonts w:ascii="Times New Roman" w:eastAsiaTheme="minorEastAsia" w:hAnsi="Times New Roman" w:cs="Times New Roman"/>
          <w:i/>
          <w:iCs/>
          <w:sz w:val="22"/>
          <w:szCs w:val="22"/>
        </w:rPr>
        <w:t>Backward Stepwise Selection</w:t>
      </w:r>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Este método es una combinación de las penalizaciones que imponen sobre los coeficientes lasso y ridge,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5-fold Cross Validation</w:t>
      </w:r>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que es el hiperparámetro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(Lp) por el número de personas en la unidad de gasto, puesto que la Lp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Specificity</w:t>
      </w:r>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96C6E" w14:textId="77777777" w:rsidR="00DE49D7" w:rsidRDefault="00DE49D7" w:rsidP="00130B06">
      <w:pPr>
        <w:spacing w:after="0" w:line="240" w:lineRule="auto"/>
      </w:pPr>
      <w:r>
        <w:separator/>
      </w:r>
    </w:p>
  </w:footnote>
  <w:footnote w:type="continuationSeparator" w:id="0">
    <w:p w14:paraId="7F1227D4" w14:textId="77777777" w:rsidR="00DE49D7" w:rsidRDefault="00DE49D7"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414DE"/>
    <w:rsid w:val="00060CB5"/>
    <w:rsid w:val="000A2CA7"/>
    <w:rsid w:val="001030ED"/>
    <w:rsid w:val="00130B06"/>
    <w:rsid w:val="001446BE"/>
    <w:rsid w:val="001B0592"/>
    <w:rsid w:val="001B25C5"/>
    <w:rsid w:val="001B5B18"/>
    <w:rsid w:val="001C7A53"/>
    <w:rsid w:val="00282B7D"/>
    <w:rsid w:val="002A05AA"/>
    <w:rsid w:val="0030655A"/>
    <w:rsid w:val="00417046"/>
    <w:rsid w:val="004444ED"/>
    <w:rsid w:val="00496EB5"/>
    <w:rsid w:val="004B3512"/>
    <w:rsid w:val="004E5E55"/>
    <w:rsid w:val="0051431D"/>
    <w:rsid w:val="005C04FE"/>
    <w:rsid w:val="008B119B"/>
    <w:rsid w:val="008C7272"/>
    <w:rsid w:val="00A312AF"/>
    <w:rsid w:val="00A3776D"/>
    <w:rsid w:val="00A5088E"/>
    <w:rsid w:val="00B20CC7"/>
    <w:rsid w:val="00B9370D"/>
    <w:rsid w:val="00C6681F"/>
    <w:rsid w:val="00CC67B0"/>
    <w:rsid w:val="00CE707E"/>
    <w:rsid w:val="00D85F60"/>
    <w:rsid w:val="00DA0FD7"/>
    <w:rsid w:val="00DD05A3"/>
    <w:rsid w:val="00DE4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 w:type="table" w:styleId="Tablaconcuadrcula">
    <w:name w:val="Table Grid"/>
    <w:basedOn w:val="Tabla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25C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2818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18</cp:revision>
  <dcterms:created xsi:type="dcterms:W3CDTF">2022-07-12T22:13:00Z</dcterms:created>
  <dcterms:modified xsi:type="dcterms:W3CDTF">2022-07-12T23:43:00Z</dcterms:modified>
</cp:coreProperties>
</file>