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Big Data and Machine Learning for Applied Economics</w:t>
      </w:r>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Refdenotaalfinal"/>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ipervnculo"/>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Refdenotaalpi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Introducción: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Refdenotaalfinal"/>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(Kambuya, 2020). Para lograr una mejor caracterización de los hogares y enfocar de forma óptima las intervenciones es necesario ampliar las preguntas que contiene la encuesta para capturar otros factores, como lo hace la ELCA</w:t>
      </w:r>
      <w:r w:rsidRPr="002A05AA">
        <w:rPr>
          <w:rStyle w:val="Refdenotaalfinal"/>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Refdenotaalfinal"/>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03FE4F59" w:rsidR="008B119B"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w:t>
      </w:r>
      <w:bookmarkStart w:id="0" w:name="_GoBack"/>
      <w:bookmarkEnd w:id="0"/>
      <w:r w:rsidRPr="001B5B18">
        <w:rPr>
          <w:rFonts w:ascii="Times New Roman" w:hAnsi="Times New Roman" w:cs="Times New Roman"/>
          <w:sz w:val="24"/>
          <w:szCs w:val="24"/>
        </w:rPr>
        <w:t>cterísticas de las dos muestras).</w:t>
      </w:r>
    </w:p>
    <w:sectPr w:rsidR="008B119B"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5E517" w14:textId="77777777" w:rsidR="00DD05A3" w:rsidRDefault="00DD05A3" w:rsidP="00130B06">
      <w:pPr>
        <w:spacing w:after="0" w:line="240" w:lineRule="auto"/>
      </w:pPr>
      <w:r>
        <w:separator/>
      </w:r>
    </w:p>
  </w:endnote>
  <w:endnote w:type="continuationSeparator" w:id="0">
    <w:p w14:paraId="1FB5EC84" w14:textId="77777777" w:rsidR="00DD05A3" w:rsidRDefault="00DD05A3" w:rsidP="00130B06">
      <w:pPr>
        <w:spacing w:after="0" w:line="240" w:lineRule="auto"/>
      </w:pPr>
      <w:r>
        <w:continuationSeparator/>
      </w:r>
    </w:p>
  </w:endnote>
  <w:endnote w:id="1">
    <w:p w14:paraId="53FC51E5" w14:textId="77777777" w:rsidR="002A05AA" w:rsidRDefault="002A05AA" w:rsidP="002A05AA">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Textonotaalfinal"/>
        <w:jc w:val="both"/>
        <w:rPr>
          <w:rFonts w:ascii="Times New Roman" w:hAnsi="Times New Roman" w:cs="Times New Roman"/>
          <w:b/>
          <w:bCs/>
          <w:sz w:val="22"/>
          <w:szCs w:val="22"/>
        </w:rPr>
      </w:pPr>
    </w:p>
    <w:p w14:paraId="23B4B9FE"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Textonotaalfinal"/>
        <w:jc w:val="both"/>
        <w:rPr>
          <w:rFonts w:ascii="Times New Roman" w:hAnsi="Times New Roman" w:cs="Times New Roman"/>
          <w:sz w:val="22"/>
          <w:szCs w:val="22"/>
        </w:rPr>
      </w:pPr>
      <w:r w:rsidRPr="005B793A">
        <w:rPr>
          <w:rStyle w:val="Refdenotaalfinal"/>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5293A" w14:textId="77777777" w:rsidR="00DD05A3" w:rsidRDefault="00DD05A3" w:rsidP="00130B06">
      <w:pPr>
        <w:spacing w:after="0" w:line="240" w:lineRule="auto"/>
      </w:pPr>
      <w:r>
        <w:separator/>
      </w:r>
    </w:p>
  </w:footnote>
  <w:footnote w:type="continuationSeparator" w:id="0">
    <w:p w14:paraId="37E786C3" w14:textId="77777777" w:rsidR="00DD05A3" w:rsidRDefault="00DD05A3" w:rsidP="00130B06">
      <w:pPr>
        <w:spacing w:after="0" w:line="240" w:lineRule="auto"/>
      </w:pPr>
      <w:r>
        <w:continuationSeparator/>
      </w:r>
    </w:p>
  </w:footnote>
  <w:footnote w:id="1">
    <w:p w14:paraId="7E4263D1" w14:textId="77777777" w:rsidR="002A05AA" w:rsidRDefault="002A05AA" w:rsidP="002A05AA">
      <w:pPr>
        <w:pStyle w:val="Textonotapie"/>
        <w:rPr>
          <w:rFonts w:ascii="Times New Roman" w:hAnsi="Times New Roman" w:cs="Times New Roman"/>
        </w:rPr>
      </w:pPr>
      <w:r>
        <w:rPr>
          <w:rStyle w:val="Refdenotaalpi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1F"/>
    <w:rsid w:val="00130B06"/>
    <w:rsid w:val="001B0592"/>
    <w:rsid w:val="001B5B18"/>
    <w:rsid w:val="002A05AA"/>
    <w:rsid w:val="00417046"/>
    <w:rsid w:val="008B119B"/>
    <w:rsid w:val="00C6681F"/>
    <w:rsid w:val="00DD0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30B06"/>
    <w:rPr>
      <w:color w:val="0563C1" w:themeColor="hyperlink"/>
      <w:u w:val="single"/>
    </w:rPr>
  </w:style>
  <w:style w:type="paragraph" w:styleId="Textonotapie">
    <w:name w:val="footnote text"/>
    <w:basedOn w:val="Normal"/>
    <w:link w:val="TextonotapieCar"/>
    <w:uiPriority w:val="99"/>
    <w:semiHidden/>
    <w:unhideWhenUsed/>
    <w:rsid w:val="00130B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0B06"/>
    <w:rPr>
      <w:sz w:val="20"/>
      <w:szCs w:val="20"/>
    </w:rPr>
  </w:style>
  <w:style w:type="paragraph" w:styleId="Textonotaalfinal">
    <w:name w:val="endnote text"/>
    <w:basedOn w:val="Normal"/>
    <w:link w:val="TextonotaalfinalCar"/>
    <w:uiPriority w:val="99"/>
    <w:unhideWhenUsed/>
    <w:rsid w:val="00130B0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130B06"/>
    <w:rPr>
      <w:sz w:val="20"/>
      <w:szCs w:val="20"/>
    </w:rPr>
  </w:style>
  <w:style w:type="character" w:styleId="Refdenotaalpie">
    <w:name w:val="footnote reference"/>
    <w:basedOn w:val="Fuentedeprrafopredeter"/>
    <w:uiPriority w:val="99"/>
    <w:semiHidden/>
    <w:unhideWhenUsed/>
    <w:rsid w:val="00130B06"/>
    <w:rPr>
      <w:vertAlign w:val="superscript"/>
    </w:rPr>
  </w:style>
  <w:style w:type="character" w:styleId="Refdenotaalfinal">
    <w:name w:val="endnote reference"/>
    <w:basedOn w:val="Fuentedeprrafopredeter"/>
    <w:uiPriority w:val="99"/>
    <w:semiHidden/>
    <w:unhideWhenUsed/>
    <w:rsid w:val="0013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433</Words>
  <Characters>2383</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Usuario</cp:lastModifiedBy>
  <cp:revision>5</cp:revision>
  <dcterms:created xsi:type="dcterms:W3CDTF">2022-07-12T22:13:00Z</dcterms:created>
  <dcterms:modified xsi:type="dcterms:W3CDTF">2022-07-12T22:29:00Z</dcterms:modified>
</cp:coreProperties>
</file>