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 xml:space="preserve">Best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 xml:space="preserve">Best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proofErr w:type="spellStart"/>
      <w:r w:rsidRPr="00B9370D">
        <w:rPr>
          <w:rFonts w:ascii="Times New Roman" w:hAnsi="Times New Roman" w:cs="Times New Roman"/>
          <w:i/>
          <w:iCs/>
          <w:sz w:val="24"/>
          <w:szCs w:val="24"/>
        </w:rPr>
        <w:t>Specificity</w:t>
      </w:r>
      <w:proofErr w:type="spellEnd"/>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proofErr w:type="spellStart"/>
      <w:r w:rsidRPr="001446BE">
        <w:rPr>
          <w:rFonts w:ascii="Times New Roman" w:hAnsi="Times New Roman" w:cs="Times New Roman"/>
          <w:i/>
          <w:iCs/>
          <w:sz w:val="24"/>
          <w:szCs w:val="24"/>
        </w:rPr>
        <w:t>logit</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Subsidiado_hg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ayudaInstitucions_hg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personaxCuarto_hg</w:t>
      </w:r>
      <w:proofErr w:type="spellEnd"/>
      <w:r w:rsidRPr="001446BE">
        <w:rPr>
          <w:rFonts w:ascii="Times New Roman" w:hAnsi="Times New Roman" w:cs="Times New Roman"/>
          <w:i/>
          <w:iCs/>
          <w:sz w:val="24"/>
          <w:szCs w:val="24"/>
        </w:rPr>
        <w:t xml:space="preserve"> y </w:t>
      </w:r>
      <w:proofErr w:type="spellStart"/>
      <w:r w:rsidRPr="001446BE">
        <w:rPr>
          <w:rFonts w:ascii="Times New Roman" w:hAnsi="Times New Roman" w:cs="Times New Roman"/>
          <w:i/>
          <w:iCs/>
          <w:sz w:val="24"/>
          <w:szCs w:val="24"/>
        </w:rPr>
        <w:t>educ_hg</w:t>
      </w:r>
      <w:proofErr w:type="spellEnd"/>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subFamiliar_hg</w:t>
      </w:r>
      <w:proofErr w:type="spellEnd"/>
      <w:r w:rsidRPr="001446BE">
        <w:rPr>
          <w:rFonts w:ascii="Times New Roman" w:hAnsi="Times New Roman" w:cs="Times New Roman"/>
          <w:sz w:val="24"/>
          <w:szCs w:val="24"/>
        </w:rPr>
        <w:t xml:space="preserve"> una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subEducativo_hg</w:t>
      </w:r>
      <w:proofErr w:type="spellEnd"/>
      <w:r w:rsidRPr="001446BE">
        <w:rPr>
          <w:rFonts w:ascii="Times New Roman" w:hAnsi="Times New Roman" w:cs="Times New Roman"/>
          <w:sz w:val="24"/>
          <w:szCs w:val="24"/>
        </w:rPr>
        <w:t xml:space="preserve">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denota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ayudaHogaresnal_hg</w:t>
      </w:r>
      <w:proofErr w:type="spellEnd"/>
      <w:r w:rsidRPr="001446BE">
        <w:rPr>
          <w:rFonts w:ascii="Times New Roman" w:hAnsi="Times New Roman" w:cs="Times New Roman"/>
          <w:sz w:val="24"/>
          <w:szCs w:val="24"/>
        </w:rPr>
        <w:t xml:space="preserve"> una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ayudaHogaresext_hg</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señala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profesional_hg</w:t>
      </w:r>
      <w:proofErr w:type="spellEnd"/>
      <w:r w:rsidRPr="001446BE">
        <w:rPr>
          <w:rFonts w:ascii="Times New Roman" w:hAnsi="Times New Roman" w:cs="Times New Roman"/>
          <w:sz w:val="24"/>
          <w:szCs w:val="24"/>
        </w:rPr>
        <w:t xml:space="preserve"> toma el valor de 1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microempresa_hg</w:t>
      </w:r>
      <w:proofErr w:type="spellEnd"/>
      <w:r w:rsidRPr="001446BE">
        <w:rPr>
          <w:rFonts w:ascii="Times New Roman" w:hAnsi="Times New Roman" w:cs="Times New Roman"/>
          <w:sz w:val="24"/>
          <w:szCs w:val="24"/>
        </w:rPr>
        <w:t xml:space="preserve"> indica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formal_hg</w:t>
      </w:r>
      <w:proofErr w:type="spellEnd"/>
      <w:r w:rsidRPr="001446BE">
        <w:rPr>
          <w:rFonts w:ascii="Times New Roman" w:hAnsi="Times New Roman" w:cs="Times New Roman"/>
          <w:sz w:val="24"/>
          <w:szCs w:val="24"/>
        </w:rPr>
        <w:t xml:space="preserve"> determina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Nper</w:t>
      </w:r>
      <w:proofErr w:type="spellEnd"/>
      <w:r w:rsidRPr="001446BE">
        <w:rPr>
          <w:rFonts w:ascii="Times New Roman" w:hAnsi="Times New Roman" w:cs="Times New Roman"/>
          <w:sz w:val="24"/>
          <w:szCs w:val="24"/>
        </w:rPr>
        <w:t xml:space="preserve"> que indica el número de personas en el hogar.    </w:t>
      </w:r>
    </w:p>
    <w:p w14:paraId="3EA52FC4" w14:textId="77777777" w:rsidR="001446BE" w:rsidRDefault="001446BE" w:rsidP="008C7272">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05D6" w14:textId="77777777" w:rsidR="00A312AF" w:rsidRDefault="00A312AF" w:rsidP="00130B06">
      <w:pPr>
        <w:spacing w:after="0" w:line="240" w:lineRule="auto"/>
      </w:pPr>
      <w:r>
        <w:separator/>
      </w:r>
    </w:p>
  </w:endnote>
  <w:endnote w:type="continuationSeparator" w:id="0">
    <w:p w14:paraId="7E1E3BF1" w14:textId="77777777" w:rsidR="00A312AF" w:rsidRDefault="00A312AF"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 xml:space="preserve">Best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6BD5" w14:textId="77777777" w:rsidR="00A312AF" w:rsidRDefault="00A312AF" w:rsidP="00130B06">
      <w:pPr>
        <w:spacing w:after="0" w:line="240" w:lineRule="auto"/>
      </w:pPr>
      <w:r>
        <w:separator/>
      </w:r>
    </w:p>
  </w:footnote>
  <w:footnote w:type="continuationSeparator" w:id="0">
    <w:p w14:paraId="40A6FDEA" w14:textId="77777777" w:rsidR="00A312AF" w:rsidRDefault="00A312AF"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60CB5"/>
    <w:rsid w:val="00130B06"/>
    <w:rsid w:val="001446BE"/>
    <w:rsid w:val="001B0592"/>
    <w:rsid w:val="001B5B18"/>
    <w:rsid w:val="001C7A53"/>
    <w:rsid w:val="00282B7D"/>
    <w:rsid w:val="002A05AA"/>
    <w:rsid w:val="0030655A"/>
    <w:rsid w:val="00417046"/>
    <w:rsid w:val="004444ED"/>
    <w:rsid w:val="00496EB5"/>
    <w:rsid w:val="004B3512"/>
    <w:rsid w:val="0051431D"/>
    <w:rsid w:val="005C04FE"/>
    <w:rsid w:val="008B119B"/>
    <w:rsid w:val="008C7272"/>
    <w:rsid w:val="00A312AF"/>
    <w:rsid w:val="00A3776D"/>
    <w:rsid w:val="00B20CC7"/>
    <w:rsid w:val="00B9370D"/>
    <w:rsid w:val="00C6681F"/>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2126</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14</cp:revision>
  <dcterms:created xsi:type="dcterms:W3CDTF">2022-07-12T22:13:00Z</dcterms:created>
  <dcterms:modified xsi:type="dcterms:W3CDTF">2022-07-12T23:27:00Z</dcterms:modified>
</cp:coreProperties>
</file>