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raftTitle"/>
      </w:pPr>
      <w:r>
        <w:t>ORION PRODUCTION CHANGE PACKET</w:t>
      </w:r>
    </w:p>
    <w:p>
      <w:pPr>
        <w:pStyle w:val="DraftBody"/>
      </w:pPr>
      <w:r>
        <w:t xml:space="preserve">Release ID: </w:t>
      </w:r>
      <w:r>
        <w:rPr>
          <w:b/>
        </w:rPr>
        <w:t>{{release_</w:t>
      </w:r>
      <w:r>
        <w:rPr>
          <w:b/>
        </w:rPr>
        <w:t>id}}</w:t>
      </w:r>
    </w:p>
    <w:p>
      <w:pPr>
        <w:pStyle w:val="DraftBody"/>
      </w:pPr>
      <w:r>
        <w:t>Version: 4.7.9</w:t>
      </w:r>
    </w:p>
    <w:p>
      <w:pPr>
        <w:pStyle w:val="DraftBody"/>
      </w:pPr>
      <w:r>
        <w:t>Change ticket: CHG-1981</w:t>
      </w:r>
    </w:p>
    <w:p>
      <w:pPr>
        <w:pStyle w:val="DraftBody"/>
      </w:pPr>
      <w:r>
        <w:t>Environment: {{environment}}</w:t>
      </w:r>
    </w:p>
    <w:p>
      <w:pPr>
        <w:pStyle w:val="DraftBody"/>
      </w:pPr>
      <w:r>
        <w:t>Deployment window: 2026-09-12 21:00-22:00 UTC</w:t>
      </w:r>
    </w:p>
    <w:p>
      <w:pPr>
        <w:pStyle w:val="DraftBody"/>
      </w:pPr>
      <w:r>
        <w:t>Change freeze cutoff: {{freeze_cutoff}}</w:t>
      </w:r>
    </w:p>
    <w:p>
      <w:pPr>
        <w:pStyle w:val="DraftBody"/>
      </w:pPr>
      <w:r>
        <w:rPr>
          <w:color w:val="C00000"/>
        </w:rPr>
        <w:t xml:space="preserve">[INSERT </w:t>
      </w:r>
      <w:r>
        <w:rPr>
          <w:color w:val="C00000"/>
        </w:rPr>
        <w:t>TABLE OF CONTENTS]</w:t>
      </w:r>
    </w:p>
    <w:p>
      <w:pPr>
        <w:pStyle w:val="DraftH1"/>
      </w:pPr>
      <w:r>
        <w:t>Change Scope</w:t>
      </w:r>
    </w:p>
    <w:p>
      <w:pPr>
        <w:pStyle w:val="DraftBody"/>
      </w:pPr>
      <w:r>
        <w:t>This change promotes the Orion customer transaction path to production. The package includes all services listed below.</w:t>
      </w:r>
    </w:p>
    <w:tbl>
      <w:tblPr>
        <w:tblStyle w:val="DraftGrid"/>
        <w:tblW w:w="680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00"/>
        <w:gridCol w:w="1800"/>
        <w:gridCol w:w="1800"/>
      </w:tblGrid>
      <w:tr>
        <w:trPr>
          <w:tblHeader/>
        </w:trPr>
        <w:tc>
          <w:tcPr>
            <w:tcW w:w="3200" w:type="dxa"/>
            <w:vAlign w:val="center"/>
          </w:tcPr>
          <w:p>
            <w:pPr>
              <w:pStyle w:val="CorpTableHeader"/>
            </w:pPr>
            <w:r>
              <w:rPr>
                <w:b/>
              </w:rPr>
              <w:t>Service</w:t>
            </w:r>
          </w:p>
        </w:tc>
        <w:tc>
          <w:tcPr>
            <w:tcW w:w="1800" w:type="dxa"/>
            <w:vAlign w:val="center"/>
          </w:tcPr>
          <w:p>
            <w:pPr>
              <w:pStyle w:val="CorpTableHeader"/>
            </w:pPr>
            <w:r>
              <w:rPr>
                <w:b/>
              </w:rPr>
              <w:t>Version</w:t>
            </w:r>
          </w:p>
        </w:tc>
        <w:tc>
          <w:tcPr>
            <w:tcW w:w="1800" w:type="dxa"/>
            <w:vAlign w:val="center"/>
          </w:tcPr>
          <w:p>
            <w:pPr>
              <w:pStyle w:val="CorpTableHeader"/>
            </w:pPr>
            <w:r>
              <w:rPr>
                <w:b/>
              </w:rPr>
              <w:t>Region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CorpTableBody"/>
            </w:pPr>
            <w:r>
              <w:t>api-gateway</w:t>
            </w:r>
          </w:p>
        </w:tc>
        <w:tc>
          <w:tcPr>
            <w:tcW w:w="1800" w:type="dxa"/>
            <w:vAlign w:val="center"/>
          </w:tcPr>
          <w:p>
            <w:pPr>
              <w:pStyle w:val="CorpTableBody"/>
            </w:pPr>
            <w:r>
              <w:t>4.7.9</w:t>
            </w:r>
          </w:p>
        </w:tc>
        <w:tc>
          <w:tcPr>
            <w:tcW w:w="1800" w:type="dxa"/>
            <w:vAlign w:val="center"/>
          </w:tcPr>
          <w:p>
            <w:pPr>
              <w:pStyle w:val="CorpTableBody"/>
            </w:pPr>
            <w:r>
              <w:t>eu-west-1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CorpTableBody"/>
            </w:pPr>
            <w:r>
              <w:t>billing-worker</w:t>
            </w:r>
          </w:p>
        </w:tc>
        <w:tc>
          <w:tcPr>
            <w:tcW w:w="1800" w:type="dxa"/>
            <w:vAlign w:val="center"/>
          </w:tcPr>
          <w:p>
            <w:pPr>
              <w:pStyle w:val="CorpTableBody"/>
            </w:pPr>
            <w:r>
              <w:t>2.13.8</w:t>
            </w:r>
          </w:p>
        </w:tc>
        <w:tc>
          <w:tcPr>
            <w:tcW w:w="1800" w:type="dxa"/>
            <w:vAlign w:val="center"/>
          </w:tcPr>
          <w:p>
            <w:pPr>
              <w:pStyle w:val="CorpTableBody"/>
            </w:pPr>
            <w:r>
              <w:t>eu-west-1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CorpTableBody"/>
            </w:pPr>
            <w:r>
              <w:t>portal-web</w:t>
            </w:r>
          </w:p>
        </w:tc>
        <w:tc>
          <w:tcPr>
            <w:tcW w:w="1800" w:type="dxa"/>
            <w:vAlign w:val="center"/>
          </w:tcPr>
          <w:p>
            <w:pPr>
              <w:pStyle w:val="CorpTableBody"/>
            </w:pPr>
            <w:r>
              <w:t>7.5.0</w:t>
            </w:r>
          </w:p>
        </w:tc>
        <w:tc>
          <w:tcPr>
            <w:tcW w:w="1800" w:type="dxa"/>
            <w:vAlign w:val="center"/>
          </w:tcPr>
          <w:p>
            <w:pPr>
              <w:pStyle w:val="CorpTableBody"/>
            </w:pPr>
            <w:r>
              <w:t>global</w:t>
            </w:r>
          </w:p>
        </w:tc>
      </w:tr>
    </w:tbl>
    <w:p>
      <w:pPr>
        <w:pStyle w:val="DraftBody"/>
      </w:pPr>
      <w:r>
        <w:t>Artifact digest: {{artifact_digest}}</w:t>
      </w:r>
    </w:p>
    <w:p>
      <w:pPr>
        <w:pStyle w:val="DraftH1"/>
      </w:pPr>
      <w:r>
        <w:t>Deployment Procedure</w:t>
      </w:r>
    </w:p>
    <w:p>
      <w:pPr>
        <w:pStyle w:val="DraftBody"/>
      </w:pPr>
      <w:r>
        <w:t>DEP-01 - Confirm the change freeze is active and the bridge is open.</w:t>
      </w:r>
    </w:p>
    <w:p>
      <w:pPr>
        <w:pStyle w:val="DraftBody"/>
      </w:pPr>
      <w:r>
        <w:t>DEP-02 - Verify the signed artifact digest before promotion.</w:t>
      </w:r>
    </w:p>
    <w:p>
      <w:pPr>
        <w:pStyle w:val="DraftBody"/>
      </w:pPr>
      <w:r>
        <w:t>DEP-03 - Drain 10% of API traffic from the active pool.</w:t>
      </w:r>
    </w:p>
    <w:p>
      <w:pPr>
        <w:pStyle w:val="DraftBody"/>
      </w:pPr>
      <w:r>
        <w:t>DEP-04 - Deploy api-gateway, then wait for readiness probes to pass.</w:t>
      </w:r>
    </w:p>
    <w:p>
      <w:pPr>
        <w:pStyle w:val="DraftBody"/>
      </w:pPr>
      <w:r>
        <w:t>DEP-05 - Deploy billing-worker and confirm the queue backlog is stable.</w:t>
      </w:r>
    </w:p>
    <w:p>
      <w:pPr>
        <w:pStyle w:val="DraftBody"/>
      </w:pPr>
      <w:r>
        <w:t>DEP-06 - Publish portal-web and invalidate the global edge cache.</w:t>
      </w:r>
    </w:p>
    <w:p>
      <w:pPr>
        <w:pStyle w:val="DraftBody"/>
      </w:pPr>
      <w:r>
        <w:t>DEP-07 - Increase traffic in stages of 25%, 50%, then 100%.</w:t>
      </w:r>
    </w:p>
    <w:p>
      <w:pPr>
        <w:pStyle w:val="DraftBody"/>
      </w:pPr>
      <w:r>
        <w:t>DEP-08 - Start the post-deployment observation timer at full traffic.</w:t>
      </w:r>
    </w:p>
    <w:p>
      <w:pPr>
        <w:pStyle w:val="DraftH1"/>
      </w:pPr>
      <w:r>
        <w:t>Verification</w:t>
      </w:r>
    </w:p>
    <w:p>
      <w:pPr>
        <w:pStyle w:val="DraftBody"/>
      </w:pPr>
      <w:r>
        <w:t>Readiness endpoint: /health?mode=ready</w:t>
      </w:r>
    </w:p>
    <w:p>
      <w:pPr>
        <w:pStyle w:val="DraftBody"/>
      </w:pPr>
      <w:r>
        <w:t>VAL-01 - Call the readiness endpoint from the production bastion.</w:t>
      </w:r>
    </w:p>
    <w:p>
      <w:pPr>
        <w:pStyle w:val="DraftBody"/>
      </w:pPr>
      <w:r>
        <w:t>VAL-02 - Confirm checkout, invoice creation, and account login smoke tests pass.</w:t>
      </w:r>
    </w:p>
    <w:p>
      <w:pPr>
        <w:pStyle w:val="DraftBody"/>
      </w:pPr>
      <w:r>
        <w:t>VAL-03 - Compare p95 latency and HTTP 5xx rate with the pre-change baseline.</w:t>
      </w:r>
    </w:p>
    <w:p>
      <w:pPr>
        <w:pStyle w:val="DraftBody"/>
      </w:pPr>
      <w:r>
        <w:t>VAL-04 - Confirm no new critical alerts appear during the observation period.</w:t>
      </w:r>
    </w:p>
    <w:p>
      <w:pPr>
        <w:pStyle w:val="DraftH1"/>
      </w:pPr>
      <w:r>
        <w:t>Rollback Plan</w:t>
      </w:r>
    </w:p>
    <w:p>
      <w:pPr>
        <w:pStyle w:val="DraftH2"/>
      </w:pPr>
      <w:r>
        <w:rPr>
          <w:b/>
          <w:color w:val="C00000"/>
        </w:rPr>
        <w:t xml:space="preserve">ROLLBACK WARNING: </w:t>
      </w:r>
      <w:r>
        <w:rPr>
          <w:rFonts w:ascii="Courier New" w:hAnsi="Courier New"/>
        </w:rPr>
        <w:t>Roll back if p95 latency exceeds 500 ms for 15 minutes or the HTTP 5xx rate exceeds 3% for 10 minutes.</w:t>
      </w:r>
    </w:p>
    <w:p>
      <w:pPr>
        <w:pStyle w:val="DraftBody"/>
      </w:pPr>
      <w:r>
        <w:t>RB-01 - Stop traffic progression and announce rollback on the bridge.</w:t>
      </w:r>
    </w:p>
    <w:p>
      <w:pPr>
        <w:pStyle w:val="DraftBody"/>
      </w:pPr>
      <w:r>
        <w:t>RB-02 - Restore the prior api-gateway, billing-worker, and portal-web artifacts.</w:t>
      </w:r>
    </w:p>
    <w:p>
      <w:pPr>
        <w:pStyle w:val="DraftBody"/>
      </w:pPr>
      <w:r>
        <w:t>RB-03 - Re-run readiness and smoke tests before closing the incident channel.</w:t>
      </w:r>
    </w:p>
    <w:p>
      <w:pPr>
        <w:pStyle w:val="DraftH1"/>
      </w:pPr>
      <w:r>
        <w:t>Approvals</w:t>
      </w:r>
    </w:p>
    <w:tbl>
      <w:tblPr>
        <w:tblStyle w:val="DraftGrid"/>
        <w:tblW w:w="680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500"/>
        <w:gridCol w:w="1500"/>
        <w:gridCol w:w="1300"/>
        <w:gridCol w:w="1500"/>
      </w:tblGrid>
      <w:tr>
        <w:trPr>
          <w:tblHeader/>
        </w:trPr>
        <w:tc>
          <w:tcPr>
            <w:tcW w:w="2500" w:type="dxa"/>
            <w:vAlign w:val="center"/>
          </w:tcPr>
          <w:p>
            <w:pPr>
              <w:pStyle w:val="CorpTableHeader"/>
            </w:pPr>
            <w:r>
              <w:rPr>
                <w:b/>
              </w:rPr>
              <w:t>Role</w:t>
            </w:r>
          </w:p>
        </w:tc>
        <w:tc>
          <w:tcPr>
            <w:tcW w:w="1500" w:type="dxa"/>
            <w:vAlign w:val="center"/>
          </w:tcPr>
          <w:p>
            <w:pPr>
              <w:pStyle w:val="CorpTableHeader"/>
            </w:pPr>
            <w:r>
              <w:rPr>
                <w:b/>
              </w:rPr>
              <w:t>Name</w:t>
            </w:r>
          </w:p>
        </w:tc>
        <w:tc>
          <w:tcPr>
            <w:tcW w:w="1300" w:type="dxa"/>
            <w:vAlign w:val="center"/>
          </w:tcPr>
          <w:p>
            <w:pPr>
              <w:pStyle w:val="CorpTableHeader"/>
            </w:pPr>
            <w:r>
              <w:rPr>
                <w:b/>
              </w:rPr>
              <w:t>Status</w:t>
            </w:r>
          </w:p>
        </w:tc>
        <w:tc>
          <w:tcPr>
            <w:tcW w:w="1500" w:type="dxa"/>
            <w:vAlign w:val="center"/>
          </w:tcPr>
          <w:p>
            <w:pPr>
              <w:pStyle w:val="CorpTableHeader"/>
            </w:pPr>
            <w:r>
              <w:rPr>
                <w:b/>
              </w:rPr>
              <w:t>Decision date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CorpTableBody"/>
            </w:pPr>
            <w:r>
              <w:t>Release Manager</w:t>
            </w:r>
          </w:p>
        </w:tc>
        <w:tc>
          <w:tcPr>
            <w:tcW w:w="1500" w:type="dxa"/>
            <w:vAlign w:val="center"/>
          </w:tcPr>
          <w:p>
            <w:pPr>
              <w:pStyle w:val="CorpTableBody"/>
            </w:pPr>
            <w:r>
              <w:t>Mira Chen</w:t>
            </w:r>
          </w:p>
        </w:tc>
        <w:tc>
          <w:tcPr>
            <w:tcW w:w="1300" w:type="dxa"/>
            <w:vAlign w:val="center"/>
          </w:tcPr>
          <w:p>
            <w:pPr>
              <w:pStyle w:val="CorpTableBody"/>
            </w:pPr>
            <w:r>
              <w:t>Pending</w:t>
            </w:r>
          </w:p>
        </w:tc>
        <w:tc>
          <w:tcPr>
            <w:tcW w:w="1500" w:type="dxa"/>
            <w:vAlign w:val="center"/>
          </w:tcPr>
          <w:p>
            <w:pPr>
              <w:pStyle w:val="CorpTableBody"/>
            </w:pPr>
            <w:r>
              <w:t/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CorpTableBody"/>
            </w:pPr>
            <w:r>
              <w:t>Site Reliability Engineering</w:t>
            </w:r>
          </w:p>
        </w:tc>
        <w:tc>
          <w:tcPr>
            <w:tcW w:w="1500" w:type="dxa"/>
            <w:vAlign w:val="center"/>
          </w:tcPr>
          <w:p>
            <w:pPr>
              <w:pStyle w:val="CorpTableBody"/>
            </w:pPr>
            <w:r>
              <w:t>Jonah Patel</w:t>
            </w:r>
          </w:p>
        </w:tc>
        <w:tc>
          <w:tcPr>
            <w:tcW w:w="1300" w:type="dxa"/>
            <w:vAlign w:val="center"/>
          </w:tcPr>
          <w:p>
            <w:pPr>
              <w:pStyle w:val="CorpTableBody"/>
            </w:pPr>
            <w:r>
              <w:t>Pending</w:t>
            </w:r>
          </w:p>
        </w:tc>
        <w:tc>
          <w:tcPr>
            <w:tcW w:w="1500" w:type="dxa"/>
            <w:vAlign w:val="center"/>
          </w:tcPr>
          <w:p>
            <w:pPr>
              <w:pStyle w:val="CorpTableBody"/>
            </w:pPr>
            <w:r>
              <w:t/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CorpTableBody"/>
            </w:pPr>
            <w:r>
              <w:t>Security</w:t>
            </w:r>
          </w:p>
        </w:tc>
        <w:tc>
          <w:tcPr>
            <w:tcW w:w="1500" w:type="dxa"/>
            <w:vAlign w:val="center"/>
          </w:tcPr>
          <w:p>
            <w:pPr>
              <w:pStyle w:val="CorpTableBody"/>
            </w:pPr>
            <w:r>
              <w:t>Asha Bell</w:t>
            </w:r>
          </w:p>
        </w:tc>
        <w:tc>
          <w:tcPr>
            <w:tcW w:w="1300" w:type="dxa"/>
            <w:vAlign w:val="center"/>
          </w:tcPr>
          <w:p>
            <w:pPr>
              <w:pStyle w:val="CorpTableBody"/>
            </w:pPr>
            <w:r>
              <w:t>Pending</w:t>
            </w:r>
          </w:p>
        </w:tc>
        <w:tc>
          <w:tcPr>
            <w:tcW w:w="1500" w:type="dxa"/>
            <w:vAlign w:val="center"/>
          </w:tcPr>
          <w:p>
            <w:pPr>
              <w:pStyle w:val="CorpTableBody"/>
            </w:pPr>
            <w:r>
              <w:t/>
            </w:r>
          </w:p>
        </w:tc>
      </w:tr>
    </w:tbl>
    <w:p>
      <w:pPr>
        <w:pStyle w:val="DraftBody"/>
      </w:pPr>
      <w:r>
        <w:rPr>
          <w:i/>
          <w:color w:val="C00000"/>
        </w:rPr>
        <w:t>DRAFT NOTE: Replace placeholders and reconcile values before approval.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</w:docDefaults>
  <w:style w:type="paragraph" w:default="1" w:styleId="Normal">
    <w:name w:val="Normal"/>
  </w:style>
  <w:style w:type="paragraph" w:styleId="DraftTitle">
    <w:name w:val="Draft Title"/>
    <w:basedOn w:val="Normal"/>
    <w:pPr>
      <w:jc w:val="center"/>
    </w:pPr>
    <w:rPr>
      <w:b/>
      <w:color w:val="7F6000"/>
      <w:sz w:val="34"/>
    </w:rPr>
  </w:style>
  <w:style w:type="paragraph" w:styleId="DraftH1">
    <w:name w:val="Draft Heading 1"/>
    <w:basedOn w:val="Normal"/>
    <w:pPr>
      <w:outlineLvl w:val="0"/>
    </w:pPr>
    <w:rPr>
      <w:b/>
      <w:color w:val="C65911"/>
      <w:sz w:val="28"/>
    </w:rPr>
  </w:style>
  <w:style w:type="paragraph" w:styleId="DraftH2">
    <w:name w:val="Draft Heading 2"/>
    <w:basedOn w:val="Normal"/>
    <w:pPr>
      <w:outlineLvl w:val="1"/>
    </w:pPr>
    <w:rPr>
      <w:b/>
      <w:color w:val="BF9000"/>
      <w:sz w:val="24"/>
    </w:rPr>
  </w:style>
  <w:style w:type="paragraph" w:styleId="DraftBody">
    <w:name w:val="Draft Body"/>
    <w:basedOn w:val="Normal"/>
  </w:style>
  <w:style w:type="table" w:styleId="DraftGrid">
    <w:name w:val="Draft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Northstar Document Builder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Orion production change packet draft</dc:title>
  <dc:creator>Northstar Engineering</dc:creator>
  <cp:lastModifiedBy>Northstar Engineering</cp:lastModifiedBy>
  <dcterms:created xsi:type="dcterms:W3CDTF">2026-09-09T00:00:00Z</dcterms:created>
  <dcterms:modified xsi:type="dcterms:W3CDTF">2026-09-09T00:00:00Z</dcterms:modified>
</cp:coreProperties>
</file>