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i w:val="0"/>
          <w:color w:val="1F4E79"/>
          <w:sz w:val="34"/>
        </w:rPr>
        <w:t>30-Day Care Plan</w:t>
      </w:r>
    </w:p>
    <w:p>
      <w:pPr>
        <w:spacing w:after="160"/>
        <w:jc w:val="center"/>
      </w:pPr>
      <w:r>
        <w:rPr>
          <w:b w:val="0"/>
          <w:i w:val="0"/>
          <w:color w:val="4F81BD"/>
          <w:sz w:val="20"/>
        </w:rPr>
        <w:t>Projected visit schedule: December 9, 2025 to January 6,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DE3"/>
          <w:left w:val="single" w:sz="8" w:space="0" w:color="B7CDE3"/>
          <w:bottom w:val="single" w:sz="8" w:space="0" w:color="B7CDE3"/>
          <w:right w:val="single" w:sz="8" w:space="0" w:color="B7CDE3"/>
          <w:insideH w:val="single" w:sz="8" w:space="0" w:color="B7CDE3"/>
          <w:insideV w:val="single" w:sz="8" w:space="0" w:color="B7CDE3"/>
        </w:tblBorders>
      </w:tblPr>
      <w:tblGrid>
        <w:gridCol w:w="5184"/>
        <w:gridCol w:w="5184"/>
      </w:tblGrid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Client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Jordan Gonzalez | Dx F33.3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Clinical profile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LOC 3; Risk of Harm 56; Functional Status 49; Co-Morbidity 57; Profile score 32; Weighted score 17.43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Plan basis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Maintain LOC 3 with structured outpatient/community support, no projected ED or inpatient events, and holiday-adjusted weekday scheduling.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Review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January 6, 2026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1F4E79"/>
          <w:sz w:val="21"/>
        </w:rPr>
        <w:t xml:space="preserve">Projected service mix: </w:t>
      </w:r>
      <w:r>
        <w:rPr>
          <w:b w:val="0"/>
          <w:i w:val="0"/>
          <w:sz w:val="20"/>
        </w:rPr>
        <w:t>11 community psychiatry visits, 4 medication-management contacts, 1 nursing check, 1 PCP touchpoint, and 1 specialty support visit. Non-visit days remain open for wraparound monitoring and safety-plan reinforcement.</w:t>
      </w:r>
    </w:p>
    <w:p>
      <w:pPr>
        <w:spacing w:before="0" w:after="80"/>
      </w:pPr>
      <w:r>
        <w:rPr>
          <w:b/>
          <w:i w:val="0"/>
          <w:color w:val="1F4E79"/>
          <w:sz w:val="25"/>
        </w:rPr>
        <w:t>Treatment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3F0"/>
          <w:left w:val="single" w:sz="5" w:space="0" w:color="D6E3F0"/>
          <w:bottom w:val="single" w:sz="5" w:space="0" w:color="D6E3F0"/>
          <w:right w:val="single" w:sz="5" w:space="0" w:color="D6E3F0"/>
          <w:insideH w:val="single" w:sz="5" w:space="0" w:color="D6E3F0"/>
          <w:insideV w:val="single" w:sz="5" w:space="0" w:color="D6E3F0"/>
        </w:tblBorders>
      </w:tblPr>
      <w:tblGrid>
        <w:gridCol w:w="2520"/>
        <w:gridCol w:w="4608"/>
        <w:gridCol w:w="1440"/>
        <w:gridCol w:w="1368"/>
      </w:tblGrid>
      <w:tr>
        <w:tc>
          <w:tcPr>
            <w:tcW w:type="dxa" w:w="2592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Priority</w:t>
            </w:r>
          </w:p>
        </w:tc>
        <w:tc>
          <w:tcPr>
            <w:tcW w:type="dxa" w:w="2592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Intervention</w:t>
            </w:r>
          </w:p>
        </w:tc>
        <w:tc>
          <w:tcPr>
            <w:tcW w:type="dxa" w:w="2592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Frequency</w:t>
            </w:r>
          </w:p>
        </w:tc>
        <w:tc>
          <w:tcPr>
            <w:tcW w:type="dxa" w:w="2592"/>
            <w:shd w:fill="D9EAF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Lead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Mood / psychosis stabilization</w:t>
            </w:r>
          </w:p>
        </w:tc>
        <w:tc>
          <w:tcPr>
            <w:tcW w:type="dxa" w:w="460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 visits focused on symptom check, coping, sleep, routine, and relapse prevention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2x/week; 3x in first projected week</w:t>
            </w:r>
          </w:p>
        </w:tc>
        <w:tc>
          <w:tcPr>
            <w:tcW w:type="dxa" w:w="13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Medication adherence</w:t>
            </w:r>
          </w:p>
        </w:tc>
        <w:tc>
          <w:tcPr>
            <w:tcW w:type="dxa" w:w="460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Psych prescriber / med-management contact with adherence and side-effect review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1x/week</w:t>
            </w:r>
          </w:p>
        </w:tc>
        <w:tc>
          <w:tcPr>
            <w:tcW w:type="dxa" w:w="13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Prescriber / Med Mgmt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Medical / functional monitoring</w:t>
            </w:r>
          </w:p>
        </w:tc>
        <w:tc>
          <w:tcPr>
            <w:tcW w:type="dxa" w:w="460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One nursing check and one PCP coordination touchpoint during 30-day window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Nursing 1x; PCP 1x</w:t>
            </w:r>
          </w:p>
        </w:tc>
        <w:tc>
          <w:tcPr>
            <w:tcW w:type="dxa" w:w="13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Nursing / PCP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stability</w:t>
            </w:r>
          </w:p>
        </w:tc>
        <w:tc>
          <w:tcPr>
            <w:tcW w:type="dxa" w:w="460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Continue case management and wraparound support coordination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13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Case Management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Escalation prevention</w:t>
            </w:r>
          </w:p>
        </w:tc>
        <w:tc>
          <w:tcPr>
            <w:tcW w:type="dxa" w:w="460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Reinforce safety plan, crisis contacts, and rapid follow-up after holidays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Throughout 30 days</w:t>
            </w:r>
          </w:p>
        </w:tc>
        <w:tc>
          <w:tcPr>
            <w:tcW w:type="dxa" w:w="13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Whole team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i w:val="0"/>
          <w:color w:val="1F4E79"/>
          <w:sz w:val="25"/>
        </w:rPr>
        <w:t>Planned visit cadence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3F0"/>
          <w:left w:val="single" w:sz="5" w:space="0" w:color="D6E3F0"/>
          <w:bottom w:val="single" w:sz="5" w:space="0" w:color="D6E3F0"/>
          <w:right w:val="single" w:sz="5" w:space="0" w:color="D6E3F0"/>
          <w:insideH w:val="single" w:sz="5" w:space="0" w:color="D6E3F0"/>
          <w:insideV w:val="single" w:sz="5" w:space="0" w:color="D6E3F0"/>
        </w:tblBorders>
      </w:tblPr>
      <w:tblGrid>
        <w:gridCol w:w="2304"/>
        <w:gridCol w:w="2304"/>
        <w:gridCol w:w="1440"/>
        <w:gridCol w:w="1152"/>
        <w:gridCol w:w="1440"/>
      </w:tblGrid>
      <w:tr>
        <w:tc>
          <w:tcPr>
            <w:tcW w:type="dxa" w:w="2074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Community</w:t>
              <w:br/>
              <w:t>Psych</w:t>
            </w:r>
          </w:p>
        </w:tc>
        <w:tc>
          <w:tcPr>
            <w:tcW w:type="dxa" w:w="2074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Medication</w:t>
              <w:br/>
              <w:t>Mgmt</w:t>
            </w:r>
          </w:p>
        </w:tc>
        <w:tc>
          <w:tcPr>
            <w:tcW w:type="dxa" w:w="2074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Nursing</w:t>
            </w:r>
          </w:p>
        </w:tc>
        <w:tc>
          <w:tcPr>
            <w:tcW w:type="dxa" w:w="2074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PCP</w:t>
            </w:r>
          </w:p>
        </w:tc>
        <w:tc>
          <w:tcPr>
            <w:tcW w:type="dxa" w:w="2074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Specialty</w:t>
            </w:r>
          </w:p>
        </w:tc>
      </w:tr>
      <w:tr>
        <w:tc>
          <w:tcPr>
            <w:tcW w:type="dxa" w:w="230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230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4E79"/>
          <w:sz w:val="25"/>
        </w:rPr>
        <w:t>Scheduled visits</w:t>
      </w:r>
    </w:p>
    <w:p>
      <w:pPr>
        <w:spacing w:after="100"/>
      </w:pPr>
      <w:r>
        <w:rPr>
          <w:b/>
          <w:i w:val="0"/>
          <w:sz w:val="19"/>
        </w:rPr>
        <w:t xml:space="preserve">Note: </w:t>
      </w:r>
      <w:r>
        <w:rPr>
          <w:b w:val="0"/>
          <w:i w:val="0"/>
          <w:sz w:val="19"/>
        </w:rPr>
        <w:t>Non-visit days are reserved for wraparound support and monitoring without a projected face-to-face appointment.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DD8E5"/>
          <w:left w:val="single" w:sz="5" w:space="0" w:color="CDD8E5"/>
          <w:bottom w:val="single" w:sz="5" w:space="0" w:color="CDD8E5"/>
          <w:right w:val="single" w:sz="5" w:space="0" w:color="CDD8E5"/>
          <w:insideH w:val="single" w:sz="5" w:space="0" w:color="CDD8E5"/>
          <w:insideV w:val="single" w:sz="5" w:space="0" w:color="CDD8E5"/>
        </w:tblBorders>
      </w:tblPr>
      <w:tblGrid>
        <w:gridCol w:w="1656"/>
        <w:gridCol w:w="1368"/>
        <w:gridCol w:w="2520"/>
        <w:gridCol w:w="4320"/>
      </w:tblGrid>
      <w:tr>
        <w:tc>
          <w:tcPr>
            <w:tcW w:type="dxa" w:w="259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Day</w:t>
            </w:r>
          </w:p>
        </w:tc>
        <w:tc>
          <w:tcPr>
            <w:tcW w:type="dxa" w:w="259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Visit</w:t>
            </w:r>
          </w:p>
        </w:tc>
        <w:tc>
          <w:tcPr>
            <w:tcW w:type="dxa" w:w="259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Focus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09,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Tuesday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Resume structured community follow-up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10,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Wednesday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Medication Management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Medication adherence / side-effect review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11,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Thursday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Symptom check and coping rehearsal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12,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Friday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Extra early-week support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15,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Monday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Nursing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Nursing check-in for functional / medical monitoring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16,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Tuesday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stabilization visit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17,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Wednesday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Medication Management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Weekly med-management review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18,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Thursday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follow-up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22,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Monday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PCP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PCP coordination touchpoint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23,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Tuesday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Pre-holiday symptom support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24,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Wednesday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Medication Management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Holiday medication check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26,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Friday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Post-holiday check shifted from Thursday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29,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Monday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Additional support after holiday weekend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30,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Tuesday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follow-up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Dec 31, 2025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Wednesday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Medication Management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Year-end med-management review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Jan 02, 2026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Friday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New-year re-engagement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Jan 05, 2026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Monday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Specialty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Specialty / therapy support touchpoint</w:t>
            </w:r>
          </w:p>
        </w:tc>
      </w:tr>
      <w:tr>
        <w:tc>
          <w:tcPr>
            <w:tcW w:type="dxa" w:w="165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Jan 06, 2026</w:t>
            </w:r>
          </w:p>
        </w:tc>
        <w:tc>
          <w:tcPr>
            <w:tcW w:type="dxa" w:w="13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Tuesday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Community Psych</w:t>
            </w:r>
          </w:p>
        </w:tc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7FBFF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8"/>
              </w:rPr>
              <w:t>30-day review visit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B6B6B"/>
        <w:sz w:val="16"/>
      </w:rPr>
      <w:t>Projected from the 30-day extension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30-Day Care Plan with Scheduled Visits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