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Household</w:t>
      </w:r>
      <w:r>
        <w:t xml:space="preserve"> </w:t>
      </w:r>
      <w:r>
        <w:t xml:space="preserve">Energy</w:t>
      </w:r>
      <w:r>
        <w:t xml:space="preserve"> </w:t>
      </w:r>
      <w:r>
        <w:t xml:space="preserve">Transitions</w:t>
      </w:r>
      <w:r>
        <w:t xml:space="preserve"> </w:t>
      </w:r>
      <w:r>
        <w:t xml:space="preserve">Work?</w:t>
      </w:r>
    </w:p>
    <w:p>
      <w:pPr>
        <w:pStyle w:val="Author"/>
      </w:pPr>
      <w:r>
        <w:t xml:space="preserve">Jill</w:t>
      </w:r>
      <w:r>
        <w:t xml:space="preserve"> </w:t>
      </w:r>
      <w:r>
        <w:t xml:space="preserve">Baumgartner</w:t>
      </w:r>
      <w:r>
        <w:t xml:space="preserve"> </w:t>
      </w:r>
      <w:r>
        <w:t xml:space="preserve">(Co-PI)</w:t>
      </w:r>
    </w:p>
    <w:p>
      <w:pPr>
        <w:pStyle w:val="Author"/>
      </w:pPr>
      <w:r>
        <w:t xml:space="preserve">Sam</w:t>
      </w:r>
      <w:r>
        <w:t xml:space="preserve"> </w:t>
      </w:r>
      <w:r>
        <w:t xml:space="preserve">Harper</w:t>
      </w:r>
      <w:r>
        <w:t xml:space="preserve"> </w:t>
      </w:r>
      <w:r>
        <w:t xml:space="preserve">(Co-PI)</w:t>
      </w:r>
    </w:p>
    <w:p>
      <w:pPr>
        <w:pStyle w:val="Author"/>
      </w:pPr>
      <w:r>
        <w:t xml:space="preserve">On</w:t>
      </w:r>
      <w:r>
        <w:t xml:space="preserve"> </w:t>
      </w:r>
      <w:r>
        <w:t xml:space="preserve">behalf</w:t>
      </w:r>
      <w:r>
        <w:t xml:space="preserve"> </w:t>
      </w:r>
      <w:r>
        <w:t xml:space="preserve">of</w:t>
      </w:r>
      <w:r>
        <w:t xml:space="preserve"> </w:t>
      </w:r>
      <w:r>
        <w:t xml:space="preserve">the</w:t>
      </w:r>
      <w:r>
        <w:t xml:space="preserve"> </w:t>
      </w:r>
      <w:r>
        <w:t xml:space="preserve">Beijing</w:t>
      </w:r>
      <w:r>
        <w:t xml:space="preserve"> </w:t>
      </w:r>
      <w:r>
        <w:t xml:space="preserve">Household</w:t>
      </w:r>
      <w:r>
        <w:t xml:space="preserve"> </w:t>
      </w:r>
      <w:r>
        <w:t xml:space="preserve">Energy</w:t>
      </w:r>
      <w:r>
        <w:t xml:space="preserve"> </w:t>
      </w:r>
      <w:r>
        <w:t xml:space="preserve">Transitions</w:t>
      </w:r>
      <w:r>
        <w:t xml:space="preserve"> </w:t>
      </w:r>
      <w:r>
        <w:t xml:space="preserve">Team</w:t>
      </w:r>
    </w:p>
    <w:p>
      <w:pPr>
        <w:pStyle w:val="Date"/>
      </w:pPr>
      <w:r>
        <w:t xml:space="preserve">2024-07-17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4" w:name="introduction"/>
    <w:p>
      <w:pPr>
        <w:pStyle w:val="Heading1"/>
      </w:pPr>
      <w:r>
        <w:t xml:space="preserve">1. Introduction</w:t>
      </w:r>
    </w:p>
    <w:p>
      <w:pPr>
        <w:pStyle w:val="FirstParagraph"/>
      </w:pPr>
      <w:r>
        <w:t xml:space="preserve">China is deploying an ambitious policy to transition up to 70% of households in northern China from residential coal heating to electric or gas</w:t>
      </w:r>
      <w:r>
        <w:t xml:space="preserve"> </w:t>
      </w:r>
      <w:r>
        <w:t xml:space="preserve">“</w:t>
      </w:r>
      <w:r>
        <w:t xml:space="preserve">clean</w:t>
      </w:r>
      <w:r>
        <w:t xml:space="preserve">”</w:t>
      </w:r>
      <w:r>
        <w:t xml:space="preserve"> </w:t>
      </w:r>
      <w:r>
        <w:t xml:space="preserve">space heating, including a large-scale roll out across rural and peri-urban Beijing, referred to in this document as China’s Coal Ban and Heat Pump (CBHP) subsidy policy. To meet this target the Beijing municipal government announced a two-pronged program that designates coal-restricted areas and simultaneously offers subsidies to night-time electricity rates and for the purchase and installation of electric-powered heat pumps to replace traditional coal-heating stoves. The policy was piloted in 2015 and, starting in 2016, was rolled out on a village-by-village basis. The variability in when the policy was applied to each village allowed us to treat the roll-out of the program as a quasi-randomized intervention and evaluate its impacts on air quality and health. Household air pollution is a well-established risk factor for adverse health outcomes over the entire lifecourse, yet there is no consensus that clean energy interventions can improve these health outcomes based on evidence from randomized trials</w:t>
      </w:r>
      <w:r>
        <w:t xml:space="preserve"> </w:t>
      </w:r>
      <w:r>
        <w:t xml:space="preserve">(Lai et al. 2024)</w:t>
      </w:r>
      <w:r>
        <w:t xml:space="preserve">. Households may be differentially affected by the CBHP due to factors such as financial constraints and user preferences, and there is uncertainty about whether and how the policy may affect indoor and outdoor air pollution, as well as heating behaviors and health outcomes.</w:t>
      </w:r>
    </w:p>
    <w:p>
      <w:pPr>
        <w:pStyle w:val="BodyText"/>
      </w:pPr>
      <w:r>
        <w:t xml:space="preserve">First table:</w:t>
      </w:r>
    </w:p>
    <w:tbl>
      <w:tblPr>
        <w:tblStyle w:val="Table"/>
        <w:tblW w:type="pct" w:w="5000"/>
        <w:tblLook w:firstRow="0" w:lastRow="0" w:firstColumn="0" w:lastColumn="0" w:noHBand="0" w:noVBand="0" w:val="0000"/>
        <w:jc w:val="start"/>
        <w:tblLayout w:type="fixed"/>
      </w:tblPr>
      <w:tblGrid>
        <w:gridCol w:w="7920"/>
      </w:tblGrid>
      <w:tr>
        <w:tc>
          <w:tcPr/>
          <w:bookmarkStart w:id="20" w:name="tbl-pm-sample"/>
          <w:p>
            <w:pPr>
              <w:jc w:val="center"/>
            </w:pPr>
            <w:pPr>
              <w:jc w:val="start"/>
              <w:spacing w:before="200"/>
              <w:pStyle w:val="ImageCaption"/>
            </w:pPr>
            <w:r>
              <w:t xml:space="preserve">Table 1: Household recruitment for overall and indoor air quality measurements.</w:t>
            </w:r>
          </w:p>
          <w:tbl>
            <w:tblPr>
              <w:tblStyle w:val="Table"/>
              <w:tblW w:type="pct" w:w="4663"/>
              <w:tblLook w:firstRow="1" w:lastRow="0" w:firstColumn="0" w:lastColumn="0" w:noHBand="0" w:noVBand="0" w:val="0020"/>
              <w:jc w:val="start"/>
              <w:tblLayout w:type="fixed"/>
            </w:tblPr>
            <w:tblGrid>
              <w:gridCol w:w="1779"/>
              <w:gridCol w:w="800"/>
              <w:gridCol w:w="800"/>
              <w:gridCol w:w="800"/>
              <w:gridCol w:w="800"/>
              <w:gridCol w:w="800"/>
              <w:gridCol w:w="800"/>
              <w:gridCol w:w="800"/>
            </w:tblGrid>
            <w:tr>
              <w:trPr>
                <w:tblHeader w:val="true"/>
              </w:trPr>
              <w:tc>
                <w:tcPr/>
                <w:p>
                  <w:pPr>
                    <w:pStyle w:val="Compact"/>
                  </w:pPr>
                </w:p>
              </w:tc>
              <w:tc>
                <w:tcPr>
                  <w:gridSpan w:val="3"/>
                </w:tcPr>
                <w:p>
                  <w:pPr>
                    <w:pStyle w:val="Compact"/>
                    <w:jc w:val="left"/>
                    <w:jc w:val="center"/>
                  </w:pPr>
                  <w:r>
                    <w:t xml:space="preserve">Overall</w:t>
                  </w:r>
                </w:p>
              </w:tc>
              <w:tc>
                <w:tcPr>
                  <w:gridSpan w:val="4"/>
                </w:tcPr>
                <w:p>
                  <w:pPr>
                    <w:pStyle w:val="Compact"/>
                    <w:jc w:val="left"/>
                    <w:jc w:val="center"/>
                  </w:pPr>
                  <w:r>
                    <w:t xml:space="preserve">Indoor</w:t>
                  </w:r>
                </w:p>
              </w:tc>
            </w:tr>
            <w:tr>
              <w:trPr>
                <w:tblHeader w:val="true"/>
              </w:trPr>
              <w:tc>
                <w:tcPr/>
                <w:p>
                  <w:pPr>
                    <w:pStyle w:val="Compact"/>
                    <w:jc w:val="left"/>
                    <w:jc w:val="center"/>
                  </w:pPr>
                  <w:r>
                    <w:t xml:space="preserve">Sample</w:t>
                  </w:r>
                </w:p>
              </w:tc>
              <w:tc>
                <w:tcPr/>
                <w:p>
                  <w:pPr>
                    <w:pStyle w:val="Compact"/>
                    <w:jc w:val="left"/>
                    <w:jc w:val="center"/>
                  </w:pPr>
                  <w:r>
                    <w:t xml:space="preserve">Wave 1</w:t>
                  </w:r>
                </w:p>
              </w:tc>
              <w:tc>
                <w:tcPr/>
                <w:p>
                  <w:pPr>
                    <w:pStyle w:val="Compact"/>
                    <w:jc w:val="left"/>
                    <w:jc w:val="center"/>
                  </w:pPr>
                  <w:r>
                    <w:t xml:space="preserve">Wave 2</w:t>
                  </w:r>
                </w:p>
              </w:tc>
              <w:tc>
                <w:tcPr/>
                <w:p>
                  <w:pPr>
                    <w:pStyle w:val="Compact"/>
                    <w:jc w:val="left"/>
                    <w:jc w:val="center"/>
                  </w:pPr>
                  <w:r>
                    <w:t xml:space="preserve">Wave 4</w:t>
                  </w:r>
                </w:p>
              </w:tc>
              <w:tc>
                <w:tcPr/>
                <w:p>
                  <w:pPr>
                    <w:pStyle w:val="Compact"/>
                    <w:jc w:val="left"/>
                    <w:jc w:val="center"/>
                  </w:pPr>
                  <w:r>
                    <w:t xml:space="preserve">Wave 1</w:t>
                  </w:r>
                </w:p>
              </w:tc>
              <w:tc>
                <w:tcPr/>
                <w:p>
                  <w:pPr>
                    <w:pStyle w:val="Compact"/>
                    <w:jc w:val="left"/>
                    <w:jc w:val="center"/>
                  </w:pPr>
                  <w:r>
                    <w:t xml:space="preserve">Wave 2</w:t>
                  </w:r>
                </w:p>
              </w:tc>
              <w:tc>
                <w:tcPr/>
                <w:p>
                  <w:pPr>
                    <w:pStyle w:val="Compact"/>
                    <w:jc w:val="left"/>
                    <w:jc w:val="center"/>
                  </w:pPr>
                  <w:r>
                    <w:t xml:space="preserve">Wave 3</w:t>
                  </w:r>
                </w:p>
              </w:tc>
              <w:tc>
                <w:tcPr/>
                <w:p>
                  <w:pPr>
                    <w:pStyle w:val="Compact"/>
                    <w:jc w:val="left"/>
                    <w:jc w:val="center"/>
                  </w:pPr>
                  <w:r>
                    <w:t xml:space="preserve">Wave 4</w:t>
                  </w:r>
                </w:p>
              </w:tc>
            </w:tr>
            <w:tr>
              <w:tc>
                <w:tcPr/>
                <w:p>
                  <w:pPr>
                    <w:pStyle w:val="Compact"/>
                    <w:jc w:val="left"/>
                    <w:jc w:val="center"/>
                  </w:pPr>
                  <w:r>
                    <w:t xml:space="preserve">New recruitment</w:t>
                  </w:r>
                </w:p>
              </w:tc>
              <w:tc>
                <w:tcPr/>
                <w:p>
                  <w:pPr>
                    <w:pStyle w:val="Compact"/>
                    <w:jc w:val="left"/>
                    <w:jc w:val="center"/>
                  </w:pPr>
                  <w:r>
                    <w:t xml:space="preserve">977</w:t>
                  </w:r>
                </w:p>
              </w:tc>
              <w:tc>
                <w:tcPr/>
                <w:p>
                  <w:pPr>
                    <w:pStyle w:val="Compact"/>
                    <w:jc w:val="left"/>
                    <w:jc w:val="center"/>
                  </w:pPr>
                  <w:r>
                    <w:t xml:space="preserve">196</w:t>
                  </w:r>
                </w:p>
              </w:tc>
              <w:tc>
                <w:tcPr/>
                <w:p>
                  <w:pPr>
                    <w:pStyle w:val="Compact"/>
                    <w:jc w:val="left"/>
                    <w:jc w:val="center"/>
                  </w:pPr>
                  <w:r>
                    <w:t xml:space="preserve">68</w:t>
                  </w:r>
                </w:p>
              </w:tc>
              <w:tc>
                <w:tcPr/>
                <w:p>
                  <w:pPr>
                    <w:pStyle w:val="Compact"/>
                    <w:jc w:val="left"/>
                    <w:jc w:val="center"/>
                  </w:pPr>
                  <w:r>
                    <w:t xml:space="preserve">0</w:t>
                  </w:r>
                </w:p>
              </w:tc>
              <w:tc>
                <w:tcPr/>
                <w:p>
                  <w:pPr>
                    <w:pStyle w:val="Compact"/>
                    <w:jc w:val="left"/>
                    <w:jc w:val="center"/>
                  </w:pPr>
                  <w:r>
                    <w:t xml:space="preserve">300</w:t>
                  </w:r>
                </w:p>
              </w:tc>
              <w:tc>
                <w:tcPr/>
                <w:p>
                  <w:pPr>
                    <w:pStyle w:val="Compact"/>
                    <w:jc w:val="left"/>
                    <w:jc w:val="center"/>
                  </w:pPr>
                  <w:r>
                    <w:t xml:space="preserve">0</w:t>
                  </w:r>
                </w:p>
              </w:tc>
              <w:tc>
                <w:tcPr/>
                <w:p>
                  <w:pPr>
                    <w:pStyle w:val="Compact"/>
                    <w:jc w:val="left"/>
                    <w:jc w:val="center"/>
                  </w:pPr>
                  <w:r>
                    <w:t xml:space="preserve">52</w:t>
                  </w:r>
                </w:p>
              </w:tc>
            </w:tr>
            <w:tr>
              <w:tc>
                <w:tcPr/>
                <w:p>
                  <w:pPr>
                    <w:pStyle w:val="Compact"/>
                    <w:jc w:val="left"/>
                    <w:jc w:val="center"/>
                  </w:pPr>
                  <w:r>
                    <w:t xml:space="preserve">Wave 1 households</w:t>
                  </w:r>
                </w:p>
              </w:tc>
              <w:tc>
                <w:tcPr/>
                <w:p/>
              </w:tc>
              <w:tc>
                <w:tcPr/>
                <w:p>
                  <w:pPr>
                    <w:pStyle w:val="Compact"/>
                    <w:jc w:val="left"/>
                    <w:jc w:val="center"/>
                  </w:pPr>
                  <w:r>
                    <w:t xml:space="preserve">866</w:t>
                  </w:r>
                </w:p>
              </w:tc>
              <w:tc>
                <w:tcPr/>
                <w:p>
                  <w:pPr>
                    <w:pStyle w:val="Compact"/>
                    <w:jc w:val="left"/>
                    <w:jc w:val="center"/>
                  </w:pPr>
                  <w:r>
                    <w:t xml:space="preserve">780</w:t>
                  </w:r>
                </w:p>
              </w:tc>
              <w:tc>
                <w:tcPr/>
                <w:p/>
              </w:tc>
              <w:tc>
                <w:tcPr/>
                <w:p>
                  <w:pPr>
                    <w:pStyle w:val="Compact"/>
                    <w:jc w:val="left"/>
                    <w:jc w:val="center"/>
                  </w:pPr>
                  <w:r>
                    <w:t xml:space="preserve">0</w:t>
                  </w:r>
                </w:p>
              </w:tc>
              <w:tc>
                <w:tcPr/>
                <w:p>
                  <w:pPr>
                    <w:pStyle w:val="Compact"/>
                    <w:jc w:val="left"/>
                    <w:jc w:val="center"/>
                  </w:pPr>
                  <w:r>
                    <w:t xml:space="preserve">0</w:t>
                  </w:r>
                </w:p>
              </w:tc>
              <w:tc>
                <w:tcPr/>
                <w:p>
                  <w:pPr>
                    <w:pStyle w:val="Compact"/>
                    <w:jc w:val="left"/>
                    <w:jc w:val="center"/>
                  </w:pPr>
                  <w:r>
                    <w:t xml:space="preserve">0</w:t>
                  </w:r>
                </w:p>
              </w:tc>
            </w:tr>
            <w:tr>
              <w:tc>
                <w:tcPr/>
                <w:p>
                  <w:pPr>
                    <w:pStyle w:val="Compact"/>
                    <w:jc w:val="left"/>
                    <w:jc w:val="center"/>
                  </w:pPr>
                  <w:r>
                    <w:t xml:space="preserve">Wave 2 households</w:t>
                  </w:r>
                </w:p>
              </w:tc>
              <w:tc>
                <w:tcPr/>
                <w:p/>
              </w:tc>
              <w:tc>
                <w:tcPr/>
                <w:p/>
              </w:tc>
              <w:tc>
                <w:tcPr/>
                <w:p>
                  <w:pPr>
                    <w:pStyle w:val="Compact"/>
                    <w:jc w:val="left"/>
                    <w:jc w:val="center"/>
                  </w:pPr>
                  <w:r>
                    <w:t xml:space="preserve">162</w:t>
                  </w:r>
                </w:p>
              </w:tc>
              <w:tc>
                <w:tcPr/>
                <w:p/>
              </w:tc>
              <w:tc>
                <w:tcPr/>
                <w:p/>
              </w:tc>
              <w:tc>
                <w:tcPr/>
                <w:p>
                  <w:pPr>
                    <w:pStyle w:val="Compact"/>
                    <w:jc w:val="left"/>
                    <w:jc w:val="center"/>
                  </w:pPr>
                  <w:r>
                    <w:t xml:space="preserve">246</w:t>
                  </w:r>
                </w:p>
              </w:tc>
              <w:tc>
                <w:tcPr/>
                <w:p>
                  <w:pPr>
                    <w:pStyle w:val="Compact"/>
                    <w:jc w:val="left"/>
                    <w:jc w:val="center"/>
                  </w:pPr>
                  <w:r>
                    <w:t xml:space="preserve">248</w:t>
                  </w:r>
                </w:p>
              </w:tc>
            </w:tr>
            <w:tr>
              <w:tc>
                <w:tcPr/>
                <w:p>
                  <w:pPr>
                    <w:pStyle w:val="Compact"/>
                    <w:jc w:val="left"/>
                    <w:jc w:val="center"/>
                  </w:pPr>
                  <w:r>
                    <w:t xml:space="preserve">Total recruitment</w:t>
                  </w:r>
                </w:p>
              </w:tc>
              <w:tc>
                <w:tcPr/>
                <w:p>
                  <w:pPr>
                    <w:pStyle w:val="Compact"/>
                    <w:jc w:val="left"/>
                    <w:jc w:val="center"/>
                  </w:pPr>
                  <w:r>
                    <w:t xml:space="preserve">977</w:t>
                  </w:r>
                </w:p>
              </w:tc>
              <w:tc>
                <w:tcPr/>
                <w:p>
                  <w:pPr>
                    <w:pStyle w:val="Compact"/>
                    <w:jc w:val="left"/>
                    <w:jc w:val="center"/>
                  </w:pPr>
                  <w:r>
                    <w:t xml:space="preserve">1062</w:t>
                  </w:r>
                </w:p>
              </w:tc>
              <w:tc>
                <w:tcPr/>
                <w:p>
                  <w:pPr>
                    <w:pStyle w:val="Compact"/>
                    <w:jc w:val="left"/>
                    <w:jc w:val="center"/>
                  </w:pPr>
                  <w:r>
                    <w:t xml:space="preserve">1010</w:t>
                  </w:r>
                </w:p>
              </w:tc>
              <w:tc>
                <w:tcPr/>
                <w:p>
                  <w:pPr>
                    <w:pStyle w:val="Compact"/>
                    <w:jc w:val="left"/>
                    <w:jc w:val="center"/>
                  </w:pPr>
                  <w:r>
                    <w:t xml:space="preserve">0</w:t>
                  </w:r>
                </w:p>
              </w:tc>
              <w:tc>
                <w:tcPr/>
                <w:p>
                  <w:pPr>
                    <w:pStyle w:val="Compact"/>
                    <w:jc w:val="left"/>
                    <w:jc w:val="center"/>
                  </w:pPr>
                  <w:r>
                    <w:t xml:space="preserve">300</w:t>
                  </w:r>
                </w:p>
              </w:tc>
              <w:tc>
                <w:tcPr/>
                <w:p>
                  <w:pPr>
                    <w:pStyle w:val="Compact"/>
                    <w:jc w:val="left"/>
                    <w:jc w:val="center"/>
                  </w:pPr>
                  <w:r>
                    <w:t xml:space="preserve">246</w:t>
                  </w:r>
                </w:p>
              </w:tc>
              <w:tc>
                <w:tcPr/>
                <w:p>
                  <w:pPr>
                    <w:pStyle w:val="Compact"/>
                    <w:jc w:val="left"/>
                    <w:jc w:val="center"/>
                  </w:pPr>
                  <w:r>
                    <w:t xml:space="preserve">300</w:t>
                  </w:r>
                </w:p>
              </w:tc>
            </w:tr>
          </w:tbl>
          <w:bookmarkEnd w:id="20"/>
          <w:p/>
        </w:tc>
      </w:tr>
    </w:tbl>
    <w:p>
      <w:pPr>
        <w:pStyle w:val="BodyText"/>
      </w:pPr>
      <w:r>
        <w:t xml:space="preserve">Problem table:</w:t>
      </w:r>
    </w:p>
    <w:p>
      <w:pPr>
        <w:pStyle w:val="BodyText"/>
      </w:pPr>
      <w:r>
        <w:t xml:space="preserve">Read in the data for Table 2:</w:t>
      </w:r>
    </w:p>
    <w:p>
      <w:pPr>
        <w:pStyle w:val="BodyText"/>
      </w:pPr>
      <w:r>
        <w:t xml:space="preserve">Now insert the function:</w:t>
      </w:r>
    </w:p>
    <w:p>
      <w:pPr>
        <w:pStyle w:val="BodyText"/>
      </w:pPr>
      <w:r>
        <w:t xml:space="preserve">And then make the table (see</w:t>
      </w:r>
      <w:r>
        <w:t xml:space="preserve"> </w:t>
      </w:r>
      <w:r>
        <w:rPr>
          <w:bCs/>
          <w:b/>
        </w:rPr>
        <w:t xml:space="preserve">?@tbl-table2</w:t>
      </w:r>
      <w:r>
        <w:t xml:space="preserve">):</w:t>
      </w:r>
    </w:p>
    <w:p>
      <w:pPr>
        <w:pStyle w:val="SourceCode"/>
      </w:pPr>
      <w:r>
        <w:rPr>
          <w:rStyle w:val="CommentTok"/>
        </w:rPr>
        <w:t xml:space="preserve"># Columns of interest</w:t>
      </w:r>
      <w:r>
        <w:br/>
      </w:r>
      <w:r>
        <w:rPr>
          <w:rStyle w:val="NormalTok"/>
        </w:rPr>
        <w:t xml:space="preserve">columns_of_interest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"csmoke"</w:t>
      </w:r>
      <w:r>
        <w:rPr>
          <w:rStyle w:val="NormalTok"/>
        </w:rPr>
        <w:t xml:space="preserve">, </w:t>
      </w:r>
      <w:r>
        <w:rPr>
          <w:rStyle w:val="StringTok"/>
        </w:rPr>
        <w:t xml:space="preserve">"asmoke"</w:t>
      </w:r>
      <w:r>
        <w:rPr>
          <w:rStyle w:val="NormalTok"/>
        </w:rPr>
        <w:t xml:space="preserve">, </w:t>
      </w:r>
      <w:r>
        <w:br/>
      </w:r>
      <w:r>
        <w:rPr>
          <w:rStyle w:val="NormalTok"/>
        </w:rPr>
        <w:t xml:space="preserve">  </w:t>
      </w:r>
      <w:r>
        <w:rPr>
          <w:rStyle w:val="StringTok"/>
        </w:rPr>
        <w:t xml:space="preserve">"bmi"</w:t>
      </w:r>
      <w:r>
        <w:rPr>
          <w:rStyle w:val="NormalTok"/>
        </w:rPr>
        <w:t xml:space="preserve">, </w:t>
      </w:r>
      <w:r>
        <w:rPr>
          <w:rStyle w:val="StringTok"/>
        </w:rPr>
        <w:t xml:space="preserve">"age_health"</w:t>
      </w:r>
      <w:r>
        <w:rPr>
          <w:rStyle w:val="NormalTok"/>
        </w:rPr>
        <w:t xml:space="preserve">, </w:t>
      </w:r>
      <w:r>
        <w:rPr>
          <w:rStyle w:val="StringTok"/>
        </w:rPr>
        <w:t xml:space="preserve">"waist_circ"</w:t>
      </w:r>
      <w:r>
        <w:rPr>
          <w:rStyle w:val="NormalTok"/>
        </w:rPr>
        <w:t xml:space="preserve">)</w:t>
      </w:r>
      <w:r>
        <w:br/>
      </w:r>
      <w:r>
        <w:br/>
      </w:r>
      <w:r>
        <w:rPr>
          <w:rStyle w:val="CommentTok"/>
        </w:rPr>
        <w:t xml:space="preserve"># Apply the function to the data set</w:t>
      </w:r>
      <w:r>
        <w:br/>
      </w:r>
      <w:r>
        <w:rPr>
          <w:rStyle w:val="NormalTok"/>
        </w:rPr>
        <w:t xml:space="preserve">result </w:t>
      </w:r>
      <w:r>
        <w:rPr>
          <w:rStyle w:val="OtherTok"/>
        </w:rPr>
        <w:t xml:space="preserve">&lt;-</w:t>
      </w:r>
      <w:r>
        <w:rPr>
          <w:rStyle w:val="NormalTok"/>
        </w:rPr>
        <w:t xml:space="preserve"> </w:t>
      </w:r>
      <w:r>
        <w:rPr>
          <w:rStyle w:val="FunctionTok"/>
        </w:rPr>
        <w:t xml:space="preserve">process_columns</w:t>
      </w:r>
      <w:r>
        <w:rPr>
          <w:rStyle w:val="NormalTok"/>
        </w:rPr>
        <w:t xml:space="preserve">(ds, columns_of_interest)</w:t>
      </w:r>
      <w:r>
        <w:br/>
      </w:r>
      <w:r>
        <w:br/>
      </w:r>
      <w:r>
        <w:rPr>
          <w:rStyle w:val="NormalTok"/>
        </w:rPr>
        <w:t xml:space="preserve">t2 </w:t>
      </w:r>
      <w:r>
        <w:rPr>
          <w:rStyle w:val="OtherTok"/>
        </w:rPr>
        <w:t xml:space="preserve">&lt;-</w:t>
      </w:r>
      <w:r>
        <w:rPr>
          <w:rStyle w:val="NormalTok"/>
        </w:rPr>
        <w:t xml:space="preserve"> result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char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"Female, n (%)"</w:t>
      </w:r>
      <w:r>
        <w:rPr>
          <w:rStyle w:val="NormalTok"/>
        </w:rPr>
        <w:t xml:space="preserve">, </w:t>
      </w:r>
      <w:r>
        <w:br/>
      </w:r>
      <w:r>
        <w:rPr>
          <w:rStyle w:val="NormalTok"/>
        </w:rPr>
        <w:t xml:space="preserve">    </w:t>
      </w:r>
      <w:r>
        <w:rPr>
          <w:rStyle w:val="StringTok"/>
        </w:rPr>
        <w:t xml:space="preserve">"Current smoker, n (%)"</w:t>
      </w:r>
      <w:r>
        <w:rPr>
          <w:rStyle w:val="NormalTok"/>
        </w:rPr>
        <w:t xml:space="preserve">,</w:t>
      </w:r>
      <w:r>
        <w:br/>
      </w:r>
      <w:r>
        <w:rPr>
          <w:rStyle w:val="NormalTok"/>
        </w:rPr>
        <w:t xml:space="preserve">    </w:t>
      </w:r>
      <w:r>
        <w:rPr>
          <w:rStyle w:val="StringTok"/>
        </w:rPr>
        <w:t xml:space="preserve">"Any smoke exposure, n (%)"</w:t>
      </w:r>
      <w:r>
        <w:rPr>
          <w:rStyle w:val="NormalTok"/>
        </w:rPr>
        <w:t xml:space="preserve">, </w:t>
      </w:r>
      <w:r>
        <w:br/>
      </w:r>
      <w:r>
        <w:rPr>
          <w:rStyle w:val="NormalTok"/>
        </w:rPr>
        <w:t xml:space="preserve">    </w:t>
      </w:r>
      <w:r>
        <w:rPr>
          <w:rStyle w:val="StringTok"/>
        </w:rPr>
        <w:t xml:space="preserve">"Age in years, Mean (SD)"</w:t>
      </w:r>
      <w:r>
        <w:rPr>
          <w:rStyle w:val="NormalTok"/>
        </w:rPr>
        <w:t xml:space="preserve">,</w:t>
      </w:r>
      <w:r>
        <w:br/>
      </w:r>
      <w:r>
        <w:rPr>
          <w:rStyle w:val="NormalTok"/>
        </w:rPr>
        <w:t xml:space="preserve">    </w:t>
      </w:r>
      <w:r>
        <w:rPr>
          <w:rStyle w:val="StringTok"/>
        </w:rPr>
        <w:t xml:space="preserve">"BMI (kg/m2), Mean (SD)"</w:t>
      </w:r>
      <w:r>
        <w:rPr>
          <w:rStyle w:val="NormalTok"/>
        </w:rPr>
        <w:t xml:space="preserve">, </w:t>
      </w:r>
      <w:r>
        <w:br/>
      </w:r>
      <w:r>
        <w:rPr>
          <w:rStyle w:val="NormalTok"/>
        </w:rPr>
        <w:t xml:space="preserve">    </w:t>
      </w:r>
      <w:r>
        <w:rPr>
          <w:rStyle w:val="StringTok"/>
        </w:rPr>
        <w:t xml:space="preserve">"Waist circumference (cm), Mean (SD)"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"Characteristic"</w:t>
      </w:r>
      <w:r>
        <w:rPr>
          <w:rStyle w:val="NormalTok"/>
        </w:rPr>
        <w:t xml:space="preserve"> </w:t>
      </w:r>
      <w:r>
        <w:rPr>
          <w:rStyle w:val="OtherTok"/>
        </w:rPr>
        <w:t xml:space="preserve">=</w:t>
      </w:r>
      <w:r>
        <w:rPr>
          <w:rStyle w:val="NormalTok"/>
        </w:rPr>
        <w:t xml:space="preserve"> char)</w:t>
      </w:r>
      <w:r>
        <w:br/>
      </w:r>
      <w:r>
        <w:br/>
      </w:r>
      <w:r>
        <w:rPr>
          <w:rStyle w:val="FunctionTok"/>
        </w:rPr>
        <w:t xml:space="preserve">colnames</w:t>
      </w:r>
      <w:r>
        <w:rPr>
          <w:rStyle w:val="NormalTok"/>
        </w:rPr>
        <w:t xml:space="preserve">(t2)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"Characteristic"</w:t>
      </w:r>
      <w:r>
        <w:rPr>
          <w:rStyle w:val="NormalTok"/>
        </w:rPr>
        <w:t xml:space="preserve">, </w:t>
      </w:r>
      <w:r>
        <w:br/>
      </w:r>
      <w:r>
        <w:rPr>
          <w:rStyle w:val="NormalTok"/>
        </w:rPr>
        <w:t xml:space="preserve">  </w:t>
      </w:r>
      <w:r>
        <w:rPr>
          <w:rStyle w:val="StringTok"/>
        </w:rPr>
        <w:t xml:space="preserve">"Wave 1 (2018-19) N=1003"</w:t>
      </w:r>
      <w:r>
        <w:rPr>
          <w:rStyle w:val="NormalTok"/>
        </w:rPr>
        <w:t xml:space="preserve">, </w:t>
      </w:r>
      <w:r>
        <w:rPr>
          <w:rStyle w:val="StringTok"/>
        </w:rPr>
        <w:t xml:space="preserve">"Wave 2 (2019-20) N=1110"</w:t>
      </w:r>
      <w:r>
        <w:rPr>
          <w:rStyle w:val="NormalTok"/>
        </w:rPr>
        <w:t xml:space="preserve">,</w:t>
      </w:r>
      <w:r>
        <w:br/>
      </w:r>
      <w:r>
        <w:rPr>
          <w:rStyle w:val="NormalTok"/>
        </w:rPr>
        <w:t xml:space="preserve">  </w:t>
      </w:r>
      <w:r>
        <w:rPr>
          <w:rStyle w:val="StringTok"/>
        </w:rPr>
        <w:t xml:space="preserve">"Wave 4 (2021-22) N=1028"</w:t>
      </w:r>
      <w:r>
        <w:rPr>
          <w:rStyle w:val="NormalTok"/>
        </w:rPr>
        <w:t xml:space="preserve">, </w:t>
      </w:r>
      <w:r>
        <w:rPr>
          <w:rStyle w:val="StringTok"/>
        </w:rPr>
        <w:t xml:space="preserve">"Statistic"</w:t>
      </w:r>
      <w:r>
        <w:rPr>
          <w:rStyle w:val="NormalTok"/>
        </w:rPr>
        <w:t xml:space="preserve">, </w:t>
      </w:r>
      <w:r>
        <w:rPr>
          <w:rStyle w:val="StringTok"/>
        </w:rPr>
        <w:t xml:space="preserve">"p-value"</w:t>
      </w:r>
      <w:r>
        <w:rPr>
          <w:rStyle w:val="NormalTok"/>
        </w:rPr>
        <w:t xml:space="preserve">)</w:t>
      </w:r>
      <w:r>
        <w:br/>
      </w:r>
      <w:r>
        <w:br/>
      </w:r>
      <w:r>
        <w:rPr>
          <w:rStyle w:val="FunctionTok"/>
        </w:rPr>
        <w:t xml:space="preserve">tt</w:t>
      </w:r>
      <w:r>
        <w:rPr>
          <w:rStyle w:val="NormalTok"/>
        </w:rPr>
        <w:t xml:space="preserve">(t2, </w:t>
      </w:r>
      <w:r>
        <w:rPr>
          <w:rStyle w:val="AttributeTok"/>
        </w:rPr>
        <w:t xml:space="preserve">caption =</w:t>
      </w:r>
      <w:r>
        <w:rPr>
          <w:rStyle w:val="NormalTok"/>
        </w:rPr>
        <w:t xml:space="preserve"> </w:t>
      </w:r>
      <w:r>
        <w:rPr>
          <w:rStyle w:val="StringTok"/>
        </w:rPr>
        <w:t xml:space="preserve">"Example table.</w:t>
      </w:r>
      <w:r>
        <w:rPr>
          <w:rStyle w:val="SpecialCharTok"/>
        </w:rPr>
        <w:t xml:space="preserve">\\</w:t>
      </w:r>
      <w:r>
        <w:rPr>
          <w:rStyle w:val="StringTok"/>
        </w:rPr>
        <w:t xml:space="preserve">label{tbl-table2}"</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15</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notes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FunctionTok"/>
        </w:rPr>
        <w:t xml:space="preserve">list</w:t>
      </w:r>
      <w:r>
        <w:rPr>
          <w:rStyle w:val="NormalTok"/>
        </w:rPr>
        <w:t xml:space="preserve">(</w:t>
      </w:r>
      <w:r>
        <w:rPr>
          <w:rStyle w:val="AttributeTok"/>
        </w:rPr>
        <w:t xml:space="preserve">i=</w:t>
      </w:r>
      <w:r>
        <w:rPr>
          <w:rStyle w:val="DecValTok"/>
        </w:rPr>
        <w:t xml:space="preserve">0</w:t>
      </w:r>
      <w:r>
        <w:rPr>
          <w:rStyle w:val="NormalTok"/>
        </w:rPr>
        <w:t xml:space="preserve">, </w:t>
      </w:r>
      <w:r>
        <w:rPr>
          <w:rStyle w:val="AttributeTok"/>
        </w:rPr>
        <w:t xml:space="preserve">j=</w:t>
      </w:r>
      <w:r>
        <w:rPr>
          <w:rStyle w:val="DecValTok"/>
        </w:rPr>
        <w:t xml:space="preserve">5</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tringTok"/>
        </w:rPr>
        <w:t xml:space="preserve">"Blah."</w:t>
      </w:r>
      <w:r>
        <w:rPr>
          <w:rStyle w:val="NormalTok"/>
        </w:rPr>
        <w:t xml:space="preserve">))) </w:t>
      </w:r>
      <w:r>
        <w:rPr>
          <w:rStyle w:val="SpecialCharTok"/>
        </w:rPr>
        <w:t xml:space="preserve">|&gt;</w:t>
      </w:r>
      <w:r>
        <w:br/>
      </w:r>
      <w:r>
        <w:rPr>
          <w:rStyle w:val="NormalTok"/>
        </w:rPr>
        <w:t xml:space="preserve">  </w:t>
      </w:r>
      <w:r>
        <w:rPr>
          <w:rStyle w:val="FunctionTok"/>
        </w:rPr>
        <w:t xml:space="preserve">theme_tt</w:t>
      </w:r>
      <w:r>
        <w:rPr>
          <w:rStyle w:val="NormalTok"/>
        </w:rPr>
        <w:t xml:space="preserve">(</w:t>
      </w:r>
      <w:r>
        <w:rPr>
          <w:rStyle w:val="StringTok"/>
        </w:rPr>
        <w:t xml:space="preserve">"multipage"</w:t>
      </w:r>
      <w:r>
        <w:rPr>
          <w:rStyle w:val="NormalTok"/>
        </w:rPr>
        <w:t xml:space="preserve">) </w:t>
      </w:r>
      <w:r>
        <w:rPr>
          <w:rStyle w:val="SpecialCharTok"/>
        </w:rPr>
        <w:t xml:space="preserve">|&gt;</w:t>
      </w:r>
      <w:r>
        <w:br/>
      </w:r>
      <w:r>
        <w:rPr>
          <w:rStyle w:val="NormalTok"/>
        </w:rPr>
        <w:t xml:space="preserve">  </w:t>
      </w:r>
      <w:r>
        <w:rPr>
          <w:rStyle w:val="FunctionTok"/>
        </w:rPr>
        <w:t xml:space="preserve">group_tt</w:t>
      </w:r>
      <w:r>
        <w:rPr>
          <w:rStyle w:val="NormalTok"/>
        </w:rPr>
        <w:t xml:space="preserve">(</w:t>
      </w:r>
      <w:r>
        <w:br/>
      </w:r>
      <w:r>
        <w:rPr>
          <w:rStyle w:val="NormalTok"/>
        </w:rPr>
        <w:t xml:space="preserve">    </w:t>
      </w:r>
      <w:r>
        <w:rPr>
          <w:rStyle w:val="AttributeTok"/>
        </w:rPr>
        <w:t xml:space="preserve">j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 "</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"Estimates"</w:t>
      </w:r>
      <w:r>
        <w:rPr>
          <w:rStyle w:val="NormalTok"/>
        </w:rPr>
        <w:t xml:space="preserve"> </w:t>
      </w:r>
      <w:r>
        <w:rPr>
          <w:rStyle w:val="OtherTok"/>
        </w:rPr>
        <w:t xml:space="preserve">=</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StringTok"/>
        </w:rPr>
        <w:t xml:space="preserve">"Test for Equality"</w:t>
      </w:r>
      <w:r>
        <w:rPr>
          <w:rStyle w:val="NormalTok"/>
        </w:rPr>
        <w:t xml:space="preserve">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format_tt</w:t>
      </w:r>
      <w:r>
        <w:rPr>
          <w:rStyle w:val="NormalTok"/>
        </w:rPr>
        <w:t xml:space="preserve">(</w:t>
      </w:r>
      <w:r>
        <w:rPr>
          <w:rStyle w:val="AttributeTok"/>
        </w:rPr>
        <w:t xml:space="preserve">escape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style_tt</w:t>
      </w:r>
      <w:r>
        <w:rPr>
          <w:rStyle w:val="NormalTok"/>
        </w:rPr>
        <w:t xml:space="preserve">(</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align =</w:t>
      </w:r>
      <w:r>
        <w:rPr>
          <w:rStyle w:val="NormalTok"/>
        </w:rPr>
        <w:t xml:space="preserve"> </w:t>
      </w:r>
      <w:r>
        <w:rPr>
          <w:rStyle w:val="StringTok"/>
        </w:rPr>
        <w:t xml:space="preserve">"llll"</w:t>
      </w:r>
      <w:r>
        <w:rPr>
          <w:rStyle w:val="NormalTok"/>
        </w:rPr>
        <w:t xml:space="preserve">)</w:t>
      </w:r>
    </w:p>
    <w:bookmarkStart w:id="23" w:name="refs"/>
    <w:bookmarkStart w:id="22" w:name="ref-lai2024"/>
    <w:p>
      <w:pPr>
        <w:pStyle w:val="Bibliography"/>
      </w:pPr>
      <w:r>
        <w:t xml:space="preserve">Lai PS, Lam NL, Gallery B, Lee AG, Adair-Rohani H, Alexander D, et al. 2024. Household</w:t>
      </w:r>
      <w:r>
        <w:t xml:space="preserve"> </w:t>
      </w:r>
      <w:r>
        <w:t xml:space="preserve">Air Pollution Interventions</w:t>
      </w:r>
      <w:r>
        <w:t xml:space="preserve"> </w:t>
      </w:r>
      <w:r>
        <w:t xml:space="preserve">to</w:t>
      </w:r>
      <w:r>
        <w:t xml:space="preserve"> </w:t>
      </w:r>
      <w:r>
        <w:t xml:space="preserve">Improve Health</w:t>
      </w:r>
      <w:r>
        <w:t xml:space="preserve"> </w:t>
      </w:r>
      <w:r>
        <w:t xml:space="preserve">in</w:t>
      </w:r>
      <w:r>
        <w:t xml:space="preserve"> </w:t>
      </w:r>
      <w:r>
        <w:t xml:space="preserve">Low-</w:t>
      </w:r>
      <w:r>
        <w:t xml:space="preserve"> </w:t>
      </w:r>
      <w:r>
        <w:t xml:space="preserve">and</w:t>
      </w:r>
      <w:r>
        <w:t xml:space="preserve"> </w:t>
      </w:r>
      <w:r>
        <w:t xml:space="preserve">Middle-Income Countries</w:t>
      </w:r>
      <w:r>
        <w:t xml:space="preserve">:</w:t>
      </w:r>
      <w:r>
        <w:t xml:space="preserve"> </w:t>
      </w:r>
      <w:r>
        <w:t xml:space="preserve">An Official American Thoracic Society Research Statement</w:t>
      </w:r>
      <w:r>
        <w:t xml:space="preserve">. American Journal of Respiratory and Critical Care Medicine 209:909–927; doi:</w:t>
      </w:r>
      <w:hyperlink r:id="rId21">
        <w:r>
          <w:rPr>
            <w:rStyle w:val="Hyperlink"/>
          </w:rPr>
          <w:t xml:space="preserve">10.1164/rccm.202402-0398ST</w:t>
        </w:r>
      </w:hyperlink>
      <w:r>
        <w:t xml:space="preserv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164/rccm.202402-0398ST"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164/rccm.202402-0398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Household Energy Transitions Work?</dc:title>
  <dc:creator>Jill Baumgartner (Co-PI); Sam Harper (Co-PI); On behalf of the Beijing Household Energy Transitions Team</dc:creator>
  <cp:keywords/>
  <dcterms:created xsi:type="dcterms:W3CDTF">2024-07-17T20:18:55Z</dcterms:created>
  <dcterms:modified xsi:type="dcterms:W3CDTF">2024-07-17T20:18:55Z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hei-report.bib</vt:lpwstr>
  </property>
  <property fmtid="{D5CDD505-2E9C-101B-9397-08002B2CF9AE}" pid="5" name="by-author">
    <vt:lpwstr/>
  </property>
  <property fmtid="{D5CDD505-2E9C-101B-9397-08002B2CF9AE}" pid="6" name="csl">
    <vt:lpwstr>environmental-health-perspectives.csl</vt:lpwstr>
  </property>
  <property fmtid="{D5CDD505-2E9C-101B-9397-08002B2CF9AE}" pid="7" name="date">
    <vt:lpwstr>2024-07-17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