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Simulation Design and Modeling Strategy</w:t>
      </w:r>
    </w:p>
    <w:p>
      <w:pPr>
        <w:pStyle w:val="Subtitle"/>
      </w:pPr>
      <w:r>
        <w:t xml:space="preserve">The Influence of Reviewer Expertise and Engagement on Peer Review of Grants</w:t>
      </w:r>
    </w:p>
    <w:p>
      <w:pPr>
        <w:pStyle w:val="Author"/>
      </w:pPr>
      <w:r>
        <w:t xml:space="preserve">Sam Harper &amp; Arijit Nandi</w:t>
      </w:r>
    </w:p>
    <w:p>
      <w:pPr>
        <w:pStyle w:val="Date"/>
      </w:pPr>
      <w:r>
        <w:t xml:space="preserve">2026-08-12</w:t>
      </w:r>
    </w:p>
    <w:bookmarkStart w:id="20" w:name="purpose-of-this-document"/>
    <w:p>
      <w:pPr>
        <w:pStyle w:val="Heading1"/>
      </w:pPr>
      <w:r>
        <w:t xml:space="preserve">Purpose of this document</w:t>
      </w:r>
    </w:p>
    <w:p>
      <w:pPr>
        <w:pStyle w:val="FirstParagraph"/>
      </w:pPr>
      <w:r>
        <w:t xml:space="preserve">This is a design and validation exercise for a project that aims to assess how reviewer engagement and expertise may affect grant scores during CIHR peer review. Given the restrictive nature of CIHR funding data, this document does not use real CIHR data; rather it lays out the data-generating process we believe matches CIHR’s Project Grant peer review, the model we intend to fit against it, and evidence that the models we will use can actually recover simulated effects.</w:t>
      </w:r>
    </w:p>
    <w:p>
      <w:pPr>
        <w:pStyle w:val="BodyText"/>
      </w:pPr>
      <w:r>
        <w:t xml:space="preserve">It is not a full pre-analysis plan (no pre-specified hypotheses, stopping</w:t>
      </w:r>
      <w:r>
        <w:t xml:space="preserve"> </w:t>
      </w:r>
      <w:r>
        <w:t xml:space="preserve">rules, or multiplicity strategy yet), but it’s close in spirit, and a</w:t>
      </w:r>
      <w:r>
        <w:t xml:space="preserve"> </w:t>
      </w:r>
      <w:r>
        <w:t xml:space="preserve">subsequent revision could become one.</w:t>
      </w:r>
    </w:p>
    <w:bookmarkEnd w:id="20"/>
    <w:bookmarkStart w:id="21" w:name="research-questions"/>
    <w:p>
      <w:pPr>
        <w:pStyle w:val="Heading1"/>
      </w:pPr>
      <w:r>
        <w:t xml:space="preserve">Research questions</w:t>
      </w:r>
    </w:p>
    <w:p>
      <w:pPr>
        <w:pStyle w:val="FirstParagraph"/>
      </w:pPr>
      <w:r>
        <w:t xml:space="preserve">Full detail is in the funded proposal (</w:t>
      </w:r>
      <w:r>
        <w:rPr>
          <w:rStyle w:val="VerbatimChar"/>
        </w:rPr>
        <w:t xml:space="preserve">cihr-ror-proposal.qmd</w:t>
      </w:r>
      <w:r>
        <w:t xml:space="preserve">); briefly:</w:t>
      </w:r>
    </w:p>
    <w:p>
      <w:pPr>
        <w:pStyle w:val="Compact"/>
        <w:numPr>
          <w:ilvl w:val="0"/>
          <w:numId w:val="1001"/>
        </w:numPr>
      </w:pPr>
      <w:r>
        <w:rPr>
          <w:b/>
          <w:bCs/>
        </w:rPr>
        <w:t xml:space="preserve">Aim 1</w:t>
      </w:r>
      <w:r>
        <w:t xml:space="preserve"> </w:t>
      </w:r>
      <w:r>
        <w:t xml:space="preserve">– How do reviewer expertise (self-described: high/medium/low/not</w:t>
      </w:r>
      <w:r>
        <w:t xml:space="preserve"> </w:t>
      </w:r>
      <w:r>
        <w:t xml:space="preserve">enough) and engagement (assigned reviewer vs. non-reviewing panelist)</w:t>
      </w:r>
      <w:r>
        <w:t xml:space="preserve"> </w:t>
      </w:r>
      <w:r>
        <w:t xml:space="preserve">affect the impact of panel discussion on scores?</w:t>
      </w:r>
    </w:p>
    <w:p>
      <w:pPr>
        <w:pStyle w:val="Compact"/>
        <w:numPr>
          <w:ilvl w:val="0"/>
          <w:numId w:val="1001"/>
        </w:numPr>
      </w:pPr>
      <w:r>
        <w:rPr>
          <w:b/>
          <w:bCs/>
        </w:rPr>
        <w:t xml:space="preserve">Aim 2</w:t>
      </w:r>
      <w:r>
        <w:t xml:space="preserve"> </w:t>
      </w:r>
      <w:r>
        <w:t xml:space="preserve">– Do these effects differ by applicant characteristics, namely</w:t>
      </w:r>
      <w:r>
        <w:t xml:space="preserve"> </w:t>
      </w:r>
      <w:r>
        <w:t xml:space="preserve">gender or career stage?</w:t>
      </w:r>
    </w:p>
    <w:p>
      <w:pPr>
        <w:pStyle w:val="Compact"/>
        <w:numPr>
          <w:ilvl w:val="0"/>
          <w:numId w:val="1001"/>
        </w:numPr>
      </w:pPr>
      <w:r>
        <w:rPr>
          <w:b/>
          <w:bCs/>
        </w:rPr>
        <w:t xml:space="preserve">Aim 3</w:t>
      </w:r>
      <w:r>
        <w:t xml:space="preserve"> </w:t>
      </w:r>
      <w:r>
        <w:t xml:space="preserve">(exploratory) – How would alternative funding-decision schemes</w:t>
      </w:r>
      <w:r>
        <w:t xml:space="preserve"> </w:t>
      </w:r>
      <w:r>
        <w:t xml:space="preserve">(e.g. reweighting by engagement, partial randomization near the funding</w:t>
      </w:r>
      <w:r>
        <w:t xml:space="preserve"> </w:t>
      </w:r>
      <w:r>
        <w:t xml:space="preserve">threshold) compare to the status quo?</w:t>
      </w:r>
    </w:p>
    <w:bookmarkEnd w:id="21"/>
    <w:bookmarkStart w:id="22" w:name="the-review-process-were-modeling"/>
    <w:p>
      <w:pPr>
        <w:pStyle w:val="Heading1"/>
      </w:pPr>
      <w:r>
        <w:t xml:space="preserve">The review process we’re modeling</w:t>
      </w:r>
    </w:p>
    <w:p>
      <w:pPr>
        <w:pStyle w:val="Compact"/>
        <w:numPr>
          <w:ilvl w:val="0"/>
          <w:numId w:val="1002"/>
        </w:numPr>
      </w:pPr>
      <w:r>
        <w:t xml:space="preserve">The 3 assigned reviewers read the application, score it, discuss, and</w:t>
      </w:r>
      <w:r>
        <w:t xml:space="preserve"> </w:t>
      </w:r>
      <w:r>
        <w:t xml:space="preserve">agree a</w:t>
      </w:r>
      <w:r>
        <w:t xml:space="preserve"> </w:t>
      </w:r>
      <w:r>
        <w:rPr>
          <w:b/>
          <w:bCs/>
        </w:rPr>
        <w:t xml:space="preserve">consensus score</w:t>
      </w:r>
      <w:r>
        <w:t xml:space="preserve">.</w:t>
      </w:r>
    </w:p>
    <w:p>
      <w:pPr>
        <w:pStyle w:val="Compact"/>
        <w:numPr>
          <w:ilvl w:val="0"/>
          <w:numId w:val="1002"/>
        </w:numPr>
      </w:pPr>
      <w:r>
        <w:t xml:space="preserve">All panel members – including the 3 reviewers themselves – then submit a</w:t>
      </w:r>
      <w:r>
        <w:t xml:space="preserve"> </w:t>
      </w:r>
      <w:r>
        <w:rPr>
          <w:b/>
          <w:bCs/>
        </w:rPr>
        <w:t xml:space="preserve">final score</w:t>
      </w:r>
      <w:r>
        <w:t xml:space="preserve">. Reviewers are not bound to their own consensus number;</w:t>
      </w:r>
      <w:r>
        <w:t xml:space="preserve"> </w:t>
      </w:r>
      <w:r>
        <w:t xml:space="preserve">they can move too.</w:t>
      </w:r>
    </w:p>
    <w:p>
      <w:pPr>
        <w:pStyle w:val="Compact"/>
        <w:numPr>
          <w:ilvl w:val="0"/>
          <w:numId w:val="1002"/>
        </w:numPr>
      </w:pPr>
      <w:r>
        <w:t xml:space="preserve">The final score must fall within</w:t>
      </w:r>
      <w:r>
        <w:t xml:space="preserve"> </w:t>
      </w:r>
      <w:r>
        <w:rPr>
          <w:b/>
          <w:bCs/>
        </w:rPr>
        <w:t xml:space="preserve">±0.5</w:t>
      </w:r>
      <w:r>
        <w:t xml:space="preserve"> </w:t>
      </w:r>
      <w:r>
        <w:t xml:space="preserve">of the consensus score,</w:t>
      </w:r>
      <w:r>
        <w:t xml:space="preserve"> </w:t>
      </w:r>
      <w:r>
        <w:t xml:space="preserve">and is entered to</w:t>
      </w:r>
      <w:r>
        <w:t xml:space="preserve"> </w:t>
      </w:r>
      <w:r>
        <w:rPr>
          <w:b/>
          <w:bCs/>
        </w:rPr>
        <w:t xml:space="preserve">one decimal place</w:t>
      </w:r>
      <w:r>
        <w:t xml:space="preserve">.</w:t>
      </w:r>
    </w:p>
    <w:p>
      <w:pPr>
        <w:pStyle w:val="Compact"/>
        <w:numPr>
          <w:ilvl w:val="0"/>
          <w:numId w:val="1002"/>
        </w:numPr>
      </w:pPr>
      <w:r>
        <w:t xml:space="preserve">The (equally weighted) average of final scores across all panel members</w:t>
      </w:r>
      <w:r>
        <w:t xml:space="preserve"> </w:t>
      </w:r>
      <w:r>
        <w:t xml:space="preserve">feeds the funding decision.</w:t>
      </w:r>
    </w:p>
    <w:bookmarkEnd w:id="22"/>
    <w:bookmarkStart w:id="23" w:name="data-structure"/>
    <w:p>
      <w:pPr>
        <w:pStyle w:val="Heading1"/>
      </w:pPr>
      <w:r>
        <w:t xml:space="preserve">Data structure</w:t>
      </w:r>
    </w:p>
    <w:p>
      <w:pPr>
        <w:pStyle w:val="FirstParagraph"/>
      </w:pPr>
      <w:r>
        <w:t xml:space="preserve">We’re assuming a three-level structure: committees, discussed applications</w:t>
      </w:r>
      <w:r>
        <w:t xml:space="preserve"> </w:t>
      </w:r>
      <w:r>
        <w:t xml:space="preserve">nested in committees, and panel members nested in committees (crossed with</w:t>
      </w:r>
      <w:r>
        <w:t xml:space="preserve"> </w:t>
      </w:r>
      <w:r>
        <w:t xml:space="preserve">applications, since a member reviews many applications within a cycle).</w:t>
      </w:r>
      <w:r>
        <w:t xml:space="preserve"> </w:t>
      </w:r>
      <w:r>
        <w:t xml:space="preserve">Based on recent Project Grant committee sizes, our working numbers are</w:t>
      </w:r>
      <w:r>
        <w:t xml:space="preserve"> </w:t>
      </w:r>
      <w:r>
        <w:rPr>
          <w:b/>
          <w:bCs/>
        </w:rPr>
        <w:t xml:space="preserve">50 committees × 15 discussed applications per committee × 24</w:t>
      </w:r>
      <w:r>
        <w:rPr>
          <w:b/>
          <w:bCs/>
        </w:rPr>
        <w:t xml:space="preserve"> </w:t>
      </w:r>
      <w:r>
        <w:rPr>
          <w:b/>
          <w:bCs/>
        </w:rPr>
        <w:t xml:space="preserve">members per committee</w:t>
      </w:r>
      <w:r>
        <w:t xml:space="preserve">.</w:t>
      </w:r>
    </w:p>
    <w:p>
      <w:pPr>
        <w:pStyle w:val="BodyText"/>
      </w:pPr>
      <w:r>
        <w:t xml:space="preserve">CIHR’s Funding Analytics Team confirmed by email (2025-12-04) which fields</w:t>
      </w:r>
      <w:r>
        <w:t xml:space="preserve"> </w:t>
      </w:r>
      <w:r>
        <w:t xml:space="preserve">are actually extractable for a data pull, versus fields that can only ever</w:t>
      </w:r>
      <w:r>
        <w:t xml:space="preserve"> </w:t>
      </w:r>
      <w:r>
        <w:t xml:space="preserve">be touched by a CIHR analyst running our code in-house on the real data</w:t>
      </w:r>
      <w:r>
        <w:t xml:space="preserve"> </w:t>
      </w:r>
      <w:r>
        <w:t xml:space="preserve">(full table and follow-up questions in</w:t>
      </w:r>
      <w:r>
        <w:t xml:space="preserve"> </w:t>
      </w:r>
      <w:r>
        <w:rPr>
          <w:rStyle w:val="VerbatimChar"/>
        </w:rPr>
        <w:t xml:space="preserve">code/ror-research-log.qmd</w:t>
      </w:r>
      <w:r>
        <w:t xml:space="preserve">).</w:t>
      </w:r>
      <w:r>
        <w:t xml:space="preserve"> </w:t>
      </w:r>
      <w:r>
        <w:t xml:space="preserve">Headline for this document: committee/application/member identifiers, role</w:t>
      </w:r>
      <w:r>
        <w:t xml:space="preserve"> </w:t>
      </w:r>
      <w:r>
        <w:t xml:space="preserve">(reviewer vs. panelist), self-described expertise, initial reviewer scores,</w:t>
      </w:r>
      <w:r>
        <w:t xml:space="preserve"> </w:t>
      </w:r>
      <w:r>
        <w:t xml:space="preserve">consensus score, final scores, and funding result are all extractable.</w:t>
      </w:r>
      <w:r>
        <w:t xml:space="preserve"> </w:t>
      </w:r>
      <w:r>
        <w:rPr>
          <w:b/>
          <w:bCs/>
        </w:rPr>
        <w:t xml:space="preserve">Applicant gender and career stage – Aim 2’s entire basis – are not</w:t>
      </w:r>
      <w:r>
        <w:t xml:space="preserve">,</w:t>
      </w:r>
      <w:r>
        <w:t xml:space="preserve"> </w:t>
      </w:r>
      <w:r>
        <w:t xml:space="preserve">and won’t appear even in CIHR’s own distribution-matched dummy data. That</w:t>
      </w:r>
      <w:r>
        <w:t xml:space="preserve"> </w:t>
      </w:r>
      <w:r>
        <w:t xml:space="preserve">constraint is why this document exists: the simulation below is the only</w:t>
      </w:r>
      <w:r>
        <w:t xml:space="preserve"> </w:t>
      </w:r>
      <w:r>
        <w:t xml:space="preserve">rehearsal Aim 2’s code gets before it runs once, unsupervised, on real data.</w:t>
      </w:r>
    </w:p>
    <w:bookmarkEnd w:id="23"/>
    <w:bookmarkStart w:id="25" w:name="X328803a41b057f3a975308c56e262c6ae741bbe"/>
    <w:p>
      <w:pPr>
        <w:pStyle w:val="Heading1"/>
      </w:pPr>
      <w:r>
        <w:t xml:space="preserve">Primary outcome: modeling the difference, not the level</w:t>
      </w:r>
    </w:p>
    <w:bookmarkStart w:id="24" w:name="estimand-of-interest"/>
    <w:p>
      <w:pPr>
        <w:pStyle w:val="Heading2"/>
      </w:pPr>
      <w:r>
        <w:t xml:space="preserve">Estimand of interest</w:t>
      </w:r>
    </w:p>
    <w:p>
      <w:pPr>
        <w:pStyle w:val="FirstParagraph"/>
      </w:pPr>
      <w:r>
        <w:t xml:space="preserve">Our main quantity of interest in this project is the value that a given application score (</w:t>
      </w:r>
      <m:oMath>
        <m:sSub>
          <m:e>
            <m:r>
              <m:t>Y</m:t>
            </m:r>
          </m:e>
          <m:sub>
            <m:r>
              <m:t>i</m:t>
            </m:r>
          </m:sub>
        </m:sSub>
      </m:oMath>
      <w:r>
        <w:t xml:space="preserve">) would take if a particular reviewer characteristic (role or experience) were set to a specific value, averaged over the entire population of applications. We can write an example of, say, the difference between final scores for an application if it were assigned to a panelist or reviewer:</w:t>
      </w:r>
    </w:p>
    <w:p>
      <w:pPr>
        <w:pStyle w:val="BodyText"/>
      </w:pPr>
      <m:oMathPara>
        <m:oMathParaPr>
          <m:jc m:val="center"/>
        </m:oMathParaPr>
        <m:oMath>
          <m:limLow>
            <m:e>
              <m:limLow>
                <m:e>
                  <m:f>
                    <m:fPr>
                      <m:type m:val="bar"/>
                    </m:fPr>
                    <m:num>
                      <m:r>
                        <m:t>1</m:t>
                      </m:r>
                    </m:num>
                    <m:den>
                      <m:r>
                        <m:t>n</m:t>
                      </m:r>
                    </m:den>
                  </m:f>
                  <m:nary>
                    <m:naryPr>
                      <m:chr m:val="∑"/>
                      <m:limLoc m:val="undOvr"/>
                      <m:subHide m:val="off"/>
                      <m:supHide m:val="off"/>
                    </m:naryPr>
                    <m:sub>
                      <m:r>
                        <m:t>i</m:t>
                      </m:r>
                      <m:r>
                        <m:rPr>
                          <m:sty m:val="p"/>
                        </m:rPr>
                        <m:t>=</m:t>
                      </m:r>
                      <m:r>
                        <m:t>1</m:t>
                      </m:r>
                    </m:sub>
                    <m:sup>
                      <m:r>
                        <m:t>n</m:t>
                      </m:r>
                    </m:sup>
                    <m:e>
                      <m:r>
                        <m:t>​</m:t>
                      </m:r>
                    </m:e>
                  </m:nary>
                </m:e>
                <m:lim>
                  <m:r>
                    <m:rPr>
                      <m:sty m:val="p"/>
                    </m:rPr>
                    <m:t>⏟</m:t>
                  </m:r>
                </m:lim>
              </m:limLow>
            </m:e>
            <m:lim>
              <m:m>
                <m:mPr>
                  <m:baseJc m:val="center"/>
                  <m:plcHide m:val="on"/>
                  <m:mcs>
                    <m:mc>
                      <m:mcPr>
                        <m:mcJc m:val="center"/>
                        <m:count m:val="1"/>
                      </m:mcPr>
                    </m:mc>
                  </m:mcs>
                </m:mPr>
                <m:mr>
                  <m:e>
                    <m:r>
                      <m:rPr>
                        <m:nor/>
                        <m:sty m:val="p"/>
                      </m:rPr>
                      <m:t>Mean over </m:t>
                    </m:r>
                    <m:r>
                      <m:t>i</m:t>
                    </m:r>
                  </m:e>
                </m:mr>
                <m:mr>
                  <m:e>
                    <m:r>
                      <m:rPr>
                        <m:nor/>
                        <m:sty m:val="p"/>
                      </m:rPr>
                      <m:t>applications</m:t>
                    </m:r>
                  </m:e>
                </m:mr>
              </m:m>
            </m:lim>
          </m:limLow>
          <m:limLow>
            <m:e>
              <m:limLow>
                <m:e>
                  <m:d>
                    <m:dPr>
                      <m:begChr m:val="("/>
                      <m:sepChr m:val=""/>
                      <m:endChr m:val=")"/>
                      <m:grow/>
                    </m:dPr>
                    <m:e>
                      <m:sSub>
                        <m:e>
                          <m:r>
                            <m:t>Y</m:t>
                          </m:r>
                        </m:e>
                        <m:sub>
                          <m:r>
                            <m:t>i</m:t>
                          </m:r>
                        </m:sub>
                      </m:sSub>
                      <m:d>
                        <m:dPr>
                          <m:begChr m:val="("/>
                          <m:sepChr m:val=""/>
                          <m:endChr m:val=")"/>
                          <m:grow/>
                        </m:dPr>
                        <m:e>
                          <m:r>
                            <m:t>1</m:t>
                          </m:r>
                        </m:e>
                      </m:d>
                      <m:r>
                        <m:rPr>
                          <m:sty m:val="p"/>
                        </m:rPr>
                        <m:t>−</m:t>
                      </m:r>
                      <m:sSub>
                        <m:e>
                          <m:r>
                            <m:t>Y</m:t>
                          </m:r>
                        </m:e>
                        <m:sub>
                          <m:r>
                            <m:t>i</m:t>
                          </m:r>
                        </m:sub>
                      </m:sSub>
                      <m:d>
                        <m:dPr>
                          <m:begChr m:val="("/>
                          <m:sepChr m:val=""/>
                          <m:endChr m:val=")"/>
                          <m:grow/>
                        </m:dPr>
                        <m:e>
                          <m:r>
                            <m:t>0</m:t>
                          </m:r>
                        </m:e>
                      </m:d>
                    </m:e>
                  </m:d>
                </m:e>
                <m:lim>
                  <m:r>
                    <m:rPr>
                      <m:sty m:val="p"/>
                    </m:rPr>
                    <m:t>⏟</m:t>
                  </m:r>
                </m:lim>
              </m:limLow>
            </m:e>
            <m:lim>
              <m:m>
                <m:mPr>
                  <m:baseJc m:val="center"/>
                  <m:plcHide m:val="on"/>
                  <m:mcs>
                    <m:mc>
                      <m:mcPr>
                        <m:mcJc m:val="center"/>
                        <m:count m:val="1"/>
                      </m:mcPr>
                    </m:mc>
                  </m:mcs>
                </m:mPr>
                <m:mr>
                  <m:e>
                    <m:r>
                      <m:rPr>
                        <m:nor/>
                        <m:sty m:val="p"/>
                      </m:rPr>
                      <m:t>Score if assigned</m:t>
                    </m:r>
                  </m:e>
                </m:mr>
                <m:mr>
                  <m:e>
                    <m:r>
                      <m:rPr>
                        <m:nor/>
                        <m:sty m:val="p"/>
                      </m:rPr>
                      <m:t>to panelist(1)</m:t>
                    </m:r>
                  </m:e>
                </m:mr>
                <m:mr>
                  <m:e>
                    <m:r>
                      <m:rPr>
                        <m:nor/>
                        <m:sty m:val="p"/>
                      </m:rPr>
                      <m:t>or reviewer(0)</m:t>
                    </m:r>
                  </m:e>
                </m:mr>
              </m:m>
            </m:lim>
          </m:limLow>
        </m:oMath>
      </m:oMathPara>
    </w:p>
    <w:p>
      <w:pPr>
        <w:pStyle w:val="FirstParagraph"/>
      </w:pPr>
      <w:r>
        <w:t xml:space="preserve">Leaving aside for the moment the assumptions needed to credibly estimate this quantity, the specific data generating process for application scores, where there is a consensus score that members can deviate from, leads to considering an alternative outcome, which is the difference between the consensus score and each member’s score. However, this leads to challenges since we might expect many members to just go with and agree on the consensus score.</w:t>
      </w:r>
    </w:p>
    <w:p>
      <w:pPr>
        <w:pStyle w:val="BodyText"/>
      </w:pPr>
      <w:r>
        <w:t xml:space="preserve">Let</w:t>
      </w:r>
      <w:r>
        <w:t xml:space="preserve"> </w:t>
      </w:r>
      <m:oMath>
        <m:sSub>
          <m:e>
            <m:r>
              <m:t>d</m:t>
            </m:r>
          </m:e>
          <m:sub>
            <m:r>
              <m:t>i</m:t>
            </m:r>
            <m:r>
              <m:t>j</m:t>
            </m:r>
            <m:r>
              <m:t>k</m:t>
            </m:r>
          </m:sub>
        </m:sSub>
      </m:oMath>
      <w:r>
        <w:t xml:space="preserve"> </w:t>
      </w:r>
      <w:r>
        <w:t xml:space="preserve">be the final score minus the consensus score, for the</w:t>
      </w:r>
      <w:r>
        <w:t xml:space="preserve"> </w:t>
      </w:r>
      <m:oMath>
        <m:r>
          <m:t>i</m:t>
        </m:r>
      </m:oMath>
      <w:r>
        <w:t xml:space="preserve">th panel member on the</w:t>
      </w:r>
      <w:r>
        <w:t xml:space="preserve"> </w:t>
      </w:r>
      <m:oMath>
        <m:r>
          <m:t>j</m:t>
        </m:r>
      </m:oMath>
      <w:r>
        <w:t xml:space="preserve">th application in the</w:t>
      </w:r>
      <w:r>
        <w:t xml:space="preserve"> </w:t>
      </w:r>
      <m:oMath>
        <m:r>
          <m:t>k</m:t>
        </m:r>
      </m:oMath>
      <w:r>
        <w:t xml:space="preserve">th committee:</w:t>
      </w:r>
    </w:p>
    <w:p>
      <w:pPr>
        <w:pStyle w:val="BodyText"/>
      </w:pPr>
      <m:oMathPara>
        <m:oMathParaPr>
          <m:jc m:val="center"/>
        </m:oMathParaPr>
        <m:oMath>
          <m:sSub>
            <m:e>
              <m:r>
                <m:t>d</m:t>
              </m:r>
            </m:e>
            <m:sub>
              <m:r>
                <m:t>i</m:t>
              </m:r>
              <m:r>
                <m:t>j</m:t>
              </m:r>
              <m:r>
                <m:t>k</m:t>
              </m:r>
            </m:sub>
          </m:sSub>
          <m:r>
            <m:rPr>
              <m:sty m:val="p"/>
            </m:rPr>
            <m:t>=</m:t>
          </m:r>
          <m:sSub>
            <m:e>
              <m:r>
                <m:rPr>
                  <m:nor/>
                  <m:sty m:val="p"/>
                </m:rPr>
                <m:t>final score</m:t>
              </m:r>
            </m:e>
            <m:sub>
              <m:r>
                <m:t>i</m:t>
              </m:r>
              <m:r>
                <m:t>j</m:t>
              </m:r>
              <m:r>
                <m:t>k</m:t>
              </m:r>
            </m:sub>
          </m:sSub>
          <m:r>
            <m:rPr>
              <m:sty m:val="p"/>
            </m:rPr>
            <m:t>−</m:t>
          </m:r>
          <m:sSub>
            <m:e>
              <m:r>
                <m:rPr>
                  <m:nor/>
                  <m:sty m:val="p"/>
                </m:rPr>
                <m:t>consensus score</m:t>
              </m:r>
            </m:e>
            <m:sub>
              <m:r>
                <m:t>j</m:t>
              </m:r>
              <m:r>
                <m:t>k</m:t>
              </m:r>
            </m:sub>
          </m:sSub>
        </m:oMath>
      </m:oMathPara>
    </w:p>
    <w:p>
      <w:pPr>
        <w:pStyle w:val="FirstParagraph"/>
      </w:pPr>
      <w:r>
        <w:t xml:space="preserve">We model</w:t>
      </w:r>
      <w:r>
        <w:t xml:space="preserve"> </w:t>
      </w:r>
      <m:oMath>
        <m:sSub>
          <m:e>
            <m:r>
              <m:t>d</m:t>
            </m:r>
          </m:e>
          <m:sub>
            <m:r>
              <m:t>i</m:t>
            </m:r>
            <m:r>
              <m:t>j</m:t>
            </m:r>
            <m:r>
              <m:t>k</m:t>
            </m:r>
          </m:sub>
        </m:sSub>
      </m:oMath>
      <w:r>
        <w:t xml:space="preserve"> </w:t>
      </w:r>
      <w:r>
        <w:t xml:space="preserve">directly, rather than modeling the final score with</w:t>
      </w:r>
      <w:r>
        <w:t xml:space="preserve"> </w:t>
      </w:r>
      <w:r>
        <w:t xml:space="preserve">consensus score as a covariate, for three reasons:</w:t>
      </w:r>
    </w:p>
    <w:p>
      <w:pPr>
        <w:pStyle w:val="Compact"/>
        <w:numPr>
          <w:ilvl w:val="0"/>
          <w:numId w:val="1003"/>
        </w:numPr>
      </w:pPr>
      <w:r>
        <w:rPr>
          <w:b/>
          <w:bCs/>
        </w:rPr>
        <w:t xml:space="preserve">Point mass at zero</w:t>
      </w:r>
      <w:r>
        <w:t xml:space="preserve"> </w:t>
      </w:r>
      <w:r>
        <w:t xml:space="preserve">We hypothesize that most or many members will go with the consensus score, which leads to a mass either at the consensus (if you modeled the score) or a mass at zero if you model the difference. A member who doesn’t</w:t>
      </w:r>
      <w:r>
        <w:t xml:space="preserve"> </w:t>
      </w:r>
      <w:r>
        <w:t xml:space="preserve">move from consensus has</w:t>
      </w:r>
      <w:r>
        <w:t xml:space="preserve"> </w:t>
      </w:r>
      <m:oMath>
        <m:sSub>
          <m:e>
            <m:r>
              <m:t>d</m:t>
            </m:r>
          </m:e>
          <m:sub>
            <m:r>
              <m:t>i</m:t>
            </m:r>
            <m:r>
              <m:t>j</m:t>
            </m:r>
            <m:r>
              <m:t>k</m:t>
            </m:r>
          </m:sub>
        </m:sSub>
        <m:r>
          <m:rPr>
            <m:sty m:val="p"/>
          </m:rPr>
          <m:t>=</m:t>
        </m:r>
        <m:r>
          <m:t>0</m:t>
        </m:r>
      </m:oMath>
      <w:r>
        <w:t xml:space="preserve"> </w:t>
      </w:r>
      <w:r>
        <w:t xml:space="preserve">regardless of which application</w:t>
      </w:r>
      <w:r>
        <w:t xml:space="preserve"> </w:t>
      </w:r>
      <w:r>
        <w:t xml:space="preserve">they’re scoring. So even if you model the final score conditional on the consensus you will still have a spike, just relocated to wherever a given application’s consensus happened to land. Differencing standardizes the spike’s location across every application and makes a shared two-part model feasible.</w:t>
      </w:r>
    </w:p>
    <w:p>
      <w:pPr>
        <w:pStyle w:val="Compact"/>
        <w:numPr>
          <w:ilvl w:val="0"/>
          <w:numId w:val="1003"/>
        </w:numPr>
      </w:pPr>
      <w:r>
        <w:rPr>
          <w:b/>
          <w:bCs/>
        </w:rPr>
        <w:t xml:space="preserve">Avoids reintroducing confounding.</w:t>
      </w:r>
      <w:r>
        <w:t xml:space="preserve"> </w:t>
      </w:r>
      <w:r>
        <w:t xml:space="preserve">A freely estimated slope on</w:t>
      </w:r>
      <w:r>
        <w:t xml:space="preserve"> </w:t>
      </w:r>
      <w:r>
        <w:t xml:space="preserve">consensus in a</w:t>
      </w:r>
      <w:r>
        <w:t xml:space="preserve"> </w:t>
      </w:r>
      <w:r>
        <w:rPr>
          <w:rStyle w:val="VerbatimChar"/>
        </w:rPr>
        <w:t xml:space="preserve">final_score ~ consensus + ...</w:t>
      </w:r>
      <w:r>
        <w:t xml:space="preserve"> </w:t>
      </w:r>
      <w:r>
        <w:t xml:space="preserve">model has to recover</w:t>
      </w:r>
      <w:r>
        <w:t xml:space="preserve"> </w:t>
      </w:r>
      <w:r>
        <w:t xml:space="preserve">something close to 1 from the data; if reviewer composition happens to</w:t>
      </w:r>
      <w:r>
        <w:t xml:space="preserve"> </w:t>
      </w:r>
      <w:r>
        <w:t xml:space="preserve">correlate with consensus level across committees, that estimation can</w:t>
      </w:r>
      <w:r>
        <w:t xml:space="preserve"> </w:t>
      </w:r>
      <w:r>
        <w:t xml:space="preserve">leak into the coefficients we actually care about. Differencing with an</w:t>
      </w:r>
      <w:r>
        <w:t xml:space="preserve"> </w:t>
      </w:r>
      <w:r>
        <w:t xml:space="preserve">implicit slope of exactly 1 – the true administrative rule, not an</w:t>
      </w:r>
      <w:r>
        <w:t xml:space="preserve"> </w:t>
      </w:r>
      <w:r>
        <w:t xml:space="preserve">assumption – removes that channel by construction.</w:t>
      </w:r>
    </w:p>
    <w:p>
      <w:pPr>
        <w:pStyle w:val="Compact"/>
        <w:numPr>
          <w:ilvl w:val="0"/>
          <w:numId w:val="1003"/>
        </w:numPr>
      </w:pPr>
      <w:r>
        <w:rPr>
          <w:b/>
          <w:bCs/>
        </w:rPr>
        <w:t xml:space="preserve">Matches the actual research question.</w:t>
      </w:r>
      <w:r>
        <w:t xml:space="preserve"> </w:t>
      </w:r>
      <w:r>
        <w:t xml:space="preserve">Aim 1 is about the</w:t>
      </w:r>
      <w:r>
        <w:t xml:space="preserve"> </w:t>
      </w:r>
      <w:r>
        <w:rPr>
          <w:i/>
          <w:iCs/>
        </w:rPr>
        <w:t xml:space="preserve">change from consensus</w:t>
      </w:r>
      <w:r>
        <w:t xml:space="preserve"> </w:t>
      </w:r>
      <w:r>
        <w:t xml:space="preserve">induced by discussion, not the</w:t>
      </w:r>
      <w:r>
        <w:t xml:space="preserve"> </w:t>
      </w:r>
      <w:r>
        <w:rPr>
          <w:i/>
          <w:iCs/>
        </w:rPr>
        <w:t xml:space="preserve">level</w:t>
      </w:r>
      <w:r>
        <w:t xml:space="preserve"> </w:t>
      </w:r>
      <w:r>
        <w:t xml:space="preserve">of the final score (driven mostly</w:t>
      </w:r>
      <w:r>
        <w:t xml:space="preserve"> </w:t>
      </w:r>
      <w:r>
        <w:t xml:space="preserve">by application quality, which isn’t under study here). Nothing is lost:</w:t>
      </w:r>
      <w:r>
        <w:t xml:space="preserve"> </w:t>
      </w:r>
      <m:oMath>
        <m:r>
          <m:rPr>
            <m:nor/>
            <m:sty m:val="p"/>
          </m:rPr>
          <m:t>final score</m:t>
        </m:r>
        <m:r>
          <m:rPr>
            <m:sty m:val="p"/>
          </m:rPr>
          <m:t>=</m:t>
        </m:r>
        <m:r>
          <m:rPr>
            <m:nor/>
            <m:sty m:val="p"/>
          </m:rPr>
          <m:t>consensus</m:t>
        </m:r>
        <m:r>
          <m:rPr>
            <m:sty m:val="p"/>
          </m:rPr>
          <m:t>+</m:t>
        </m:r>
        <m:sSub>
          <m:e>
            <m:r>
              <m:t>d</m:t>
            </m:r>
          </m:e>
          <m:sub>
            <m:r>
              <m:t>i</m:t>
            </m:r>
            <m:r>
              <m:t>j</m:t>
            </m:r>
            <m:r>
              <m:t>k</m:t>
            </m:r>
          </m:sub>
        </m:sSub>
      </m:oMath>
      <w:r>
        <w:t xml:space="preserve"> </w:t>
      </w:r>
      <w:r>
        <w:t xml:space="preserve">is a trivial identity,</w:t>
      </w:r>
      <w:r>
        <w:t xml:space="preserve"> </w:t>
      </w:r>
      <w:r>
        <w:t xml:space="preserve">so anything Aim 3 needs at the score level for funding-decision</w:t>
      </w:r>
      <w:r>
        <w:t xml:space="preserve"> </w:t>
      </w:r>
      <w:r>
        <w:t xml:space="preserve">simulations can be reconstructed downstream.</w:t>
      </w:r>
    </w:p>
    <w:bookmarkEnd w:id="24"/>
    <w:bookmarkEnd w:id="25"/>
    <w:bookmarkStart w:id="26" w:name="why-a-two-part-model"/>
    <w:p>
      <w:pPr>
        <w:pStyle w:val="Heading1"/>
      </w:pPr>
      <w:r>
        <w:t xml:space="preserve">Why a two-part model</w:t>
      </w:r>
    </w:p>
    <w:p>
      <w:pPr>
        <w:pStyle w:val="FirstParagraph"/>
      </w:pPr>
      <w:r>
        <w:t xml:space="preserve">We expect</w:t>
      </w:r>
      <w:r>
        <w:t xml:space="preserve"> </w:t>
      </w:r>
      <m:oMath>
        <m:sSub>
          <m:e>
            <m:r>
              <m:t>d</m:t>
            </m:r>
          </m:e>
          <m:sub>
            <m:r>
              <m:t>i</m:t>
            </m:r>
            <m:r>
              <m:t>j</m:t>
            </m:r>
            <m:r>
              <m:t>k</m:t>
            </m:r>
          </m:sub>
        </m:sSub>
      </m:oMath>
      <w:r>
        <w:t xml:space="preserve"> </w:t>
      </w:r>
      <w:r>
        <w:t xml:space="preserve">to have a spike at exactly zero (members who simply</w:t>
      </w:r>
      <w:r>
        <w:t xml:space="preserve"> </w:t>
      </w:r>
      <w:r>
        <w:t xml:space="preserve">adopt the consensus score) plus variation among those who</w:t>
      </w:r>
      <w:r>
        <w:t xml:space="preserve"> </w:t>
      </w:r>
      <w:r>
        <w:t xml:space="preserve">depart from it. So the outcome is split into two linked</w:t>
      </w:r>
      <w:r>
        <w:t xml:space="preserve"> </w:t>
      </w:r>
      <w:r>
        <w:t xml:space="preserve">models:</w:t>
      </w:r>
    </w:p>
    <w:p>
      <w:pPr>
        <w:pStyle w:val="Compact"/>
        <w:numPr>
          <w:ilvl w:val="0"/>
          <w:numId w:val="1004"/>
        </w:numPr>
      </w:pPr>
      <w:r>
        <w:rPr>
          <w:b/>
          <w:bCs/>
        </w:rPr>
        <w:t xml:space="preserve">Did this member deviate at all?</w:t>
      </w:r>
      <w:r>
        <w:t xml:space="preserve"> </w:t>
      </w:r>
      <w:r>
        <w:t xml:space="preserve">A Bernoulli model on</w:t>
      </w:r>
      <w:r>
        <w:t xml:space="preserve"> </w:t>
      </w:r>
      <m:oMath>
        <m:r>
          <m:t>1</m:t>
        </m:r>
        <m:d>
          <m:dPr>
            <m:begChr m:val="["/>
            <m:sepChr m:val=""/>
            <m:endChr m:val="]"/>
            <m:grow/>
          </m:dPr>
          <m:e>
            <m:sSub>
              <m:e>
                <m:r>
                  <m:t>d</m:t>
                </m:r>
              </m:e>
              <m:sub>
                <m:r>
                  <m:t>i</m:t>
                </m:r>
                <m:r>
                  <m:t>j</m:t>
                </m:r>
                <m:r>
                  <m:t>k</m:t>
                </m:r>
              </m:sub>
            </m:sSub>
            <m:r>
              <m:rPr>
                <m:sty m:val="p"/>
              </m:rPr>
              <m:t>≠</m:t>
            </m:r>
            <m:r>
              <m:t>0</m:t>
            </m:r>
          </m:e>
        </m:d>
      </m:oMath>
      <w:r>
        <w:t xml:space="preserve">.</w:t>
      </w:r>
    </w:p>
    <w:p>
      <w:pPr>
        <w:pStyle w:val="Compact"/>
        <w:numPr>
          <w:ilvl w:val="0"/>
          <w:numId w:val="1004"/>
        </w:numPr>
      </w:pPr>
      <w:r>
        <w:rPr>
          <w:b/>
          <w:bCs/>
        </w:rPr>
        <w:t xml:space="preserve">If they deviated, by how much?</w:t>
      </w:r>
      <w:r>
        <w:t xml:space="preserve"> </w:t>
      </w:r>
      <w:r>
        <w:t xml:space="preserve">A model for the (signed) magnitude,</w:t>
      </w:r>
      <w:r>
        <w:t xml:space="preserve"> </w:t>
      </w:r>
      <w:r>
        <w:t xml:space="preserve">conditional on deviating.</w:t>
      </w:r>
    </w:p>
    <w:p>
      <w:pPr>
        <w:pStyle w:val="FirstParagraph"/>
      </w:pPr>
      <m:oMathPara>
        <m:oMathParaPr>
          <m:jc m:val="center"/>
        </m:oMathParaPr>
        <m:oMath>
          <m:r>
            <m:t>E</m:t>
          </m:r>
          <m:d>
            <m:dPr>
              <m:begChr m:val="["/>
              <m:sepChr m:val=""/>
              <m:endChr m:val="]"/>
              <m:grow/>
            </m:dPr>
            <m:e>
              <m:sSub>
                <m:e>
                  <m:r>
                    <m:t>d</m:t>
                  </m:r>
                </m:e>
                <m:sub>
                  <m:r>
                    <m:t>i</m:t>
                  </m:r>
                  <m:r>
                    <m:t>j</m:t>
                  </m:r>
                  <m:r>
                    <m:t>k</m:t>
                  </m:r>
                </m:sub>
              </m:sSub>
            </m:e>
          </m:d>
          <m:r>
            <m:rPr>
              <m:sty m:val="p"/>
            </m:rPr>
            <m:t>=</m:t>
          </m:r>
          <m:limLow>
            <m:e>
              <m:limLow>
                <m:e>
                  <m:r>
                    <m:t>P</m:t>
                  </m:r>
                  <m:d>
                    <m:dPr>
                      <m:begChr m:val="("/>
                      <m:sepChr m:val=""/>
                      <m:endChr m:val=")"/>
                      <m:grow/>
                    </m:dPr>
                    <m:e>
                      <m:r>
                        <m:rPr>
                          <m:nor/>
                          <m:sty m:val="p"/>
                        </m:rPr>
                        <m:t>deviate</m:t>
                      </m:r>
                    </m:e>
                  </m:d>
                </m:e>
                <m:lim>
                  <m:r>
                    <m:rPr>
                      <m:sty m:val="p"/>
                    </m:rPr>
                    <m:t>⏟</m:t>
                  </m:r>
                </m:lim>
              </m:limLow>
            </m:e>
            <m:lim>
              <m:m>
                <m:mPr>
                  <m:baseJc m:val="center"/>
                  <m:plcHide m:val="on"/>
                  <m:mcs>
                    <m:mc>
                      <m:mcPr>
                        <m:mcJc m:val="center"/>
                        <m:count m:val="1"/>
                      </m:mcPr>
                    </m:mc>
                  </m:mcs>
                </m:mPr>
                <m:mr>
                  <m:e>
                    <m:r>
                      <m:rPr>
                        <m:nor/>
                        <m:sty m:val="p"/>
                      </m:rPr>
                      <m:t>Part 1: any</m:t>
                    </m:r>
                  </m:e>
                </m:mr>
                <m:mr>
                  <m:e>
                    <m:r>
                      <m:rPr>
                        <m:nor/>
                        <m:sty m:val="p"/>
                      </m:rPr>
                      <m:t>deviation at all</m:t>
                    </m:r>
                  </m:e>
                </m:mr>
              </m:m>
            </m:lim>
          </m:limLow>
          <m:r>
            <m:rPr>
              <m:sty m:val="p"/>
            </m:rPr>
            <m:t>×</m:t>
          </m:r>
          <m:limLow>
            <m:e>
              <m:limLow>
                <m:e>
                  <m:r>
                    <m:t>E</m:t>
                  </m:r>
                  <m:d>
                    <m:dPr>
                      <m:begChr m:val="["/>
                      <m:sepChr m:val=""/>
                      <m:endChr m:val="]"/>
                      <m:grow/>
                    </m:dPr>
                    <m:e>
                      <m:r>
                        <m:rPr>
                          <m:nor/>
                          <m:sty m:val="p"/>
                        </m:rPr>
                        <m:t>magnitude</m:t>
                      </m:r>
                      <m:r>
                        <m:rPr>
                          <m:sty m:val="p"/>
                        </m:rPr>
                        <m:t>∣</m:t>
                      </m:r>
                      <m:r>
                        <m:rPr>
                          <m:nor/>
                          <m:sty m:val="p"/>
                        </m:rPr>
                        <m:t>deviate</m:t>
                      </m:r>
                    </m:e>
                  </m:d>
                </m:e>
                <m:lim>
                  <m:r>
                    <m:rPr>
                      <m:sty m:val="p"/>
                    </m:rPr>
                    <m:t>⏟</m:t>
                  </m:r>
                </m:lim>
              </m:limLow>
            </m:e>
            <m:lim>
              <m:m>
                <m:mPr>
                  <m:baseJc m:val="center"/>
                  <m:plcHide m:val="on"/>
                  <m:mcs>
                    <m:mc>
                      <m:mcPr>
                        <m:mcJc m:val="center"/>
                        <m:count m:val="1"/>
                      </m:mcPr>
                    </m:mc>
                  </m:mcs>
                </m:mPr>
                <m:mr>
                  <m:e>
                    <m:r>
                      <m:rPr>
                        <m:nor/>
                        <m:sty m:val="p"/>
                      </m:rPr>
                      <m:t>Part 2: size</m:t>
                    </m:r>
                  </m:e>
                </m:mr>
                <m:mr>
                  <m:e>
                    <m:r>
                      <m:rPr>
                        <m:nor/>
                        <m:sty m:val="p"/>
                      </m:rPr>
                      <m:t>given deviation</m:t>
                    </m:r>
                  </m:e>
                </m:mr>
              </m:m>
            </m:lim>
          </m:limLow>
        </m:oMath>
      </m:oMathPara>
    </w:p>
    <w:p>
      <w:pPr>
        <w:pStyle w:val="FirstParagraph"/>
      </w:pPr>
      <w:r>
        <w:t xml:space="preserve">This isn’t just theoretically motivated – we checked it empirically before</w:t>
      </w:r>
      <w:r>
        <w:t xml:space="preserve"> </w:t>
      </w:r>
      <w:r>
        <w:t xml:space="preserve">committing to the extra complexity. If most of the covariate signal about</w:t>
      </w:r>
      <w:r>
        <w:t xml:space="preserve"> </w:t>
      </w:r>
      <w:r>
        <w:t xml:space="preserve">reviewer engagement/expertise actually lived in the</w:t>
      </w:r>
      <w:r>
        <w:t xml:space="preserve"> </w:t>
      </w:r>
      <w:r>
        <w:rPr>
          <w:i/>
          <w:iCs/>
        </w:rPr>
        <w:t xml:space="preserve">average size</w:t>
      </w:r>
      <w:r>
        <w:t xml:space="preserve"> </w:t>
      </w:r>
      <w:r>
        <w:t xml:space="preserve">of the</w:t>
      </w:r>
      <w:r>
        <w:t xml:space="preserve"> </w:t>
      </w:r>
      <w:r>
        <w:t xml:space="preserve">deviation rather than</w:t>
      </w:r>
      <w:r>
        <w:t xml:space="preserve"> </w:t>
      </w:r>
      <w:r>
        <w:rPr>
          <w:i/>
          <w:iCs/>
        </w:rPr>
        <w:t xml:space="preserve">whether</w:t>
      </w:r>
      <w:r>
        <w:t xml:space="preserve"> </w:t>
      </w:r>
      <w:r>
        <w:t xml:space="preserve">a deviation happens, a single linear model</w:t>
      </w:r>
      <w:r>
        <w:t xml:space="preserve"> </w:t>
      </w:r>
      <w:r>
        <w:t xml:space="preserve">on</w:t>
      </w:r>
      <w:r>
        <w:t xml:space="preserve"> </w:t>
      </w:r>
      <m:oMath>
        <m:sSub>
          <m:e>
            <m:r>
              <m:t>d</m:t>
            </m:r>
          </m:e>
          <m:sub>
            <m:r>
              <m:t>i</m:t>
            </m:r>
            <m:r>
              <m:t>j</m:t>
            </m:r>
            <m:r>
              <m:t>k</m:t>
            </m:r>
          </m:sub>
        </m:sSub>
      </m:oMath>
      <w:r>
        <w:t xml:space="preserve"> </w:t>
      </w:r>
      <w:r>
        <w:t xml:space="preserve">would be simpler and would suffice.</w:t>
      </w:r>
    </w:p>
    <w:p>
      <w:pPr>
        <w:pStyle w:val="TableCaption"/>
      </w:pPr>
      <w:r>
        <w:t xml:space="preserve">Aim 1: a linear model on raw deviation vs. a logistic model on whether any deviation occurred, same covariates, same simulated data</w:t>
      </w:r>
    </w:p>
    <w:tbl>
      <w:tblPr>
        <w:tblStyle w:val="Table"/>
        <w:tblW w:type="pct" w:w="4236"/>
        <w:tblLayout w:type="fixed"/>
        <w:tblLook w:firstRow="1" w:lastRow="0" w:firstColumn="0" w:lastColumn="0" w:noHBand="0" w:noVBand="0" w:val="0020"/>
        <w:tblCaption w:val="Aim 1: a linear model on raw deviation vs. a logistic model on whether any deviation occurred, same covariates, same simulated data"/>
      </w:tblPr>
      <w:tblGrid>
        <w:gridCol w:w="1540"/>
        <w:gridCol w:w="2200"/>
        <w:gridCol w:w="2970"/>
      </w:tblGrid>
      <w:tr>
        <w:trPr>
          <w:tblHeader w:val="on"/>
        </w:trPr>
        <w:tc>
          <w:tcPr/>
          <w:p>
            <w:pPr>
              <w:pStyle w:val="Compact"/>
            </w:pPr>
          </w:p>
        </w:tc>
        <w:tc>
          <w:tcPr/>
          <w:p>
            <w:pPr>
              <w:pStyle w:val="Compact"/>
            </w:pPr>
            <w:r>
              <w:t xml:space="preserve">Linear: deviation</w:t>
            </w:r>
          </w:p>
        </w:tc>
        <w:tc>
          <w:tcPr/>
          <w:p>
            <w:pPr>
              <w:pStyle w:val="Compact"/>
            </w:pPr>
            <w:r>
              <w:t xml:space="preserve">Logistic: deviated (0/1)</w:t>
            </w:r>
          </w:p>
        </w:tc>
      </w:tr>
      <w:tr>
        <w:tc>
          <w:tcPr/>
          <w:p>
            <w:pPr>
              <w:pStyle w:val="Compact"/>
            </w:pPr>
            <w:r>
              <w:t xml:space="preserve">(Intercept)</w:t>
            </w:r>
          </w:p>
        </w:tc>
        <w:tc>
          <w:tcPr/>
          <w:p>
            <w:pPr>
              <w:pStyle w:val="Compact"/>
            </w:pPr>
            <w:r>
              <w:t xml:space="preserve">-0.001</w:t>
            </w:r>
          </w:p>
        </w:tc>
        <w:tc>
          <w:tcPr/>
          <w:p>
            <w:pPr>
              <w:pStyle w:val="Compact"/>
            </w:pPr>
            <w:r>
              <w:t xml:space="preserve">-0.964</w:t>
            </w:r>
          </w:p>
        </w:tc>
      </w:tr>
      <w:tr>
        <w:tc>
          <w:tcPr/>
          <w:p>
            <w:pPr>
              <w:pStyle w:val="Compact"/>
            </w:pPr>
          </w:p>
        </w:tc>
        <w:tc>
          <w:tcPr/>
          <w:p>
            <w:pPr>
              <w:pStyle w:val="Compact"/>
            </w:pPr>
            <w:r>
              <w:t xml:space="preserve">(0.002)</w:t>
            </w:r>
          </w:p>
        </w:tc>
        <w:tc>
          <w:tcPr/>
          <w:p>
            <w:pPr>
              <w:pStyle w:val="Compact"/>
            </w:pPr>
            <w:r>
              <w:t xml:space="preserve">(0.034)</w:t>
            </w:r>
          </w:p>
        </w:tc>
      </w:tr>
      <w:tr>
        <w:tc>
          <w:tcPr/>
          <w:p>
            <w:pPr>
              <w:pStyle w:val="Compact"/>
            </w:pPr>
            <w:r>
              <w:t xml:space="preserve">jobreviewer</w:t>
            </w:r>
          </w:p>
        </w:tc>
        <w:tc>
          <w:tcPr/>
          <w:p>
            <w:pPr>
              <w:pStyle w:val="Compact"/>
            </w:pPr>
            <w:r>
              <w:t xml:space="preserve">-0.004</w:t>
            </w:r>
          </w:p>
        </w:tc>
        <w:tc>
          <w:tcPr/>
          <w:p>
            <w:pPr>
              <w:pStyle w:val="Compact"/>
            </w:pPr>
            <w:r>
              <w:t xml:space="preserve">-0.274</w:t>
            </w:r>
          </w:p>
        </w:tc>
      </w:tr>
      <w:tr>
        <w:tc>
          <w:tcPr/>
          <w:p>
            <w:pPr>
              <w:pStyle w:val="Compact"/>
            </w:pPr>
          </w:p>
        </w:tc>
        <w:tc>
          <w:tcPr/>
          <w:p>
            <w:pPr>
              <w:pStyle w:val="Compact"/>
            </w:pPr>
            <w:r>
              <w:t xml:space="preserve">(0.003)</w:t>
            </w:r>
          </w:p>
        </w:tc>
        <w:tc>
          <w:tcPr/>
          <w:p>
            <w:pPr>
              <w:pStyle w:val="Compact"/>
            </w:pPr>
            <w:r>
              <w:t xml:space="preserve">(0.049)</w:t>
            </w:r>
          </w:p>
        </w:tc>
      </w:tr>
      <w:tr>
        <w:tc>
          <w:tcPr/>
          <w:p>
            <w:pPr>
              <w:pStyle w:val="Compact"/>
            </w:pPr>
            <w:r>
              <w:t xml:space="preserve">explow</w:t>
            </w:r>
          </w:p>
        </w:tc>
        <w:tc>
          <w:tcPr/>
          <w:p>
            <w:pPr>
              <w:pStyle w:val="Compact"/>
            </w:pPr>
            <w:r>
              <w:t xml:space="preserve">0.004</w:t>
            </w:r>
          </w:p>
        </w:tc>
        <w:tc>
          <w:tcPr/>
          <w:p>
            <w:pPr>
              <w:pStyle w:val="Compact"/>
            </w:pPr>
            <w:r>
              <w:t xml:space="preserve">0.654</w:t>
            </w:r>
          </w:p>
        </w:tc>
      </w:tr>
      <w:tr>
        <w:tc>
          <w:tcPr/>
          <w:p>
            <w:pPr>
              <w:pStyle w:val="Compact"/>
            </w:pPr>
          </w:p>
        </w:tc>
        <w:tc>
          <w:tcPr/>
          <w:p>
            <w:pPr>
              <w:pStyle w:val="Compact"/>
            </w:pPr>
            <w:r>
              <w:t xml:space="preserve">(0.003)</w:t>
            </w:r>
          </w:p>
        </w:tc>
        <w:tc>
          <w:tcPr/>
          <w:p>
            <w:pPr>
              <w:pStyle w:val="Compact"/>
            </w:pPr>
            <w:r>
              <w:t xml:space="preserve">(0.050)</w:t>
            </w:r>
          </w:p>
        </w:tc>
      </w:tr>
      <w:tr>
        <w:tc>
          <w:tcPr/>
          <w:p>
            <w:pPr>
              <w:pStyle w:val="Compact"/>
            </w:pPr>
            <w:r>
              <w:t xml:space="preserve">expmed</w:t>
            </w:r>
          </w:p>
        </w:tc>
        <w:tc>
          <w:tcPr/>
          <w:p>
            <w:pPr>
              <w:pStyle w:val="Compact"/>
            </w:pPr>
            <w:r>
              <w:t xml:space="preserve">0.000</w:t>
            </w:r>
          </w:p>
        </w:tc>
        <w:tc>
          <w:tcPr/>
          <w:p>
            <w:pPr>
              <w:pStyle w:val="Compact"/>
            </w:pPr>
            <w:r>
              <w:t xml:space="preserve">0.447</w:t>
            </w:r>
          </w:p>
        </w:tc>
      </w:tr>
      <w:tr>
        <w:tc>
          <w:tcPr/>
          <w:p>
            <w:pPr>
              <w:pStyle w:val="Compact"/>
            </w:pPr>
          </w:p>
        </w:tc>
        <w:tc>
          <w:tcPr/>
          <w:p>
            <w:pPr>
              <w:pStyle w:val="Compact"/>
            </w:pPr>
            <w:r>
              <w:t xml:space="preserve">(0.002)</w:t>
            </w:r>
          </w:p>
        </w:tc>
        <w:tc>
          <w:tcPr/>
          <w:p>
            <w:pPr>
              <w:pStyle w:val="Compact"/>
            </w:pPr>
            <w:r>
              <w:t xml:space="preserve">(0.041)</w:t>
            </w:r>
          </w:p>
        </w:tc>
      </w:tr>
      <w:tr>
        <w:tc>
          <w:tcPr/>
          <w:p>
            <w:pPr>
              <w:pStyle w:val="Compact"/>
            </w:pPr>
            <w:r>
              <w:t xml:space="preserve">expnone</w:t>
            </w:r>
          </w:p>
        </w:tc>
        <w:tc>
          <w:tcPr/>
          <w:p>
            <w:pPr>
              <w:pStyle w:val="Compact"/>
            </w:pPr>
            <w:r>
              <w:t xml:space="preserve">0.001</w:t>
            </w:r>
          </w:p>
        </w:tc>
        <w:tc>
          <w:tcPr/>
          <w:p>
            <w:pPr>
              <w:pStyle w:val="Compact"/>
            </w:pPr>
            <w:r>
              <w:t xml:space="preserve">0.938</w:t>
            </w:r>
          </w:p>
        </w:tc>
      </w:tr>
      <w:tr>
        <w:tc>
          <w:tcPr/>
          <w:p>
            <w:pPr>
              <w:pStyle w:val="Compact"/>
            </w:pPr>
          </w:p>
        </w:tc>
        <w:tc>
          <w:tcPr/>
          <w:p>
            <w:pPr>
              <w:pStyle w:val="Compact"/>
            </w:pPr>
            <w:r>
              <w:t xml:space="preserve">(0.003)</w:t>
            </w:r>
          </w:p>
        </w:tc>
        <w:tc>
          <w:tcPr/>
          <w:p>
            <w:pPr>
              <w:pStyle w:val="Compact"/>
            </w:pPr>
            <w:r>
              <w:t xml:space="preserve">(0.050)</w:t>
            </w:r>
          </w:p>
        </w:tc>
      </w:tr>
      <w:tr>
        <w:tc>
          <w:tcPr/>
          <w:p>
            <w:pPr>
              <w:pStyle w:val="Compact"/>
            </w:pPr>
            <w:r>
              <w:t xml:space="preserve">Num.Obs.</w:t>
            </w:r>
          </w:p>
        </w:tc>
        <w:tc>
          <w:tcPr/>
          <w:p>
            <w:pPr>
              <w:pStyle w:val="Compact"/>
            </w:pPr>
            <w:r>
              <w:t xml:space="preserve">18000</w:t>
            </w:r>
          </w:p>
        </w:tc>
        <w:tc>
          <w:tcPr/>
          <w:p>
            <w:pPr>
              <w:pStyle w:val="Compact"/>
            </w:pPr>
            <w:r>
              <w:t xml:space="preserve">18000</w:t>
            </w:r>
          </w:p>
        </w:tc>
      </w:tr>
    </w:tbl>
    <w:p>
      <w:pPr>
        <w:pStyle w:val="BodyText"/>
      </w:pPr>
      <w:r>
        <w:t xml:space="preserve">The linear model’s coefficients on</w:t>
      </w:r>
      <w:r>
        <w:t xml:space="preserve"> </w:t>
      </w:r>
      <w:r>
        <w:rPr>
          <w:rStyle w:val="VerbatimChar"/>
        </w:rPr>
        <w:t xml:space="preserve">job</w:t>
      </w:r>
      <w:r>
        <w:t xml:space="preserve">/</w:t>
      </w:r>
      <w:r>
        <w:rPr>
          <w:rStyle w:val="VerbatimChar"/>
        </w:rPr>
        <w:t xml:space="preserve">exp</w:t>
      </w:r>
      <w:r>
        <w:t xml:space="preserve"> </w:t>
      </w:r>
      <w:r>
        <w:t xml:space="preserve">are tiny and mostly</w:t>
      </w:r>
      <w:r>
        <w:t xml:space="preserve"> </w:t>
      </w:r>
      <w:r>
        <w:t xml:space="preserve">non-significant (largest around 0.005 points, on an outcome bounded at</w:t>
      </w:r>
      <w:r>
        <w:t xml:space="preserve"> </w:t>
      </w:r>
      <m:oMath>
        <m:r>
          <m:rPr>
            <m:sty m:val="p"/>
          </m:rPr>
          <m:t>±</m:t>
        </m:r>
        <m:r>
          <m:t>0.5</m:t>
        </m:r>
      </m:oMath>
      <w:r>
        <w:t xml:space="preserve">). The logistic model on the same covariates recovers the large,</w:t>
      </w:r>
      <w:r>
        <w:t xml:space="preserve"> </w:t>
      </w:r>
      <w:r>
        <w:t xml:space="preserve">highly significant effect pattern actually built into the simulator</w:t>
      </w:r>
      <w:r>
        <w:t xml:space="preserve"> </w:t>
      </w:r>
      <w:r>
        <w:t xml:space="preserve">(</w:t>
      </w:r>
      <w:r>
        <w:rPr>
          <w:rStyle w:val="VerbatimChar"/>
        </w:rPr>
        <w:t xml:space="preserve">code/ror-sim-deviation.R</w:t>
      </w:r>
      <w:r>
        <w:t xml:space="preserve">). Because deviation magnitude is roughly</w:t>
      </w:r>
      <w:r>
        <w:t xml:space="preserve"> </w:t>
      </w:r>
      <w:r>
        <w:t xml:space="preserve">symmetric around zero conditional on deviating, essentially all the</w:t>
      </w:r>
      <w:r>
        <w:t xml:space="preserve"> </w:t>
      </w:r>
      <w:r>
        <w:t xml:space="preserve">covariate signal lives in</w:t>
      </w:r>
      <w:r>
        <w:t xml:space="preserve"> </w:t>
      </w:r>
      <w:r>
        <w:rPr>
          <w:i/>
          <w:iCs/>
        </w:rPr>
        <w:t xml:space="preserve">whether</w:t>
      </w:r>
      <w:r>
        <w:t xml:space="preserve"> </w:t>
      </w:r>
      <w:r>
        <w:t xml:space="preserve">someone deviates – a model that only</w:t>
      </w:r>
      <w:r>
        <w:t xml:space="preserve"> </w:t>
      </w:r>
      <w:r>
        <w:t xml:space="preserve">looks at the conditional mean of</w:t>
      </w:r>
      <w:r>
        <w:t xml:space="preserve"> </w:t>
      </w:r>
      <m:oMath>
        <m:sSub>
          <m:e>
            <m:r>
              <m:t>d</m:t>
            </m:r>
          </m:e>
          <m:sub>
            <m:r>
              <m:t>i</m:t>
            </m:r>
            <m:r>
              <m:t>j</m:t>
            </m:r>
            <m:r>
              <m:t>k</m:t>
            </m:r>
          </m:sub>
        </m:sSub>
      </m:oMath>
      <w:r>
        <w:t xml:space="preserve"> </w:t>
      </w:r>
      <w:r>
        <w:t xml:space="preserve">structurally cannot see it. This</w:t>
      </w:r>
      <w:r>
        <w:t xml:space="preserve"> </w:t>
      </w:r>
      <w:r>
        <w:t xml:space="preserve">confirms the two-part structure is doing real work here, not adding</w:t>
      </w:r>
      <w:r>
        <w:t xml:space="preserve"> </w:t>
      </w:r>
      <w:r>
        <w:t xml:space="preserve">complexity for its own sake.</w:t>
      </w:r>
    </w:p>
    <w:bookmarkEnd w:id="26"/>
    <w:bookmarkStart w:id="44" w:name="model-specification-aim-1"/>
    <w:p>
      <w:pPr>
        <w:pStyle w:val="Heading1"/>
      </w:pPr>
      <w:r>
        <w:t xml:space="preserve">Model specification (Aim 1)</w:t>
      </w:r>
    </w:p>
    <w:bookmarkStart w:id="27" w:name="simulating-the-data-generating-process"/>
    <w:p>
      <w:pPr>
        <w:pStyle w:val="Heading2"/>
      </w:pPr>
      <w:r>
        <w:t xml:space="preserve">Simulating the data-generating process</w:t>
      </w:r>
    </w:p>
    <w:p>
      <w:pPr>
        <w:pStyle w:val="FirstParagraph"/>
      </w:pPr>
      <w:r>
        <w:t xml:space="preserve">For the basic structure we use 50 committees, 15 discussed applications per committee, 24 members per committee. We also simulate another 15 applications that will end up being streamlined. For the assignments we have 3 of the 24 members on each application as the assigned reviewers, the rest are non-reviewing panelists. A consensus score is drawn</w:t>
      </w:r>
      <w:r>
        <w:t xml:space="preserve"> </w:t>
      </w:r>
      <w:r>
        <w:t xml:space="preserve">per application (committee- and application-level random effects only, no</w:t>
      </w:r>
      <w:r>
        <w:t xml:space="preserve"> </w:t>
      </w:r>
      <w:r>
        <w:t xml:space="preserve">member-level variation yet, since this is before any individual scoring happens). Whether each member deviates from that consensus is a function of their role and self-described expertise; if they deviate, the signed</w:t>
      </w:r>
      <w:r>
        <w:t xml:space="preserve"> </w:t>
      </w:r>
      <w:r>
        <w:t xml:space="preserve">magnitude is drawn from a truncated distribution and rounded to the nearest tenth, matching CIHR’s one-decimal-place scoring (with rejection sampling so a</w:t>
      </w:r>
      <w:r>
        <w:t xml:space="preserve"> </w:t>
      </w:r>
      <w:r>
        <w:t xml:space="preserve">“deviated”</w:t>
      </w:r>
      <w:r>
        <w:t xml:space="preserve"> </w:t>
      </w:r>
      <w:r>
        <w:t xml:space="preserve">row can never round down to a contradictory zero).</w:t>
      </w:r>
    </w:p>
    <w:p>
      <w:pPr>
        <w:pStyle w:val="BodyText"/>
      </w:pPr>
      <w:r>
        <w:t xml:space="preserve">Every parameter above is at this point just an educated guess and a placeholder, since the point of the simulation is to see whether our modeling approach recovers a known effects, not predictive of what CIHR’s actual numbers will look like.</w:t>
      </w:r>
    </w:p>
    <w:bookmarkEnd w:id="27"/>
    <w:bookmarkStart w:id="40" w:name="simulated-data"/>
    <w:p>
      <w:pPr>
        <w:pStyle w:val="Heading2"/>
      </w:pPr>
      <w:r>
        <w:t xml:space="preserve">Simulated data</w:t>
      </w:r>
    </w:p>
    <w:p>
      <w:pPr>
        <w:pStyle w:val="FirstParagraph"/>
      </w:pPr>
      <w:r>
        <w:t xml:space="preserve">What did we generate with the parameters above?</w:t>
      </w:r>
      <w:r>
        <w:t xml:space="preserve"> </w:t>
      </w:r>
      <w:hyperlink w:anchor="fig-scores">
        <w:r>
          <w:rPr>
            <w:rStyle w:val="Hyperlink"/>
          </w:rPr>
          <w:t xml:space="preserve">Figure 1</w:t>
        </w:r>
      </w:hyperlink>
      <w:r>
        <w:t xml:space="preserve"> </w:t>
      </w:r>
      <w:r>
        <w:t xml:space="preserve">shows the distribution of initial scores from the three reviewers, the consensus score and then a distribution of overall scores allowing for +/- 0.5 point deviations. Since the likely true consensus scores are not necessarily an average of the 3 reviewer scores (depending on calibration, etc.) we see a small excess in the left tail near 3.5. In practice a consensus score of 3.5</w:t>
      </w:r>
      <w:r>
        <w:t xml:space="preserve"> </w:t>
      </w:r>
      <w:r>
        <w:rPr>
          <w:i/>
          <w:iCs/>
        </w:rPr>
        <w:t xml:space="preserve">among discussed applications</w:t>
      </w:r>
      <w:r>
        <w:t xml:space="preserve"> </w:t>
      </w:r>
      <w:r>
        <w:t xml:space="preserve">is likely more rare, but this seems a reasonable approximation.</w:t>
      </w:r>
    </w:p>
    <w:tbl>
      <w:tblPr>
        <w:tblStyle w:val="Table"/>
        <w:tblW w:type="pct" w:w="5000"/>
        <w:tblLayout w:type="fixed"/>
        <w:tblLook w:firstRow="0" w:lastRow="0" w:firstColumn="0" w:lastColumn="0" w:noHBand="0" w:noVBand="0" w:val="0000"/>
      </w:tblPr>
      <w:tblGrid>
        <w:gridCol w:w="7920"/>
      </w:tblGrid>
      <w:tr>
        <w:tc>
          <w:tcPr/>
          <w:bookmarkStart w:id="31" w:name="fig-scores"/>
          <w:p>
            <w:pPr>
              <w:pStyle w:val="Compact"/>
              <w:jc w:val="center"/>
            </w:pPr>
            <w:r>
              <w:drawing>
                <wp:inline>
                  <wp:extent cx="5334000" cy="4267200"/>
                  <wp:effectExtent b="0" l="0" r="0" t="0"/>
                  <wp:docPr descr="" title="" id="29" name="Picture"/>
                  <a:graphic>
                    <a:graphicData uri="http://schemas.openxmlformats.org/drawingml/2006/picture">
                      <pic:pic>
                        <pic:nvPicPr>
                          <pic:cNvPr descr="ror-modeling-strategy_files/figure-docx/fig-scores-1.png" id="30" name="Picture"/>
                          <pic:cNvPicPr>
                            <a:picLocks noChangeArrowheads="1" noChangeAspect="1"/>
                          </pic:cNvPicPr>
                        </pic:nvPicPr>
                        <pic:blipFill>
                          <a:blip r:embed="rId2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simulated intial, consensus, and overall scores</w:t>
            </w:r>
          </w:p>
          <w:bookmarkEnd w:id="31"/>
        </w:tc>
      </w:tr>
    </w:tbl>
    <w:p>
      <w:pPr>
        <w:pStyle w:val="BodyText"/>
      </w:pPr>
      <w:hyperlink w:anchor="fig-dev">
        <w:r>
          <w:rPr>
            <w:rStyle w:val="Hyperlink"/>
          </w:rPr>
          <w:t xml:space="preserve">Figure 2</w:t>
        </w:r>
      </w:hyperlink>
      <w:r>
        <w:t xml:space="preserve"> </w:t>
      </w:r>
      <w:r>
        <w:t xml:space="preserve">also shows the odd distribution of deviations from the overall consensus score, with a large spike at zero (roughly 2/3rds of committee members going with the consensus):</w:t>
      </w:r>
    </w:p>
    <w:tbl>
      <w:tblPr>
        <w:tblStyle w:val="Table"/>
        <w:tblW w:type="pct" w:w="5000"/>
        <w:tblLayout w:type="fixed"/>
        <w:tblLook w:firstRow="0" w:lastRow="0" w:firstColumn="0" w:lastColumn="0" w:noHBand="0" w:noVBand="0" w:val="0000"/>
      </w:tblPr>
      <w:tblGrid>
        <w:gridCol w:w="7920"/>
      </w:tblGrid>
      <w:tr>
        <w:tc>
          <w:tcPr/>
          <w:bookmarkStart w:id="35" w:name="fig-dev"/>
          <w:p>
            <w:pPr>
              <w:pStyle w:val="Compact"/>
              <w:jc w:val="center"/>
            </w:pPr>
            <w:r>
              <w:drawing>
                <wp:inline>
                  <wp:extent cx="5334000" cy="4267200"/>
                  <wp:effectExtent b="0" l="0" r="0" t="0"/>
                  <wp:docPr descr="" title="" id="33" name="Picture"/>
                  <a:graphic>
                    <a:graphicData uri="http://schemas.openxmlformats.org/drawingml/2006/picture">
                      <pic:pic>
                        <pic:nvPicPr>
                          <pic:cNvPr descr="ror-modeling-strategy_files/figure-docx/fig-dev-1.png" id="34" name="Picture"/>
                          <pic:cNvPicPr>
                            <a:picLocks noChangeArrowheads="1" noChangeAspect="1"/>
                          </pic:cNvPicPr>
                        </pic:nvPicPr>
                        <pic:blipFill>
                          <a:blip r:embed="rId3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deviations from overall consensus scores</w:t>
            </w:r>
          </w:p>
          <w:bookmarkEnd w:id="35"/>
        </w:tc>
      </w:tr>
    </w:tbl>
    <w:p>
      <w:pPr>
        <w:pStyle w:val="BodyText"/>
      </w:pPr>
      <w:hyperlink w:anchor="fig-var">
        <w:r>
          <w:rPr>
            <w:rStyle w:val="Hyperlink"/>
          </w:rPr>
          <w:t xml:space="preserve">Figure 3</w:t>
        </w:r>
      </w:hyperlink>
      <w:r>
        <w:t xml:space="preserve"> </w:t>
      </w:r>
      <w:r>
        <w:t xml:space="preserve">shows how our initial simulation incorporates a small degree of variation across committees in the overall scores, as well as the average variation within committees across applications. For the application-level variation we average over committee by within-committee application rank.</w:t>
      </w:r>
    </w:p>
    <w:tbl>
      <w:tblPr>
        <w:tblStyle w:val="Table"/>
        <w:tblW w:type="pct" w:w="5000"/>
        <w:tblLayout w:type="fixed"/>
        <w:tblLook w:firstRow="0" w:lastRow="0" w:firstColumn="0" w:lastColumn="0" w:noHBand="0" w:noVBand="0" w:val="0000"/>
      </w:tblPr>
      <w:tblGrid>
        <w:gridCol w:w="7920"/>
      </w:tblGrid>
      <w:tr>
        <w:tc>
          <w:tcPr/>
          <w:bookmarkStart w:id="39" w:name="fig-var"/>
          <w:p>
            <w:pPr>
              <w:pStyle w:val="Compact"/>
              <w:jc w:val="center"/>
            </w:pPr>
            <w:r>
              <w:drawing>
                <wp:inline>
                  <wp:extent cx="5334000" cy="4267200"/>
                  <wp:effectExtent b="0" l="0" r="0" t="0"/>
                  <wp:docPr descr="" title="" id="37" name="Picture"/>
                  <a:graphic>
                    <a:graphicData uri="http://schemas.openxmlformats.org/drawingml/2006/picture">
                      <pic:pic>
                        <pic:nvPicPr>
                          <pic:cNvPr descr="ror-modeling-strategy_files/figure-docx/fig-var-1.png" id="38" name="Picture"/>
                          <pic:cNvPicPr>
                            <a:picLocks noChangeArrowheads="1" noChangeAspect="1"/>
                          </pic:cNvPicPr>
                        </pic:nvPicPr>
                        <pic:blipFill>
                          <a:blip r:embed="rId3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Distribution of score variation by committee and application</w:t>
            </w:r>
          </w:p>
          <w:bookmarkEnd w:id="39"/>
        </w:tc>
      </w:tr>
    </w:tbl>
    <w:bookmarkEnd w:id="40"/>
    <w:bookmarkStart w:id="41" w:name="part-1-did-this-member-deviate"/>
    <w:p>
      <w:pPr>
        <w:pStyle w:val="Heading2"/>
      </w:pPr>
      <w:r>
        <w:t xml:space="preserve">Part 1: did this member deviate?</w:t>
      </w:r>
    </w:p>
    <w:p>
      <w:pPr>
        <w:pStyle w:val="FirstParagraph"/>
      </w:pPr>
      <w:r>
        <w:t xml:space="preserve">Random intercepts for committee, member (</w:t>
      </w:r>
      <w:r>
        <w:rPr>
          <w:rStyle w:val="VerbatimChar"/>
        </w:rPr>
        <w:t xml:space="preserve">cid</w:t>
      </w:r>
      <w:r>
        <w:t xml:space="preserve">), and application; fixed</w:t>
      </w:r>
      <w:r>
        <w:t xml:space="preserve"> </w:t>
      </w:r>
      <w:r>
        <w:t xml:space="preserve">effects for role and expertise. Weakly informative priors throughout –</w:t>
      </w:r>
      <w:r>
        <w:t xml:space="preserve"> </w:t>
      </w:r>
      <w:r>
        <w:rPr>
          <w:rStyle w:val="VerbatimChar"/>
        </w:rPr>
        <w:t xml:space="preserve">normal(0, 1.5)</w:t>
      </w:r>
      <w:r>
        <w:t xml:space="preserve"> </w:t>
      </w:r>
      <w:r>
        <w:t xml:space="preserve">on the (logit-scale) intercept,</w:t>
      </w:r>
      <w:r>
        <w:t xml:space="preserve"> </w:t>
      </w:r>
      <w:r>
        <w:rPr>
          <w:rStyle w:val="VerbatimChar"/>
        </w:rPr>
        <w:t xml:space="preserve">normal(0, 0.5)</w:t>
      </w:r>
      <w:r>
        <w:t xml:space="preserve"> </w:t>
      </w:r>
      <w:r>
        <w:t xml:space="preserve">on</w:t>
      </w:r>
      <w:r>
        <w:t xml:space="preserve"> </w:t>
      </w:r>
      <w:r>
        <w:t xml:space="preserve">coefficients,</w:t>
      </w:r>
      <w:r>
        <w:t xml:space="preserve"> </w:t>
      </w:r>
      <w:r>
        <w:rPr>
          <w:rStyle w:val="VerbatimChar"/>
        </w:rPr>
        <w:t xml:space="preserve">exponential(1)</w:t>
      </w:r>
      <w:r>
        <w:t xml:space="preserve"> </w:t>
      </w:r>
      <w:r>
        <w:t xml:space="preserve">on group-level SDs.</w:t>
      </w:r>
      <w:r>
        <w:t xml:space="preserve"> </w:t>
      </w:r>
      <w:r>
        <w:rPr>
          <w:rStyle w:val="VerbatimChar"/>
        </w:rPr>
        <w:t xml:space="preserve">sample_prior = "yes"</w:t>
      </w:r>
      <w:r>
        <w:t xml:space="preserve"> </w:t>
      </w:r>
      <w:r>
        <w:t xml:space="preserve">so we always have prior-predictive</w:t>
      </w:r>
      <w:r>
        <w:t xml:space="preserve"> </w:t>
      </w:r>
      <w:r>
        <w:t xml:space="preserve">draws to check against before trusting the posterior.</w:t>
      </w:r>
    </w:p>
    <w:bookmarkEnd w:id="41"/>
    <w:bookmarkStart w:id="42" w:name="part-2-how-large-given-a-deviation"/>
    <w:p>
      <w:pPr>
        <w:pStyle w:val="Heading2"/>
      </w:pPr>
      <w:r>
        <w:t xml:space="preserve">Part 2: how large, given a deviation?</w:t>
      </w:r>
    </w:p>
    <w:p>
      <w:pPr>
        <w:pStyle w:val="FirstParagraph"/>
      </w:pPr>
      <w:r>
        <w:t xml:space="preserve">CIHR scores are entered to one decimal place, so a deviator’s score can only</w:t>
      </w:r>
      <w:r>
        <w:t xml:space="preserve"> </w:t>
      </w:r>
      <w:r>
        <w:t xml:space="preserve">land on one of 10 discrete steps (</w:t>
      </w:r>
      <m:oMath>
        <m:r>
          <m:rPr>
            <m:sty m:val="p"/>
          </m:rPr>
          <m:t>±</m:t>
        </m:r>
        <m:r>
          <m:t>0.1</m:t>
        </m:r>
        <m:r>
          <m:rPr>
            <m:sty m:val="p"/>
          </m:rPr>
          <m:t>…</m:t>
        </m:r>
        <m:r>
          <m:rPr>
            <m:sty m:val="p"/>
          </m:rPr>
          <m:t>±</m:t>
        </m:r>
        <m:r>
          <m:t>0.5</m:t>
        </m:r>
      </m:oMath>
      <w:r>
        <w:t xml:space="preserve"> </w:t>
      </w:r>
      <w:r>
        <w:t xml:space="preserve">relative to</w:t>
      </w:r>
      <w:r>
        <w:t xml:space="preserve"> </w:t>
      </w:r>
      <w:r>
        <w:t xml:space="preserve">consensus). That’s genuinely ordinal/discrete data, not a continuous</w:t>
      </w:r>
      <w:r>
        <w:t xml:space="preserve"> </w:t>
      </w:r>
      <w:r>
        <w:t xml:space="preserve">quantity with occasional extreme values – a continuous family</w:t>
      </w:r>
      <w:r>
        <w:t xml:space="preserve"> </w:t>
      </w:r>
      <w:r>
        <w:t xml:space="preserve">(</w:t>
      </w:r>
      <w:r>
        <w:rPr>
          <w:rStyle w:val="VerbatimChar"/>
        </w:rPr>
        <w:t xml:space="preserve">student()</w:t>
      </w:r>
      <w:r>
        <w:t xml:space="preserve">/</w:t>
      </w:r>
      <w:r>
        <w:rPr>
          <w:rStyle w:val="VerbatimChar"/>
        </w:rPr>
        <w:t xml:space="preserve">gaussian()</w:t>
      </w:r>
      <w:r>
        <w:t xml:space="preserve">) would assign probability to impossible values</w:t>
      </w:r>
      <w:r>
        <w:t xml:space="preserve"> </w:t>
      </w:r>
      <w:r>
        <w:t xml:space="preserve">and has no natural bound at</w:t>
      </w:r>
      <w:r>
        <w:t xml:space="preserve"> </w:t>
      </w:r>
      <m:oMath>
        <m:r>
          <m:rPr>
            <m:sty m:val="p"/>
          </m:rPr>
          <m:t>±</m:t>
        </m:r>
        <m:r>
          <m:t>0.5</m:t>
        </m:r>
      </m:oMath>
      <w:r>
        <w:t xml:space="preserve"> </w:t>
      </w:r>
      <w:r>
        <w:t xml:space="preserve">without truncation hacks. We use an</w:t>
      </w:r>
      <w:r>
        <w:t xml:space="preserve"> </w:t>
      </w:r>
      <w:r>
        <w:t xml:space="preserve">ordinal</w:t>
      </w:r>
      <w:r>
        <w:t xml:space="preserve"> </w:t>
      </w:r>
      <w:r>
        <w:rPr>
          <w:rStyle w:val="VerbatimChar"/>
        </w:rPr>
        <w:t xml:space="preserve">cumulative()</w:t>
      </w:r>
      <w:r>
        <w:t xml:space="preserve"> </w:t>
      </w:r>
      <w:r>
        <w:t xml:space="preserve">model instead, with flexible (non-equidistant)</w:t>
      </w:r>
      <w:r>
        <w:t xml:space="preserve"> </w:t>
      </w:r>
      <w:r>
        <w:t xml:space="preserve">thresholds, since there’s no reason to assume the 10 steps are equally</w:t>
      </w:r>
      <w:r>
        <w:t xml:space="preserve"> </w:t>
      </w:r>
      <w:r>
        <w:t xml:space="preserve">likely – and in the simulated data they clearly aren’t (concentrated near</w:t>
      </w:r>
      <w:r>
        <w:t xml:space="preserve"> </w:t>
      </w:r>
      <m:oMath>
        <m:r>
          <m:rPr>
            <m:sty m:val="p"/>
          </m:rPr>
          <m:t>±</m:t>
        </m:r>
        <m:r>
          <m:t>0.1</m:t>
        </m:r>
      </m:oMath>
      <w:r>
        <w:t xml:space="preserve">, sparse at</w:t>
      </w:r>
      <w:r>
        <w:t xml:space="preserve"> </w:t>
      </w:r>
      <m:oMath>
        <m:r>
          <m:rPr>
            <m:sty m:val="p"/>
          </m:rPr>
          <m:t>±</m:t>
        </m:r>
        <m:r>
          <m:t>0.5</m:t>
        </m:r>
      </m:oMath>
      <w:r>
        <w:t xml:space="preserve">, which happen to be the swings most relevant to</w:t>
      </w:r>
      <w:r>
        <w:t xml:space="preserve"> </w:t>
      </w:r>
      <w:r>
        <w:t xml:space="preserve">Aim 3’s funding-decision question).</w:t>
      </w:r>
    </w:p>
    <w:p>
      <w:pPr>
        <w:pStyle w:val="BodyText"/>
      </w:pPr>
      <w:r>
        <w:t xml:space="preserve">The cost:</w:t>
      </w:r>
      <w:r>
        <w:t xml:space="preserve"> </w:t>
      </w:r>
      <m:oMath>
        <m:r>
          <m:t>E</m:t>
        </m:r>
        <m:d>
          <m:dPr>
            <m:begChr m:val="["/>
            <m:sepChr m:val=""/>
            <m:endChr m:val="]"/>
            <m:grow/>
          </m:dPr>
          <m:e>
            <m:r>
              <m:rPr>
                <m:nor/>
                <m:sty m:val="p"/>
              </m:rPr>
              <m:t>magnitude</m:t>
            </m:r>
            <m:r>
              <m:rPr>
                <m:sty m:val="p"/>
              </m:rPr>
              <m:t>∣</m:t>
            </m:r>
            <m:r>
              <m:rPr>
                <m:nor/>
                <m:sty m:val="p"/>
              </m:rPr>
              <m:t>deviate</m:t>
            </m:r>
          </m:e>
        </m:d>
      </m:oMath>
      <w:r>
        <w:t xml:space="preserve"> </w:t>
      </w:r>
      <w:r>
        <w:t xml:space="preserve">from an ordinal model is</w:t>
      </w:r>
      <w:r>
        <w:t xml:space="preserve"> </w:t>
      </w:r>
      <w:r>
        <w:t xml:space="preserve">not a linear prediction – it’s a probability-weighted sum over the 10</w:t>
      </w:r>
      <w:r>
        <w:t xml:space="preserve"> </w:t>
      </w:r>
      <w:r>
        <w:t xml:space="preserve">category values, computed per posterior draw, not read off a default</w:t>
      </w:r>
      <w:r>
        <w:t xml:space="preserve"> </w:t>
      </w:r>
      <w:r>
        <w:rPr>
          <w:rStyle w:val="VerbatimChar"/>
        </w:rPr>
        <w:t xml:space="preserve">marginaleffects</w:t>
      </w:r>
      <w:r>
        <w:t xml:space="preserve"> </w:t>
      </w:r>
      <w:r>
        <w:t xml:space="preserve">contrast. That combination step (and the corresponding</w:t>
      </w:r>
      <w:r>
        <w:t xml:space="preserve"> </w:t>
      </w:r>
      <m:oMath>
        <m:r>
          <m:t>E</m:t>
        </m:r>
        <m:d>
          <m:dPr>
            <m:begChr m:val="["/>
            <m:sepChr m:val=""/>
            <m:endChr m:val="]"/>
            <m:grow/>
          </m:dPr>
          <m:e>
            <m:sSub>
              <m:e>
                <m:r>
                  <m:t>d</m:t>
                </m:r>
              </m:e>
              <m:sub>
                <m:r>
                  <m:t>i</m:t>
                </m:r>
                <m:r>
                  <m:t>j</m:t>
                </m:r>
                <m:r>
                  <m:t>k</m:t>
                </m:r>
              </m:sub>
            </m:sSub>
          </m:e>
        </m:d>
        <m:r>
          <m:rPr>
            <m:sty m:val="p"/>
          </m:rPr>
          <m:t>=</m:t>
        </m:r>
        <m:r>
          <m:t>P</m:t>
        </m:r>
        <m:d>
          <m:dPr>
            <m:begChr m:val="("/>
            <m:sepChr m:val=""/>
            <m:endChr m:val=")"/>
            <m:grow/>
          </m:dPr>
          <m:e>
            <m:r>
              <m:rPr>
                <m:nor/>
                <m:sty m:val="p"/>
              </m:rPr>
              <m:t>deviate</m:t>
            </m:r>
          </m:e>
        </m:d>
        <m:r>
          <m:rPr>
            <m:sty m:val="p"/>
          </m:rPr>
          <m:t>×</m:t>
        </m:r>
        <m:r>
          <m:t>E</m:t>
        </m:r>
        <m:d>
          <m:dPr>
            <m:begChr m:val="["/>
            <m:sepChr m:val=""/>
            <m:endChr m:val="]"/>
            <m:grow/>
          </m:dPr>
          <m:e>
            <m:r>
              <m:rPr>
                <m:nor/>
                <m:sty m:val="p"/>
              </m:rPr>
              <m:t>magnitude</m:t>
            </m:r>
            <m:r>
              <m:rPr>
                <m:sty m:val="p"/>
              </m:rPr>
              <m:t>∣</m:t>
            </m:r>
            <m:r>
              <m:rPr>
                <m:nor/>
                <m:sty m:val="p"/>
              </m:rPr>
              <m:t>deviate</m:t>
            </m:r>
          </m:e>
        </m:d>
      </m:oMath>
      <w:r>
        <w:t xml:space="preserve"> </w:t>
      </w:r>
      <w:r>
        <w:t xml:space="preserve">calculation across both models) is written but not yet</w:t>
      </w:r>
      <w:r>
        <w:t xml:space="preserve"> </w:t>
      </w:r>
      <w:r>
        <w:t xml:space="preserve">implemented in code – see Open Questions below.</w:t>
      </w:r>
    </w:p>
    <w:bookmarkEnd w:id="42"/>
    <w:bookmarkStart w:id="43" w:name="software"/>
    <w:p>
      <w:pPr>
        <w:pStyle w:val="Heading2"/>
      </w:pPr>
      <w:r>
        <w:t xml:space="preserve">Software</w:t>
      </w:r>
    </w:p>
    <w:p>
      <w:pPr>
        <w:pStyle w:val="FirstParagraph"/>
      </w:pPr>
      <w:r>
        <w:t xml:space="preserve">Bayesian throughout, via</w:t>
      </w:r>
      <w:r>
        <w:t xml:space="preserve"> </w:t>
      </w:r>
      <w:r>
        <w:rPr>
          <w:rStyle w:val="VerbatimChar"/>
        </w:rPr>
        <w:t xml:space="preserve">brms</w:t>
      </w:r>
      <w:r>
        <w:t xml:space="preserve"> </w:t>
      </w:r>
      <w:r>
        <w:t xml:space="preserve">+</w:t>
      </w:r>
      <w:r>
        <w:t xml:space="preserve"> </w:t>
      </w:r>
      <w:r>
        <w:rPr>
          <w:rStyle w:val="VerbatimChar"/>
        </w:rPr>
        <w:t xml:space="preserve">cmdstanr</w:t>
      </w:r>
      <w:r>
        <w:t xml:space="preserve"> </w:t>
      </w:r>
      <w:r>
        <w:t xml:space="preserve">(Stan backend), matching the</w:t>
      </w:r>
      <w:r>
        <w:t xml:space="preserve"> </w:t>
      </w:r>
      <w:r>
        <w:t xml:space="preserve">conventions in our other multilevel work.</w:t>
      </w:r>
      <w:r>
        <w:t xml:space="preserve"> </w:t>
      </w:r>
      <w:r>
        <w:rPr>
          <w:rStyle w:val="VerbatimChar"/>
        </w:rPr>
        <w:t xml:space="preserve">marginaleffects</w:t>
      </w:r>
      <w:r>
        <w:t xml:space="preserve"> </w:t>
      </w:r>
      <w:r>
        <w:t xml:space="preserve">for posterior</w:t>
      </w:r>
      <w:r>
        <w:t xml:space="preserve"> </w:t>
      </w:r>
      <w:r>
        <w:t xml:space="preserve">contrasts; models cached to</w:t>
      </w:r>
      <w:r>
        <w:t xml:space="preserve"> </w:t>
      </w:r>
      <w:r>
        <w:rPr>
          <w:rStyle w:val="VerbatimChar"/>
        </w:rPr>
        <w:t xml:space="preserve">code/fits/</w:t>
      </w:r>
      <w:r>
        <w:t xml:space="preserve"> </w:t>
      </w:r>
      <w:r>
        <w:t xml:space="preserve">and deliberately re-fit (not</w:t>
      </w:r>
      <w:r>
        <w:t xml:space="preserve"> </w:t>
      </w:r>
      <w:r>
        <w:t xml:space="preserve">silently reused) whenever formula or data change.</w:t>
      </w:r>
    </w:p>
    <w:bookmarkEnd w:id="43"/>
    <w:bookmarkEnd w:id="44"/>
    <w:bookmarkStart w:id="45" w:name="Xa4f644ee47bdf4bb1fb2a41d5776bf65cc4489c"/>
    <w:p>
      <w:pPr>
        <w:pStyle w:val="Heading1"/>
      </w:pPr>
      <w:r>
        <w:t xml:space="preserve">Extending to Aim 2: applicant characteristics</w:t>
      </w:r>
    </w:p>
    <w:p>
      <w:pPr>
        <w:pStyle w:val="FirstParagraph"/>
      </w:pPr>
      <w:r>
        <w:t xml:space="preserve">Since applicant gender and career stage will never be extractable – not</w:t>
      </w:r>
      <w:r>
        <w:t xml:space="preserve"> </w:t>
      </w:r>
      <w:r>
        <w:t xml:space="preserve">even as CIHR’s own dummy data – this simulation is the only pre-deployment</w:t>
      </w:r>
      <w:r>
        <w:t xml:space="preserve"> </w:t>
      </w:r>
      <w:r>
        <w:t xml:space="preserve">test that code touching those variables gets. We added them as</w:t>
      </w:r>
      <w:r>
        <w:t xml:space="preserve"> </w:t>
      </w:r>
      <w:r>
        <w:rPr>
          <w:b/>
          <w:bCs/>
        </w:rPr>
        <w:t xml:space="preserve">application-level</w:t>
      </w:r>
      <w:r>
        <w:t xml:space="preserve"> </w:t>
      </w:r>
      <w:r>
        <w:t xml:space="preserve">attributes (one value per application, like</w:t>
      </w:r>
      <w:r>
        <w:t xml:space="preserve"> </w:t>
      </w:r>
      <w:r>
        <w:t xml:space="preserve">consensus score, not per member) to a new, separate simulation script</w:t>
      </w:r>
      <w:r>
        <w:t xml:space="preserve"> </w:t>
      </w:r>
      <w:r>
        <w:t xml:space="preserve">(</w:t>
      </w:r>
      <w:r>
        <w:rPr>
          <w:rStyle w:val="VerbatimChar"/>
        </w:rPr>
        <w:t xml:space="preserve">code/ror-sim-aim2.R</w:t>
      </w:r>
      <w:r>
        <w:t xml:space="preserve">) rather than growing the Aim 1 script further –</w:t>
      </w:r>
      <w:r>
        <w:t xml:space="preserve"> </w:t>
      </w:r>
      <w:r>
        <w:t xml:space="preserve">see</w:t>
      </w:r>
      <w:r>
        <w:t xml:space="preserve"> </w:t>
      </w:r>
      <w:r>
        <w:t xml:space="preserve">“A note on simulation architecture”</w:t>
      </w:r>
      <w:r>
        <w:t xml:space="preserve"> </w:t>
      </w:r>
      <w:r>
        <w:t xml:space="preserve">below.</w:t>
      </w:r>
    </w:p>
    <w:p>
      <w:pPr>
        <w:pStyle w:val="BodyText"/>
      </w:pPr>
      <w:r>
        <w:t xml:space="preserve">Critically, we didn’t just add</w:t>
      </w:r>
      <w:r>
        <w:t xml:space="preserve"> </w:t>
      </w:r>
      <w:r>
        <w:rPr>
          <w:i/>
          <w:iCs/>
        </w:rPr>
        <w:t xml:space="preserve">main</w:t>
      </w:r>
      <w:r>
        <w:t xml:space="preserve"> </w:t>
      </w:r>
      <w:r>
        <w:t xml:space="preserve">effects of gender/career stage. Aim</w:t>
      </w:r>
      <w:r>
        <w:t xml:space="preserve"> </w:t>
      </w:r>
      <w:r>
        <w:t xml:space="preserve">2’s actual question is whether the</w:t>
      </w:r>
      <w:r>
        <w:t xml:space="preserve"> </w:t>
      </w:r>
      <w:r>
        <w:rPr>
          <w:i/>
          <w:iCs/>
        </w:rPr>
        <w:t xml:space="preserve">engagement/expertise effect on</w:t>
      </w:r>
      <w:r>
        <w:rPr>
          <w:i/>
          <w:iCs/>
        </w:rPr>
        <w:t xml:space="preserve"> </w:t>
      </w:r>
      <w:r>
        <w:rPr>
          <w:i/>
          <w:iCs/>
        </w:rPr>
        <w:t xml:space="preserve">deviation</w:t>
      </w:r>
      <w:r>
        <w:t xml:space="preserve"> </w:t>
      </w:r>
      <w:r>
        <w:t xml:space="preserve">differs by applicant characteristic – which requires an</w:t>
      </w:r>
      <w:r>
        <w:t xml:space="preserve"> </w:t>
      </w:r>
      <w:r>
        <w:rPr>
          <w:b/>
          <w:bCs/>
        </w:rPr>
        <w:t xml:space="preserve">interaction</w:t>
      </w:r>
      <w:r>
        <w:t xml:space="preserve"> </w:t>
      </w:r>
      <w:r>
        <w:t xml:space="preserve">term to exist in the generating process, or there’s nothing</w:t>
      </w:r>
      <w:r>
        <w:t xml:space="preserve"> </w:t>
      </w:r>
      <w:r>
        <w:t xml:space="preserve">for the fitted model to recover.</w:t>
      </w:r>
    </w:p>
    <w:p>
      <w:pPr>
        <w:pStyle w:val="BodyText"/>
      </w:pPr>
      <w:r>
        <w:rPr>
          <w:b/>
          <w:bCs/>
        </w:rPr>
        <w:t xml:space="preserve">To be clear about what these numbers are and aren’t:</w:t>
      </w:r>
      <w:r>
        <w:t xml:space="preserve"> </w:t>
      </w:r>
      <w:r>
        <w:t xml:space="preserve">they are chosen to</w:t>
      </w:r>
      <w:r>
        <w:t xml:space="preserve"> </w:t>
      </w:r>
      <w:r>
        <w:t xml:space="preserve">be large enough to detect cleanly in a simulation of this size, not</w:t>
      </w:r>
      <w:r>
        <w:t xml:space="preserve"> </w:t>
      </w:r>
      <w:r>
        <w:t xml:space="preserve">estimates – or even guesses – about the true magnitude or even direction</w:t>
      </w:r>
      <w:r>
        <w:t xml:space="preserve"> </w:t>
      </w:r>
      <w:r>
        <w:t xml:space="preserve">of any real effect in CIHR review. The goal is purely to confirm our</w:t>
      </w:r>
      <w:r>
        <w:t xml:space="preserve"> </w:t>
      </w:r>
      <w:r>
        <w:t xml:space="preserve">statistical machinery would notice an interaction if the real data</w:t>
      </w:r>
      <w:r>
        <w:t xml:space="preserve"> </w:t>
      </w:r>
      <w:r>
        <w:t xml:space="preserve">contained one.</w:t>
      </w:r>
    </w:p>
    <w:p>
      <w:pPr>
        <w:pStyle w:val="TableCaption"/>
      </w:pPr>
      <w:r>
        <w:t xml:space="preserve">Aim 2: interaction coefficients recovered from the simulated data (n = 18,000)</w:t>
      </w:r>
    </w:p>
    <w:tbl>
      <w:tblPr>
        <w:tblStyle w:val="Table"/>
        <w:tblW w:type="pct" w:w="4828"/>
        <w:tblLayout w:type="fixed"/>
        <w:tblLook w:firstRow="1" w:lastRow="0" w:firstColumn="0" w:lastColumn="0" w:noHBand="0" w:noVBand="0" w:val="0020"/>
        <w:tblCaption w:val="Aim 2: interaction coefficients recovered from the simulated data (n = 18,000)"/>
      </w:tblPr>
      <w:tblGrid>
        <w:gridCol w:w="3095"/>
        <w:gridCol w:w="1001"/>
        <w:gridCol w:w="1183"/>
        <w:gridCol w:w="910"/>
        <w:gridCol w:w="1456"/>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Pr(&gt;|z|)</w:t>
            </w:r>
          </w:p>
        </w:tc>
      </w:tr>
      <w:tr>
        <w:tc>
          <w:tcPr/>
          <w:p>
            <w:pPr>
              <w:pStyle w:val="Compact"/>
            </w:pPr>
            <w:r>
              <w:t xml:space="preserve">jobreviewer:gendermale</w:t>
            </w:r>
          </w:p>
        </w:tc>
        <w:tc>
          <w:tcPr/>
          <w:p>
            <w:pPr>
              <w:pStyle w:val="Compact"/>
            </w:pPr>
            <w:r>
              <w:t xml:space="preserve">0.51164</w:t>
            </w:r>
          </w:p>
        </w:tc>
        <w:tc>
          <w:tcPr/>
          <w:p>
            <w:pPr>
              <w:pStyle w:val="Compact"/>
            </w:pPr>
            <w:r>
              <w:t xml:space="preserve">0.0966</w:t>
            </w:r>
          </w:p>
        </w:tc>
        <w:tc>
          <w:tcPr/>
          <w:p>
            <w:pPr>
              <w:pStyle w:val="Compact"/>
            </w:pPr>
            <w:r>
              <w:t xml:space="preserve">5.2955</w:t>
            </w:r>
          </w:p>
        </w:tc>
        <w:tc>
          <w:tcPr/>
          <w:p>
            <w:pPr>
              <w:pStyle w:val="Compact"/>
            </w:pPr>
            <w:r>
              <w:t xml:space="preserve">0.00000011866</w:t>
            </w:r>
          </w:p>
        </w:tc>
      </w:tr>
      <w:tr>
        <w:tc>
          <w:tcPr/>
          <w:p>
            <w:pPr>
              <w:pStyle w:val="Compact"/>
            </w:pPr>
            <w:r>
              <w:t xml:space="preserve">explow:career_stageestablished</w:t>
            </w:r>
          </w:p>
        </w:tc>
        <w:tc>
          <w:tcPr/>
          <w:p>
            <w:pPr>
              <w:pStyle w:val="Compact"/>
            </w:pPr>
            <w:r>
              <w:t xml:space="preserve">-0.00456</w:t>
            </w:r>
          </w:p>
        </w:tc>
        <w:tc>
          <w:tcPr/>
          <w:p>
            <w:pPr>
              <w:pStyle w:val="Compact"/>
            </w:pPr>
            <w:r>
              <w:t xml:space="preserve">0.0977</w:t>
            </w:r>
          </w:p>
        </w:tc>
        <w:tc>
          <w:tcPr/>
          <w:p>
            <w:pPr>
              <w:pStyle w:val="Compact"/>
            </w:pPr>
            <w:r>
              <w:t xml:space="preserve">-0.0466</w:t>
            </w:r>
          </w:p>
        </w:tc>
        <w:tc>
          <w:tcPr/>
          <w:p>
            <w:pPr>
              <w:pStyle w:val="Compact"/>
            </w:pPr>
            <w:r>
              <w:t xml:space="preserve">0.96280257387</w:t>
            </w:r>
          </w:p>
        </w:tc>
      </w:tr>
      <w:tr>
        <w:tc>
          <w:tcPr/>
          <w:p>
            <w:pPr>
              <w:pStyle w:val="Compact"/>
            </w:pPr>
            <w:r>
              <w:t xml:space="preserve">expmed:career_stageestablished</w:t>
            </w:r>
          </w:p>
        </w:tc>
        <w:tc>
          <w:tcPr/>
          <w:p>
            <w:pPr>
              <w:pStyle w:val="Compact"/>
            </w:pPr>
            <w:r>
              <w:t xml:space="preserve">0.00247</w:t>
            </w:r>
          </w:p>
        </w:tc>
        <w:tc>
          <w:tcPr/>
          <w:p>
            <w:pPr>
              <w:pStyle w:val="Compact"/>
            </w:pPr>
            <w:r>
              <w:t xml:space="preserve">0.0793</w:t>
            </w:r>
          </w:p>
        </w:tc>
        <w:tc>
          <w:tcPr/>
          <w:p>
            <w:pPr>
              <w:pStyle w:val="Compact"/>
            </w:pPr>
            <w:r>
              <w:t xml:space="preserve">0.0311</w:t>
            </w:r>
          </w:p>
        </w:tc>
        <w:tc>
          <w:tcPr/>
          <w:p>
            <w:pPr>
              <w:pStyle w:val="Compact"/>
            </w:pPr>
            <w:r>
              <w:t xml:space="preserve">0.97516026324</w:t>
            </w:r>
          </w:p>
        </w:tc>
      </w:tr>
      <w:tr>
        <w:tc>
          <w:tcPr/>
          <w:p>
            <w:pPr>
              <w:pStyle w:val="Compact"/>
            </w:pPr>
            <w:r>
              <w:t xml:space="preserve">expnone:career_stageestablished</w:t>
            </w:r>
          </w:p>
        </w:tc>
        <w:tc>
          <w:tcPr/>
          <w:p>
            <w:pPr>
              <w:pStyle w:val="Compact"/>
            </w:pPr>
            <w:r>
              <w:t xml:space="preserve">-0.6084</w:t>
            </w:r>
          </w:p>
        </w:tc>
        <w:tc>
          <w:tcPr/>
          <w:p>
            <w:pPr>
              <w:pStyle w:val="Compact"/>
            </w:pPr>
            <w:r>
              <w:t xml:space="preserve">0.0999</w:t>
            </w:r>
          </w:p>
        </w:tc>
        <w:tc>
          <w:tcPr/>
          <w:p>
            <w:pPr>
              <w:pStyle w:val="Compact"/>
            </w:pPr>
            <w:r>
              <w:t xml:space="preserve">-6.0914</w:t>
            </w:r>
          </w:p>
        </w:tc>
        <w:tc>
          <w:tcPr/>
          <w:p>
            <w:pPr>
              <w:pStyle w:val="Compact"/>
            </w:pPr>
            <w:r>
              <w:t xml:space="preserve">0.00000000112</w:t>
            </w:r>
          </w:p>
        </w:tc>
      </w:tr>
    </w:tbl>
    <w:p>
      <w:pPr>
        <w:pStyle w:val="BodyText"/>
      </w:pPr>
      <w:r>
        <w:t xml:space="preserve">Both interactions are recovered cleanly and with high significance (the</w:t>
      </w:r>
      <w:r>
        <w:t xml:space="preserve"> </w:t>
      </w:r>
      <w:r>
        <w:t xml:space="preserve">sign flips relative to the parameters above are just R’s alphabetical</w:t>
      </w:r>
      <w:r>
        <w:t xml:space="preserve"> </w:t>
      </w:r>
      <w:r>
        <w:t xml:space="preserve">choice of reference category –</w:t>
      </w:r>
      <w:r>
        <w:t xml:space="preserve"> </w:t>
      </w:r>
      <w:r>
        <w:rPr>
          <w:rStyle w:val="VerbatimChar"/>
        </w:rPr>
        <w:t xml:space="preserve">job</w:t>
      </w:r>
      <w:r>
        <w:t xml:space="preserve">’s reference is</w:t>
      </w:r>
      <w:r>
        <w:t xml:space="preserve"> </w:t>
      </w:r>
      <w:r>
        <w:t xml:space="preserve">“panelist”</w:t>
      </w:r>
      <w:r>
        <w:t xml:space="preserve">,</w:t>
      </w:r>
      <w:r>
        <w:t xml:space="preserve"> </w:t>
      </w:r>
      <w:r>
        <w:rPr>
          <w:rStyle w:val="VerbatimChar"/>
        </w:rPr>
        <w:t xml:space="preserve">gender</w:t>
      </w:r>
      <w:r>
        <w:t xml:space="preserve">’s</w:t>
      </w:r>
      <w:r>
        <w:t xml:space="preserve"> </w:t>
      </w:r>
      <w:r>
        <w:t xml:space="preserve">is</w:t>
      </w:r>
      <w:r>
        <w:t xml:space="preserve"> </w:t>
      </w:r>
      <w:r>
        <w:t xml:space="preserve">“female”</w:t>
      </w:r>
      <w:r>
        <w:t xml:space="preserve">,</w:t>
      </w:r>
      <w:r>
        <w:t xml:space="preserve"> </w:t>
      </w:r>
      <w:r>
        <w:rPr>
          <w:rStyle w:val="VerbatimChar"/>
        </w:rPr>
        <w:t xml:space="preserve">career_stage</w:t>
      </w:r>
      <w:r>
        <w:t xml:space="preserve">’s is</w:t>
      </w:r>
      <w:r>
        <w:t xml:space="preserve"> </w:t>
      </w:r>
      <w:r>
        <w:t xml:space="preserve">“early”</w:t>
      </w:r>
      <w:r>
        <w:t xml:space="preserve">, so e.g.</w:t>
      </w:r>
      <w:r>
        <w:t xml:space="preserve"> </w:t>
      </w:r>
      <w:r>
        <w:rPr>
          <w:rStyle w:val="VerbatimChar"/>
        </w:rPr>
        <w:t xml:space="preserve">jobreviewer:gendermale</w:t>
      </w:r>
      <w:r>
        <w:t xml:space="preserve"> </w:t>
      </w:r>
      <w:r>
        <w:t xml:space="preserve">is algebraically the same interaction as</w:t>
      </w:r>
      <w:r>
        <w:t xml:space="preserve"> </w:t>
      </w:r>
      <w:r>
        <w:rPr>
          <w:rStyle w:val="VerbatimChar"/>
        </w:rPr>
        <w:t xml:space="preserve">job(panelist):gender(female)</w:t>
      </w:r>
      <w:r>
        <w:t xml:space="preserve">, just from the opposite corner of the 2x2).</w:t>
      </w:r>
    </w:p>
    <w:p>
      <w:pPr>
        <w:pStyle w:val="BodyText"/>
      </w:pPr>
      <w:r>
        <w:rPr>
          <w:b/>
          <w:bCs/>
        </w:rPr>
        <w:t xml:space="preserve">Not yet built:</w:t>
      </w:r>
      <w:r>
        <w:t xml:space="preserve"> </w:t>
      </w:r>
      <w:r>
        <w:t xml:space="preserve">an Aim-2-specific version of</w:t>
      </w:r>
      <w:r>
        <w:t xml:space="preserve"> </w:t>
      </w:r>
      <w:r>
        <w:rPr>
          <w:rStyle w:val="VerbatimChar"/>
        </w:rPr>
        <w:t xml:space="preserve">code/ror-analysis-score-models.R</w:t>
      </w:r>
      <w:r>
        <w:t xml:space="preserve"> </w:t>
      </w:r>
      <w:r>
        <w:t xml:space="preserve">that actually includes these interaction</w:t>
      </w:r>
      <w:r>
        <w:t xml:space="preserve"> </w:t>
      </w:r>
      <w:r>
        <w:t xml:space="preserve">terms in the</w:t>
      </w:r>
      <w:r>
        <w:t xml:space="preserve"> </w:t>
      </w:r>
      <w:r>
        <w:rPr>
          <w:rStyle w:val="VerbatimChar"/>
        </w:rPr>
        <w:t xml:space="preserve">brm()</w:t>
      </w:r>
      <w:r>
        <w:t xml:space="preserve"> </w:t>
      </w:r>
      <w:r>
        <w:t xml:space="preserve">formulas. The simulation is ready; the model script</w:t>
      </w:r>
      <w:r>
        <w:t xml:space="preserve"> </w:t>
      </w:r>
      <w:r>
        <w:t xml:space="preserve">that would be tested against it isn’t written yet.</w:t>
      </w:r>
    </w:p>
    <w:bookmarkEnd w:id="45"/>
    <w:bookmarkStart w:id="46" w:name="aim-3-not-yet-designed"/>
    <w:p>
      <w:pPr>
        <w:pStyle w:val="Heading1"/>
      </w:pPr>
      <w:r>
        <w:t xml:space="preserve">Aim 3: not yet designed</w:t>
      </w:r>
    </w:p>
    <w:p>
      <w:pPr>
        <w:pStyle w:val="FirstParagraph"/>
      </w:pPr>
      <w:r>
        <w:t xml:space="preserve">Aim 3 asks how alternative funding-decision schemes – reweighting scores</w:t>
      </w:r>
      <w:r>
        <w:t xml:space="preserve"> </w:t>
      </w:r>
      <w:r>
        <w:t xml:space="preserve">by engagement, or partially randomizing funding decisions for applications</w:t>
      </w:r>
      <w:r>
        <w:t xml:space="preserve"> </w:t>
      </w:r>
      <w:r>
        <w:t xml:space="preserve">near the threshold – would compare to the status quo. That’s a</w:t>
      </w:r>
      <w:r>
        <w:t xml:space="preserve"> </w:t>
      </w:r>
      <w:r>
        <w:t xml:space="preserve">structurally different kind of simulation: an intervention/counterfactual</w:t>
      </w:r>
      <w:r>
        <w:t xml:space="preserve"> </w:t>
      </w:r>
      <w:r>
        <w:t xml:space="preserve">layered on top of the funding decision itself, not just an extension of</w:t>
      </w:r>
      <w:r>
        <w:t xml:space="preserve"> </w:t>
      </w:r>
      <w:r>
        <w:t xml:space="preserve">Aims 1-2’s data-generating process for reviewer behavior. We haven’t</w:t>
      </w:r>
      <w:r>
        <w:t xml:space="preserve"> </w:t>
      </w:r>
      <w:r>
        <w:t xml:space="preserve">started designing it, and would welcome input on what the alternative</w:t>
      </w:r>
      <w:r>
        <w:t xml:space="preserve"> </w:t>
      </w:r>
      <w:r>
        <w:t xml:space="preserve">schemes worth simulating actually are before building anything.</w:t>
      </w:r>
    </w:p>
    <w:bookmarkEnd w:id="46"/>
    <w:bookmarkStart w:id="47" w:name="a-note-on-simulation-architecture"/>
    <w:p>
      <w:pPr>
        <w:pStyle w:val="Heading1"/>
      </w:pPr>
      <w:r>
        <w:t xml:space="preserve">A note on simulation architecture</w:t>
      </w:r>
    </w:p>
    <w:p>
      <w:pPr>
        <w:pStyle w:val="FirstParagraph"/>
      </w:pPr>
      <w:r>
        <w:t xml:space="preserve">We’re deliberately keeping a separate, self-contained simulation script per</w:t>
      </w:r>
      <w:r>
        <w:t xml:space="preserve"> </w:t>
      </w:r>
      <w:r>
        <w:t xml:space="preserve">aim (</w:t>
      </w:r>
      <w:r>
        <w:rPr>
          <w:rStyle w:val="VerbatimChar"/>
        </w:rPr>
        <w:t xml:space="preserve">ror-sim-deviation.R</w:t>
      </w:r>
      <w:r>
        <w:t xml:space="preserve"> </w:t>
      </w:r>
      <w:r>
        <w:t xml:space="preserve">for Aim 1,</w:t>
      </w:r>
      <w:r>
        <w:t xml:space="preserve"> </w:t>
      </w:r>
      <w:r>
        <w:rPr>
          <w:rStyle w:val="VerbatimChar"/>
        </w:rPr>
        <w:t xml:space="preserve">ror-sim-aim2.R</w:t>
      </w:r>
      <w:r>
        <w:t xml:space="preserve"> </w:t>
      </w:r>
      <w:r>
        <w:t xml:space="preserve">for Aim 2, and</w:t>
      </w:r>
      <w:r>
        <w:t xml:space="preserve"> </w:t>
      </w:r>
      <w:r>
        <w:t xml:space="preserve">eventually an Aim 3 script) rather than one script that keeps growing.</w:t>
      </w:r>
      <w:r>
        <w:t xml:space="preserve"> </w:t>
      </w:r>
      <w:r>
        <w:t xml:space="preserve">Some duplication of the committee/application/member setup across scripts</w:t>
      </w:r>
      <w:r>
        <w:t xml:space="preserve"> </w:t>
      </w:r>
      <w:r>
        <w:t xml:space="preserve">is an accepted cost of each one being independently runnable and easy to</w:t>
      </w:r>
      <w:r>
        <w:t xml:space="preserve"> </w:t>
      </w:r>
      <w:r>
        <w:t xml:space="preserve">reason about in isolation.</w:t>
      </w:r>
    </w:p>
    <w:bookmarkEnd w:id="47"/>
    <w:bookmarkStart w:id="48" w:name="X90107c6aebb830e70e227f75b90402dd4fd542c"/>
    <w:p>
      <w:pPr>
        <w:pStyle w:val="Heading1"/>
      </w:pPr>
      <w:r>
        <w:t xml:space="preserve">What this simulation validates, and what it doesn’t</w:t>
      </w:r>
    </w:p>
    <w:p>
      <w:pPr>
        <w:pStyle w:val="FirstParagraph"/>
      </w:pPr>
      <w:r>
        <w:t xml:space="preserve">It validates that: (1) the two-part model structure is necessary, not</w:t>
      </w:r>
      <w:r>
        <w:t xml:space="preserve"> </w:t>
      </w:r>
      <w:r>
        <w:t xml:space="preserve">over-engineering, for this outcome; (2) the ordinal magnitude submodel is</w:t>
      </w:r>
      <w:r>
        <w:t xml:space="preserve"> </w:t>
      </w:r>
      <w:r>
        <w:t xml:space="preserve">the right match for CIHR’s one-decimal-place scoring; (3) the model can</w:t>
      </w:r>
      <w:r>
        <w:t xml:space="preserve"> </w:t>
      </w:r>
      <w:r>
        <w:t xml:space="preserve">recover both main effects (Aim 1) and interaction effects (Aim 2) of a</w:t>
      </w:r>
      <w:r>
        <w:t xml:space="preserve"> </w:t>
      </w:r>
      <w:r>
        <w:t xml:space="preserve">detectable size, using only the fields CIHR has confirmed are extractable</w:t>
      </w:r>
      <w:r>
        <w:t xml:space="preserve"> </w:t>
      </w:r>
      <w:r>
        <w:t xml:space="preserve">plus the fields that would only ever be touched via an in-house CIHR-run</w:t>
      </w:r>
      <w:r>
        <w:t xml:space="preserve"> </w:t>
      </w:r>
      <w:r>
        <w:t xml:space="preserve">analysis.</w:t>
      </w:r>
    </w:p>
    <w:p>
      <w:pPr>
        <w:pStyle w:val="BodyText"/>
      </w:pPr>
      <w:r>
        <w:t xml:space="preserve">It does</w:t>
      </w:r>
      <w:r>
        <w:t xml:space="preserve"> </w:t>
      </w:r>
      <w:r>
        <w:rPr>
          <w:b/>
          <w:bCs/>
        </w:rPr>
        <w:t xml:space="preserve">not</w:t>
      </w:r>
      <w:r>
        <w:t xml:space="preserve"> </w:t>
      </w:r>
      <w:r>
        <w:t xml:space="preserve">tell us anything about the true size, direction, or even</w:t>
      </w:r>
      <w:r>
        <w:t xml:space="preserve"> </w:t>
      </w:r>
      <w:r>
        <w:t xml:space="preserve">existence of any of these effects in actual CIHR peer review – every</w:t>
      </w:r>
      <w:r>
        <w:t xml:space="preserve"> </w:t>
      </w:r>
      <w:r>
        <w:t xml:space="preserve">parameter in both simulations is an illustrative placeholder chosen for</w:t>
      </w:r>
      <w:r>
        <w:t xml:space="preserve"> </w:t>
      </w:r>
      <w:r>
        <w:t xml:space="preserve">statistical detectability, not drawn from evidence.</w:t>
      </w:r>
    </w:p>
    <w:bookmarkEnd w:id="48"/>
    <w:bookmarkStart w:id="51" w:name="open-questions"/>
    <w:p>
      <w:pPr>
        <w:pStyle w:val="Heading1"/>
      </w:pPr>
      <w:r>
        <w:t xml:space="preserve">Open questions</w:t>
      </w:r>
    </w:p>
    <w:bookmarkStart w:id="49" w:name="for-arijit"/>
    <w:p>
      <w:pPr>
        <w:pStyle w:val="Heading2"/>
      </w:pPr>
      <w:r>
        <w:t xml:space="preserve">For Arijit</w:t>
      </w:r>
    </w:p>
    <w:p>
      <w:pPr>
        <w:pStyle w:val="Compact"/>
        <w:numPr>
          <w:ilvl w:val="0"/>
          <w:numId w:val="1005"/>
        </w:numPr>
      </w:pPr>
      <w:r>
        <w:t xml:space="preserve">Is</w:t>
      </w:r>
      <w:r>
        <w:t xml:space="preserve"> </w:t>
      </w:r>
      <m:oMath>
        <m:sSub>
          <m:e>
            <m:r>
              <m:t>d</m:t>
            </m:r>
          </m:e>
          <m:sub>
            <m:r>
              <m:t>i</m:t>
            </m:r>
            <m:r>
              <m:t>j</m:t>
            </m:r>
            <m:r>
              <m:t>k</m:t>
            </m:r>
          </m:sub>
        </m:sSub>
      </m:oMath>
      <w:r>
        <w:t xml:space="preserve"> </w:t>
      </w:r>
      <w:r>
        <w:t xml:space="preserve">(final</w:t>
      </w:r>
      <w:r>
        <w:t xml:space="preserve"> </w:t>
      </w:r>
      <m:oMath>
        <m:r>
          <m:rPr>
            <m:sty m:val="p"/>
          </m:rPr>
          <m:t>−</m:t>
        </m:r>
      </m:oMath>
      <w:r>
        <w:t xml:space="preserve"> </w:t>
      </w:r>
      <w:r>
        <w:t xml:space="preserve">consensus) the right primary outcome, or is there</w:t>
      </w:r>
      <w:r>
        <w:t xml:space="preserve"> </w:t>
      </w:r>
      <w:r>
        <w:t xml:space="preserve">a better way to frame the estimand for Aim 1/2?</w:t>
      </w:r>
    </w:p>
    <w:p>
      <w:pPr>
        <w:pStyle w:val="Compact"/>
        <w:numPr>
          <w:ilvl w:val="0"/>
          <w:numId w:val="1005"/>
        </w:numPr>
      </w:pPr>
      <w:r>
        <w:t xml:space="preserve">Does the interaction specification for Aim 2 (</w:t>
      </w:r>
      <w:r>
        <w:rPr>
          <w:rStyle w:val="VerbatimChar"/>
        </w:rPr>
        <w:t xml:space="preserve">job x gender</w:t>
      </w:r>
      <w:r>
        <w:t xml:space="preserve">,</w:t>
      </w:r>
      <w:r>
        <w:t xml:space="preserve"> </w:t>
      </w:r>
      <w:r>
        <w:rPr>
          <w:rStyle w:val="VerbatimChar"/>
        </w:rPr>
        <w:t xml:space="preserve">exp x career_stage</w:t>
      </w:r>
      <w:r>
        <w:t xml:space="preserve">, both entering only the deviation-probability part)</w:t>
      </w:r>
      <w:r>
        <w:t xml:space="preserve"> </w:t>
      </w:r>
      <w:r>
        <w:t xml:space="preserve">match how you’d operationalize the research question, or would you</w:t>
      </w:r>
      <w:r>
        <w:t xml:space="preserve"> </w:t>
      </w:r>
      <w:r>
        <w:t xml:space="preserve">frame it differently?</w:t>
      </w:r>
    </w:p>
    <w:p>
      <w:pPr>
        <w:pStyle w:val="Compact"/>
        <w:numPr>
          <w:ilvl w:val="0"/>
          <w:numId w:val="1005"/>
        </w:numPr>
      </w:pPr>
      <w:r>
        <w:t xml:space="preserve">Any concerns about the priors, the random-effects structure, or the</w:t>
      </w:r>
      <w:r>
        <w:t xml:space="preserve"> </w:t>
      </w:r>
      <w:r>
        <w:t xml:space="preserve">choice of an ordinal rather than continuous family for the magnitude</w:t>
      </w:r>
      <w:r>
        <w:t xml:space="preserve"> </w:t>
      </w:r>
      <w:r>
        <w:t xml:space="preserve">part?</w:t>
      </w:r>
    </w:p>
    <w:p>
      <w:pPr>
        <w:pStyle w:val="Compact"/>
        <w:numPr>
          <w:ilvl w:val="0"/>
          <w:numId w:val="1005"/>
        </w:numPr>
      </w:pPr>
      <w:r>
        <w:t xml:space="preserve">Anything about the overall statistical strategy that looks wrong before</w:t>
      </w:r>
      <w:r>
        <w:t xml:space="preserve"> </w:t>
      </w:r>
      <w:r>
        <w:t xml:space="preserve">this goes to CIHR?</w:t>
      </w:r>
    </w:p>
    <w:bookmarkEnd w:id="49"/>
    <w:bookmarkStart w:id="50" w:name="for-cihrs-funding-analytics-team"/>
    <w:p>
      <w:pPr>
        <w:pStyle w:val="Heading2"/>
      </w:pPr>
      <w:r>
        <w:t xml:space="preserve">For CIHR’s Funding Analytics Team</w:t>
      </w:r>
    </w:p>
    <w:p>
      <w:pPr>
        <w:pStyle w:val="FirstParagraph"/>
      </w:pPr>
      <w:r>
        <w:t xml:space="preserve">(Carried over from</w:t>
      </w:r>
      <w:r>
        <w:t xml:space="preserve"> </w:t>
      </w:r>
      <w:r>
        <w:rPr>
          <w:rStyle w:val="VerbatimChar"/>
        </w:rPr>
        <w:t xml:space="preserve">code/ror-research-log.qmd</w:t>
      </w:r>
      <w:r>
        <w:t xml:space="preserve">; repeated here since this</w:t>
      </w:r>
      <w:r>
        <w:t xml:space="preserve"> </w:t>
      </w:r>
      <w:r>
        <w:t xml:space="preserve">document is the more likely vehicle for actually sending them.)</w:t>
      </w:r>
    </w:p>
    <w:p>
      <w:pPr>
        <w:pStyle w:val="Compact"/>
        <w:numPr>
          <w:ilvl w:val="0"/>
          <w:numId w:val="1006"/>
        </w:numPr>
      </w:pPr>
      <w:r>
        <w:t xml:space="preserve">For fields that can’t be extracted (applicant gender/career stage,</w:t>
      </w:r>
      <w:r>
        <w:t xml:space="preserve"> </w:t>
      </w:r>
      <w:r>
        <w:t xml:space="preserve">reviewer gender/experience, etc.) – can the dummy-data step still</w:t>
      </w:r>
      <w:r>
        <w:t xml:space="preserve"> </w:t>
      </w:r>
      <w:r>
        <w:t xml:space="preserve">include</w:t>
      </w:r>
      <w:r>
        <w:t xml:space="preserve"> </w:t>
      </w:r>
      <w:r>
        <w:rPr>
          <w:i/>
          <w:iCs/>
        </w:rPr>
        <w:t xml:space="preserve">synthetic</w:t>
      </w:r>
      <w:r>
        <w:t xml:space="preserve"> </w:t>
      </w:r>
      <w:r>
        <w:t xml:space="preserve">versions of those columns for us to pipeline-test</w:t>
      </w:r>
      <w:r>
        <w:t xml:space="preserve"> </w:t>
      </w:r>
      <w:r>
        <w:t xml:space="preserve">against, or is the in-house-run path a black box until the real run?</w:t>
      </w:r>
    </w:p>
    <w:p>
      <w:pPr>
        <w:pStyle w:val="Compact"/>
        <w:numPr>
          <w:ilvl w:val="0"/>
          <w:numId w:val="1006"/>
        </w:numPr>
      </w:pPr>
      <w:r>
        <w:t xml:space="preserve">Resubmission status is only available from 2023 onward – does that</w:t>
      </w:r>
      <w:r>
        <w:t xml:space="preserve"> </w:t>
      </w:r>
      <w:r>
        <w:t xml:space="preserve">mean our cohort has to start at the 2023 competition if we want that</w:t>
      </w:r>
      <w:r>
        <w:t xml:space="preserve"> </w:t>
      </w:r>
      <w:r>
        <w:t xml:space="preserve">field, or can it be requested as a partially-missing covariate over a</w:t>
      </w:r>
      <w:r>
        <w:t xml:space="preserve"> </w:t>
      </w:r>
      <w:r>
        <w:t xml:space="preserve">longer window?</w:t>
      </w:r>
    </w:p>
    <w:p>
      <w:pPr>
        <w:pStyle w:val="Compact"/>
        <w:numPr>
          <w:ilvl w:val="0"/>
          <w:numId w:val="1006"/>
        </w:numPr>
      </w:pPr>
      <w:r>
        <w:t xml:space="preserve">How should we define/measure</w:t>
      </w:r>
      <w:r>
        <w:t xml:space="preserve"> </w:t>
      </w:r>
      <w:r>
        <w:t xml:space="preserve">“reviewer experience”</w:t>
      </w:r>
      <w:r>
        <w:t xml:space="preserve"> </w:t>
      </w:r>
      <w:r>
        <w:t xml:space="preserve">for the fields where</w:t>
      </w:r>
      <w:r>
        <w:t xml:space="preserve"> </w:t>
      </w:r>
      <w:r>
        <w:t xml:space="preserve">that’s the blocker to a yes/no on extractability?</w:t>
      </w:r>
    </w:p>
    <w:p>
      <w:pPr>
        <w:pStyle w:val="Compact"/>
        <w:numPr>
          <w:ilvl w:val="0"/>
          <w:numId w:val="1006"/>
        </w:numPr>
      </w:pPr>
      <w:r>
        <w:t xml:space="preserve">Can you confirm our understanding of the review process itself (the</w:t>
      </w:r>
      <w:r>
        <w:t xml:space="preserve"> </w:t>
      </w:r>
      <m:oMath>
        <m:r>
          <m:rPr>
            <m:sty m:val="p"/>
          </m:rPr>
          <m:t>±</m:t>
        </m:r>
        <m:r>
          <m:t>0.5</m:t>
        </m:r>
      </m:oMath>
      <w:r>
        <w:t xml:space="preserve"> </w:t>
      </w:r>
      <w:r>
        <w:t xml:space="preserve">rule, one-decimal-place scoring, equal-weight averaging into</w:t>
      </w:r>
      <w:r>
        <w:t xml:space="preserve"> </w:t>
      </w:r>
      <w:r>
        <w:t xml:space="preserve">the funding decision) is accurate?</w:t>
      </w:r>
    </w:p>
    <w:p>
      <w:pPr>
        <w:pStyle w:val="Compact"/>
        <w:numPr>
          <w:ilvl w:val="0"/>
          <w:numId w:val="1006"/>
        </w:numPr>
      </w:pPr>
      <w:r>
        <w:t xml:space="preserve">How much variation exists in the number of members across committees, applications per committee, and scores per application (given conflicts)?</w:t>
      </w:r>
    </w:p>
    <w:p>
      <w:pPr>
        <w:pStyle w:val="Compact"/>
        <w:numPr>
          <w:ilvl w:val="0"/>
          <w:numId w:val="1006"/>
        </w:numPr>
      </w:pPr>
      <w:r>
        <w:t xml:space="preserve">Discussion time? Do we know how long the discussion period goes at the application level?</w:t>
      </w:r>
    </w:p>
    <w:bookmarkEnd w:id="50"/>
    <w:bookmarkEnd w:id="51"/>
    <w:bookmarkStart w:id="52" w:name="what-comes-next"/>
    <w:p>
      <w:pPr>
        <w:pStyle w:val="Heading1"/>
      </w:pPr>
      <w:r>
        <w:t xml:space="preserve">What comes next</w:t>
      </w:r>
    </w:p>
    <w:p>
      <w:pPr>
        <w:pStyle w:val="FirstParagraph"/>
      </w:pPr>
      <w:r>
        <w:t xml:space="preserve">Once the Aim 2 model script exists and</w:t>
      </w:r>
      <w:r>
        <w:t xml:space="preserve"> </w:t>
      </w:r>
      <w:r>
        <w:rPr>
          <w:rStyle w:val="VerbatimChar"/>
        </w:rPr>
        <w:t xml:space="preserve">FIT_MODELS</w:t>
      </w:r>
      <w:r>
        <w:t xml:space="preserve"> </w:t>
      </w:r>
      <w:r>
        <w:t xml:space="preserve">is switched on – after</w:t>
      </w:r>
      <w:r>
        <w:t xml:space="preserve"> </w:t>
      </w:r>
      <w:r>
        <w:t xml:space="preserve">confirming CIHR’s execution environment can actually compile/run Stan via</w:t>
      </w:r>
      <w:r>
        <w:t xml:space="preserve"> </w:t>
      </w:r>
      <w:r>
        <w:rPr>
          <w:rStyle w:val="VerbatimChar"/>
        </w:rPr>
        <w:t xml:space="preserve">cmdstanr</w:t>
      </w:r>
      <w:r>
        <w:t xml:space="preserve">, and after prior-predictive checks on both submodels – this</w:t>
      </w:r>
      <w:r>
        <w:t xml:space="preserve"> </w:t>
      </w:r>
      <w:r>
        <w:t xml:space="preserve">document (or its next revision) will add a results section presenting</w:t>
      </w:r>
      <w:r>
        <w:t xml:space="preserve"> </w:t>
      </w:r>
      <w:r>
        <w:t xml:space="preserve">posterior marginal effects via</w:t>
      </w:r>
      <w:r>
        <w:t xml:space="preserve"> </w:t>
      </w:r>
      <w:r>
        <w:rPr>
          <w:rStyle w:val="VerbatimChar"/>
        </w:rPr>
        <w:t xml:space="preserve">marginaleffects</w:t>
      </w:r>
      <w:r>
        <w:t xml:space="preserve"> </w:t>
      </w:r>
      <w:r>
        <w:t xml:space="preserve">for both the</w:t>
      </w:r>
      <w:r>
        <w:t xml:space="preserve"> </w:t>
      </w:r>
      <w:r>
        <w:t xml:space="preserve">deviation-probability and magnitude submodels, and showing recovery of the</w:t>
      </w:r>
      <w:r>
        <w:t xml:space="preserve"> </w:t>
      </w:r>
      <w:r>
        <w:t xml:space="preserve">known simulated effects at the full posterior level, the same way the</w:t>
      </w:r>
      <w:r>
        <w:t xml:space="preserve"> </w:t>
      </w:r>
      <w:r>
        <w:t xml:space="preserve">frequentist checks above do at a point-estimate level.</w:t>
      </w:r>
    </w:p>
    <w:bookmarkEnd w:id="52"/>
    <w:bookmarkStart w:id="54" w:name="references"/>
    <w:p>
      <w:pPr>
        <w:pStyle w:val="Heading1"/>
      </w:pPr>
      <w:r>
        <w:t xml:space="preserve">References</w:t>
      </w:r>
    </w:p>
    <w:bookmarkStart w:id="53" w:name="refs"/>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8" Target="media/rId28.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Simulation Design and Modeling Strategy</dc:title>
  <dc:creator>Sam Harper &amp; Arijit Nandi</dc:creator>
  <cp:keywords/>
  <dcterms:created xsi:type="dcterms:W3CDTF">2026-08-12T18:03:35Z</dcterms:created>
  <dcterms:modified xsi:type="dcterms:W3CDTF">2026-08-12T18:03:35Z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ror.bib</vt:lpwstr>
  </property>
  <property fmtid="{D5CDD505-2E9C-101B-9397-08002B2CF9AE}" pid="5" name="by-author">
    <vt:lpwstr/>
  </property>
  <property fmtid="{D5CDD505-2E9C-101B-9397-08002B2CF9AE}" pid="6" name="date">
    <vt:lpwstr>2026-08-12</vt:lpwstr>
  </property>
  <property fmtid="{D5CDD505-2E9C-101B-9397-08002B2CF9AE}" pid="7" name="date-format">
    <vt:lpwstr>iso</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The Influence of Reviewer Expertise and Engagement on Peer Review of Grants</vt:lpwstr>
  </property>
  <property fmtid="{D5CDD505-2E9C-101B-9397-08002B2CF9AE}" pid="13" name="toc-title">
    <vt:lpwstr>Table of contents</vt:lpwstr>
  </property>
</Properties>
</file>