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SECTOR — Options Flow Layer, Build Spec v1.0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Fusing options positioning with the live tape-flow engine  |  Addendum to Morning Tape Build Spec v2.0 + OPEX Addendum  |  For CTO — includes the trading knowledge you need</w:t>
      </w:r>
    </w:p>
    <w:p>
      <w:pPr>
        <w:pStyle w:val="Heading1"/>
        <w:spacing w:after="100" w:before="240"/>
      </w:pPr>
      <w:r>
        <w:rPr>
          <w:b/>
          <w:bCs/>
          <w:color w:val="1F3864"/>
        </w:rPr>
        <w:t xml:space="preserve">PART 1 — What Options Flow Is (engineer's version) and Why It Leads the Tape</w:t>
      </w:r>
    </w:p>
    <w:p>
      <w:pPr>
        <w:spacing w:after="90"/>
      </w:pPr>
      <w:r>
        <w:rPr>
          <w:sz w:val="21"/>
          <w:szCs w:val="21"/>
        </w:rPr>
        <w:t xml:space="preserve">Every listed option trade prints to a consolidated feed, like stock trades. An options print carries: ticker, strike, expiry, call/put, size, price, WHICH SIDE was aggressive (at bid / at ask / midpoint), and execution style (single block vs a 'sweep' that hits multiple exchanges at once). Why we care: options are the cheapest, most leveraged way to position BEFORE an expected move — informed money often shows up in options minutes-to-days before it shows up in stock. Our tape engine sees money moving; the options layer sees money POSITIONING.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THE CRITICAL LESSON THE WHOLE LAYER IS BUILT ON: dollar volume of options flow measures ACTIVITY, not conviction. Most big options prints are plumbing — hedges, buy-writes, arbitrage, rolls — with zero directional meaning. Every retail flow tool fails by summing premium and calling it 'bullish flow.' Sector's edge is CLASSIFYING flow before counting it: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600"/>
        <w:gridCol w:w="2360"/>
      </w:tblGrid>
      <w:tr>
        <w:tc>
          <w:tcPr>
            <w:tcW w:type="dxa" w:w="31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usually is</w:t>
            </w:r>
          </w:p>
        </w:tc>
        <w:tc>
          <w:tcPr>
            <w:tcW w:type="dxa" w:w="236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Directional value</w:t>
            </w:r>
          </w:p>
        </w:tc>
      </w:tr>
      <w:tr>
        <w:tc>
          <w:tcPr>
            <w:tcW w:type="dxa" w:w="31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Sweep, executed AT THE ASK, OTM, near-dated, size large vs open interest</w:t>
            </w:r>
          </w:p>
        </w:tc>
        <w:tc>
          <w:tcPr>
            <w:tcW w:type="dxa" w:w="36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Urgent conviction buying — someone wants delta NOW</w:t>
            </w:r>
          </w:p>
        </w:tc>
        <w:tc>
          <w:tcPr>
            <w:tcW w:type="dxa" w:w="236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— this is the signal class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 at midpoint, patient execution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Negotiated institutional trade — often hedge/buy-write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1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 ITM calls, huge premium</w:t>
            </w:r>
          </w:p>
        </w:tc>
        <w:tc>
          <w:tcPr>
            <w:tcW w:type="dxa" w:w="36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Synthetic stock / financing / borrow arbitrage / rolls</w:t>
            </w:r>
          </w:p>
        </w:tc>
        <w:tc>
          <w:tcPr>
            <w:tcW w:type="dxa" w:w="236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 ZERO (classic false positive)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Repeated same-strike buys across days, OI rising each morning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 accumulation (campaign)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when confirmed by OI</w:t>
            </w:r>
          </w:p>
        </w:tc>
      </w:tr>
      <w:tr>
        <w:tc>
          <w:tcPr>
            <w:tcW w:type="dxa" w:w="31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Big premium, next-day OI flat or down</w:t>
            </w:r>
          </w:p>
        </w:tc>
        <w:tc>
          <w:tcPr>
            <w:tcW w:type="dxa" w:w="36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CLOSING trades — winners cashing out</w:t>
            </w:r>
          </w:p>
        </w:tc>
        <w:tc>
          <w:tcPr>
            <w:tcW w:type="dxa" w:w="236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for direction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 buying in hard-to-borrow names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Synthetic shorting mechanics, not fresh bearish info</w:t>
            </w:r>
          </w:p>
        </w:tc>
        <w:tc>
          <w:tcPr>
            <w:tcW w:type="dxa" w:w="23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— check borrow status</w:t>
            </w:r>
          </w:p>
        </w:tc>
      </w:tr>
    </w:tbl>
    <w:p>
      <w:pPr>
        <w:spacing w:after="90"/>
      </w:pPr>
      <w:r>
        <w:rPr>
          <w:sz w:val="21"/>
          <w:szCs w:val="21"/>
        </w:rPr>
        <w:t xml:space="preserve">Open interest (OI) is the referee: OI updates ONCE nightly (OCC settlement). Today's flow can only be verified as OPENING (new position) or CLOSING by comparing tonight's OI to yesterday's. The layer must run a nightly OI-delta job — flow unconfirmed by OI is graded provisional.</w:t>
      </w:r>
    </w:p>
    <w:p>
      <w:pPr>
        <w:pStyle w:val="Heading1"/>
        <w:spacing w:after="100" w:before="240"/>
      </w:pPr>
      <w:r>
        <w:rPr>
          <w:b/>
          <w:bCs/>
          <w:color w:val="1F3864"/>
        </w:rPr>
        <w:t xml:space="preserve">PART 2 — Data Source (stay in lane: no OPRA in v1)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Source: </w:t>
      </w:r>
      <w:r>
        <w:rPr>
          <w:sz w:val="21"/>
          <w:szCs w:val="21"/>
        </w:rPr>
        <w:t xml:space="preserve">Primary: Unusual Whales API (already licensed). Required fields per print: ticker, strike, expiry, C/P, size, premium, aggressor side (ask/bid/mid), sweep flag, OI at strike, underlying price at execution, timestamp.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Non-goal for now: </w:t>
      </w:r>
      <w:r>
        <w:rPr>
          <w:sz w:val="21"/>
          <w:szCs w:val="21"/>
        </w:rPr>
        <w:t xml:space="preserve">Fallback/expansion later: Polygon options trades feed. FULL OPRA ingestion is explicitly deferred — cost and licensing are unjustified for v1; UW pre-aggregation is sufficient for basket-level signals.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Nightly job: pull OI snapshots per tracked strike for the OI-delta referee (UW provides; else Polygon EOD chain).</w:t>
      </w:r>
    </w:p>
    <w:p>
      <w:pPr>
        <w:pStyle w:val="Heading1"/>
        <w:spacing w:after="100" w:before="240"/>
      </w:pPr>
      <w:r>
        <w:rPr>
          <w:b/>
          <w:bCs/>
          <w:color w:val="1F3864"/>
        </w:rPr>
        <w:t xml:space="preserve">PART 3 — The Metrics (computed per ticker, aggregated to basket, exactly like tape metrics)</w:t>
      </w:r>
    </w:p>
    <w:p>
      <w:pPr>
        <w:pStyle w:val="Heading2"/>
        <w:spacing w:after="70" w:before="170"/>
      </w:pPr>
      <w:r>
        <w:rPr>
          <w:b/>
          <w:bCs/>
          <w:color w:val="2E5395"/>
        </w:rPr>
        <w:t xml:space="preserve">3.1 Conviction-Weighted Net Options Delta (the core number)</w:t>
      </w:r>
    </w:p>
    <w:p>
      <w:pPr>
        <w:shd w:fill="F4F4F4" w:val="clear"/>
        <w:spacing w:after="7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For each print: signed_notional = premium × (call ? +1 : −1) × (bought_at_ask ? +1 : bought_at_bid ? −1 : 0)</w:t>
      </w:r>
    </w:p>
    <w:p>
      <w:pPr>
        <w:shd w:fill="F4F4F4" w:val="clear"/>
        <w:spacing w:after="7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conviction_weight = w_sweep(1.5 if sweep) × w_money(1.0 OTM≤15%, 0.5 ATM±5%, 0.1 deep ITM) × w_dte(1.25 if ≤45d) × w_size(1.5 if size&gt;25% of strike OI)</w:t>
      </w:r>
    </w:p>
    <w:p>
      <w:pPr>
        <w:shd w:fill="F4F4F4" w:val="clear"/>
        <w:spacing w:after="70"/>
        <w:ind w:left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NetOptionsConviction(ticker,t) = Σ signed_notional × conviction_weight   → z-score vs 20d matched baseline</w:t>
      </w:r>
    </w:p>
    <w:p>
      <w:pPr>
        <w:spacing w:after="90"/>
      </w:pPr>
      <w:r>
        <w:rPr>
          <w:sz w:val="21"/>
          <w:szCs w:val="21"/>
        </w:rPr>
        <w:t xml:space="preserve">This single formula encodes Part 1's taxonomy: deep-ITM plumbing gets 0.1 weight, patient mid prints get zero sign, aggressive OTM sweeps get maximum weight. Basket-level = sum members, z-scored — identical architecture to FlowShare.</w:t>
      </w:r>
    </w:p>
    <w:p>
      <w:pPr>
        <w:pStyle w:val="Heading2"/>
        <w:spacing w:after="70" w:before="170"/>
      </w:pPr>
      <w:r>
        <w:rPr>
          <w:b/>
          <w:bCs/>
          <w:color w:val="2E5395"/>
        </w:rPr>
        <w:t xml:space="preserve">3.2 Supporting metrics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Call/Put conviction skew per basket (bullish vs bearish premium after weighting) — rendered as tile tint direction.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OI-Confirmation ratio (nightly): fraction of yesterday's flagged conviction flow that showed up as OI increase. Confirmed campaigns get a persistent badge; unconfirmed flow decays from the signal in 24h.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Options-lead timestamp: when a basket's NetOptionsConviction z crosses +1.5 BEFORE the tape's own ignition, log the lead time. This builds the proprietary dataset: how early options lead OUR baskets, measured.</w:t>
      </w:r>
    </w:p>
    <w:p>
      <w:pPr>
        <w:pStyle w:val="Heading1"/>
        <w:spacing w:after="100" w:before="240"/>
      </w:pPr>
      <w:r>
        <w:rPr>
          <w:b/>
          <w:bCs/>
          <w:color w:val="1F3864"/>
        </w:rPr>
        <w:t xml:space="preserve">PART 4 — The Fusion (how it layers onto the money-flow grid)</w:t>
      </w:r>
    </w:p>
    <w:p>
      <w:pPr>
        <w:spacing w:after="90"/>
      </w:pPr>
      <w:r>
        <w:rPr>
          <w:b/>
          <w:bCs/>
          <w:sz w:val="21"/>
          <w:szCs w:val="21"/>
        </w:rPr>
        <w:t xml:space="preserve">PRINCIPLE (non-negotiable, learned from the failed v1 bot): the TAPE remains the primary signal; options flow is a CONFIRMATION and EARLY-WARNING layer. It brightens, dims, and pre-stages — it never fires trade-grade alerts alone.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Glow integration: add OptionsConviction z as a 4th composite input at 15–20% weight (tape ratio-z, breadth, NetDelta keep the rest).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Tile rendering: a thin arc on each tile's edge — green/red by conviction direction, thickness by z. One glance now reads: tape flow (fill+ring) AND positioning (arc).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Alert class 1: </w:t>
      </w:r>
      <w:r>
        <w:rPr>
          <w:sz w:val="21"/>
          <w:szCs w:val="21"/>
        </w:rPr>
        <w:t xml:space="preserve">THE DOUBLE-CONFIRMATION ALERT — the alpha event: tape triple-gate fires AND OptionsConviction z &gt; +1.5 same direction within 30 min = highest-grade alert class ('CONFIRMED IGNITION'). Historically the configuration closest to 'seeing the move before it extends' that public data allows.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Alert class 2: </w:t>
      </w:r>
      <w:r>
        <w:rPr>
          <w:sz w:val="21"/>
          <w:szCs w:val="21"/>
        </w:rPr>
        <w:t xml:space="preserve">THE EARLY-WATCH STATE: OptionsConviction z &gt; +2 with NO tape ignition yet = tile enters 'loading' state (pulsing arc, no alert push). If tape ignites within 2 sessions → auto-upgraded alert citing the lead. If not → decays silently. This is the ARM-pattern detector (positioning before news), systematized.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Alert class 3: </w:t>
      </w:r>
      <w:r>
        <w:rPr>
          <w:sz w:val="21"/>
          <w:szCs w:val="21"/>
        </w:rPr>
        <w:t xml:space="preserve">DIVERGENCE flag: tape ignition with FLAT/opposite options conviction = 'UNCONFIRMED' label on the alert — historically the fade-prone class. The label alone saves bad entries.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OPEX interaction (per OPEX addendum): during opex_week, conviction weights already exclude most mechanical noise (mid-prints zeroed, ITM discounted); additionally suppress Class-2 states on expiring-week contracts — rolls masquerade as positioning.</w:t>
      </w:r>
    </w:p>
    <w:p>
      <w:pPr>
        <w:pStyle w:val="Heading1"/>
        <w:spacing w:after="100" w:before="240"/>
      </w:pPr>
      <w:r>
        <w:rPr>
          <w:b/>
          <w:bCs/>
          <w:color w:val="1F3864"/>
        </w:rPr>
        <w:t xml:space="preserve">PART 5 — Build Steps &amp; Acceptance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50"/>
        <w:gridCol w:w="3410"/>
      </w:tblGrid>
      <w:tr>
        <w:tc>
          <w:tcPr>
            <w:tcW w:type="dxa" w:w="9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75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</w:t>
            </w:r>
          </w:p>
        </w:tc>
        <w:tc>
          <w:tcPr>
            <w:tcW w:type="dxa" w:w="341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(1–2d)</w:t>
            </w:r>
          </w:p>
        </w:tc>
        <w:tc>
          <w:tcPr>
            <w:tcW w:type="dxa" w:w="47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UW API ingestion → normalized print stream with aggressor/sweep fields; storage alongside tape buckets</w:t>
            </w:r>
          </w:p>
        </w:tc>
        <w:tc>
          <w:tcPr>
            <w:tcW w:type="dxa" w:w="341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Replay of a session reproduces identical conviction series twice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(1d)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Conviction weighting engine + per-basket z-scores vs 20d matched baselines</w:t>
            </w:r>
          </w:p>
        </w:tc>
        <w:tc>
          <w:tcPr>
            <w:tcW w:type="dxa" w:w="341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Deep-ITM heavy day (test fixture) produces near-zero conviction despite huge premium</w:t>
            </w:r>
          </w:p>
        </w:tc>
      </w:tr>
      <w:tr>
        <w:tc>
          <w:tcPr>
            <w:tcW w:type="dxa" w:w="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(0.5d)</w:t>
            </w:r>
          </w:p>
        </w:tc>
        <w:tc>
          <w:tcPr>
            <w:tcW w:type="dxa" w:w="47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Nightly OI-delta referee job + confirmation badges</w:t>
            </w:r>
          </w:p>
        </w:tc>
        <w:tc>
          <w:tcPr>
            <w:tcW w:type="dxa" w:w="341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Flagged flow correctly graded opening vs closing next morning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(1–2d)</w:t>
            </w:r>
          </w:p>
        </w:tc>
        <w:tc>
          <w:tcPr>
            <w:tcW w:type="dxa" w:w="47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Glow integration + tile arc rendering + the three alert classes</w:t>
            </w:r>
          </w:p>
        </w:tc>
        <w:tc>
          <w:tcPr>
            <w:tcW w:type="dxa" w:w="341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Double-confirmation alert fires in replay of a known ignition day; unconfirmed divergence correctly labeled</w:t>
            </w:r>
          </w:p>
        </w:tc>
      </w:tr>
      <w:tr>
        <w:tc>
          <w:tcPr>
            <w:tcW w:type="dxa" w:w="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(ongoing)</w:t>
            </w:r>
          </w:p>
        </w:tc>
        <w:tc>
          <w:tcPr>
            <w:tcW w:type="dxa" w:w="47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Ledger: every Class-1/2 event auto-graded T+1/T+3/T+5; lead-time dataset accumulates</w:t>
            </w:r>
          </w:p>
        </w:tc>
        <w:tc>
          <w:tcPr>
            <w:tcW w:type="dxa" w:w="341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weekly calibration report includes options-lead stats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864"/>
        </w:rPr>
        <w:t xml:space="preserve">PART 6 — Non-Goals (lane law)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Options flow NEVER fires standalone trade alerts and never outweighs the tape in the composite. The v1 bot died making options flow the driver; it is permanently the passenger.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 OPRA firehose, no gamma/GEX modeling, no max-pain — external tools own options STRUCTURE; we own flow CLASSIFICATION fused with tape.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 per-contract trade recommendations. Measurements only; the PM decides.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Total: ~5–6 focused days on top of the existing engine. The differentiation sentence for the whole layer: everyone else counts options premium; Sector classifies conviction, verifies it against overnight OI, fuses it with signed tape flow, and grades its own lead-time — in public.</w:t>
      </w:r>
    </w:p>
    <w:sectPr>
      <w:pgSz w:w="12240" w:h="15840" w:orient="portrait"/>
      <w:pgMar w:top="950" w:right="1020" w:bottom="9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2026-08-19T00:45:55.935Z</dcterms:created>
  <dcterms:modified xsi:type="dcterms:W3CDTF">2026-08-19T00:45:55.962Z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