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MORNING TAPE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Live Money-Flow Map — Advanced Build Specification v2.0 (supersedes FLOWSEEKER v1 alert-engine framing)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Prepared for: CTO  |  Product class: pure observation instrument — NO trade ideas, NO signal-to-trade automation  |  Internal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1. Product Definition — What This Is and Is Not</w:t>
      </w:r>
    </w:p>
    <w:p>
      <w:pPr>
        <w:spacing w:after="100"/>
      </w:pPr>
      <w:r>
        <w:rPr>
          <w:sz w:val="21"/>
          <w:szCs w:val="21"/>
        </w:rPr>
        <w:t xml:space="preserve">A real-time market weather map. One screen that shows, from 09:30:00 onward, where dollar volume is concentrating, whether it is shifting between sectors/baskets, and whether the buying/selling is broad and aggressive or thin and passive. The PM reads it and decides. The machine observes; it never recommends.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Prior options-flow/news-to-trade-idea bot failed at the decision layer. This product deletes the decision layer entirely — different failure mode, different product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Primary user moment: 09:30–10:30 ET. Secondary: continuous intraday + 15:30–16:00 close window.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2. The Core Mathematics (this section IS the product)</w:t>
      </w:r>
    </w:p>
    <w:p>
      <w:pPr>
        <w:pStyle w:val="Heading2"/>
        <w:spacing w:after="80" w:before="200"/>
      </w:pPr>
      <w:r>
        <w:rPr>
          <w:b/>
          <w:bCs/>
          <w:color w:val="2E5395"/>
        </w:rPr>
        <w:t xml:space="preserve">2.1 Dollar-Volume Flow Share — the money-flow metric</w:t>
      </w:r>
    </w:p>
    <w:p>
      <w:pPr>
        <w:spacing w:after="100"/>
      </w:pPr>
      <w:r>
        <w:rPr>
          <w:sz w:val="21"/>
          <w:szCs w:val="21"/>
        </w:rPr>
        <w:t xml:space="preserve">Volume alone is noise; SHARE of the tape's total dollar volume is flow. For each basket B in each time bucket t:</w:t>
      </w:r>
    </w:p>
    <w:p>
      <w:pPr>
        <w:shd w:fill="F5F5F5" w:val="clear"/>
        <w:spacing w:after="8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FlowShare(B,t) = Σ dollar_volume(members of B, t) / Σ dollar_volume(entire tracked universe, t)</w:t>
      </w:r>
    </w:p>
    <w:p>
      <w:pPr>
        <w:shd w:fill="F5F5F5" w:val="clear"/>
        <w:spacing w:after="8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FlowShareZ(B,t) = ( FlowShare(B,t) − μ20d(B, matched bucket t) ) / σ20d(B, matched bucket t)</w:t>
      </w:r>
    </w:p>
    <w:p>
      <w:pPr>
        <w:spacing w:after="100"/>
      </w:pPr>
      <w:r>
        <w:rPr>
          <w:sz w:val="21"/>
          <w:szCs w:val="21"/>
        </w:rPr>
        <w:t xml:space="preserve">Because shares are zero-sum across the tape, a shift is definitionally visible: one basket's share z rising while another's falls IS money rotating, measured — not inferred. This directly answers 'is volume shifting toward a different sector' with a number.</w:t>
      </w:r>
    </w:p>
    <w:p>
      <w:pPr>
        <w:pStyle w:val="Heading2"/>
        <w:spacing w:after="80" w:before="200"/>
      </w:pPr>
      <w:r>
        <w:rPr>
          <w:b/>
          <w:bCs/>
          <w:color w:val="2E5395"/>
        </w:rPr>
        <w:t xml:space="preserve">2.2 Time-of-Day Matched Baselines (the accuracy layer)</w:t>
      </w:r>
    </w:p>
    <w:p>
      <w:pPr>
        <w:spacing w:after="100"/>
      </w:pPr>
      <w:r>
        <w:rPr>
          <w:sz w:val="21"/>
          <w:szCs w:val="21"/>
        </w:rPr>
        <w:t xml:space="preserve">Intraday volume is U-shaped; comparing 9:35 volume to a daily average makes every open look like a spike. Nightly job builds per-ticker 20-day rolling volume profiles in 1-minute buckets. ALL relative-volume and share metrics compare against the MATCHED bucket only. This one detail separates a real instrument from a christmas tree.</w:t>
      </w:r>
    </w:p>
    <w:p>
      <w:pPr>
        <w:pStyle w:val="Heading2"/>
        <w:spacing w:after="80" w:before="200"/>
      </w:pPr>
      <w:r>
        <w:rPr>
          <w:b/>
          <w:bCs/>
          <w:color w:val="2E5395"/>
        </w:rPr>
        <w:t xml:space="preserve">2.3 Signed Volume — net buying vs net selling (the alpha layer)</w:t>
      </w:r>
    </w:p>
    <w:p>
      <w:pPr>
        <w:spacing w:after="100"/>
      </w:pPr>
      <w:r>
        <w:rPr>
          <w:sz w:val="21"/>
          <w:szCs w:val="21"/>
        </w:rPr>
        <w:t xml:space="preserve">Classify every trade as buyer- or seller-initiated (aggressor side) using quote-relative classification (Lee-Ready style: trade at/above ask = buy, at/below bid = sell, midpoint = tick rule). Then:</w:t>
      </w:r>
    </w:p>
    <w:p>
      <w:pPr>
        <w:shd w:fill="F5F5F5" w:val="clear"/>
        <w:spacing w:after="8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NetDelta(B,t) = Σ buy_dollar_volume − Σ sell_dollar_volume   (per basket, per bucket)</w:t>
      </w:r>
    </w:p>
    <w:p>
      <w:pPr>
        <w:shd w:fill="F5F5F5" w:val="clear"/>
        <w:spacing w:after="8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DeltaRatio(B,t) = NetDelta / TotalDollarVolume   ∈ [−1, +1]</w:t>
      </w:r>
    </w:p>
    <w:p>
      <w:pPr>
        <w:spacing w:after="100"/>
      </w:pPr>
      <w:r>
        <w:rPr>
          <w:sz w:val="21"/>
          <w:szCs w:val="21"/>
        </w:rPr>
        <w:t xml:space="preserve">This upgrades the map from 'volume is here' to 'money is BUYING here' — the closest legally available approximation of true directional money flow. Requires trades+quotes feed (see §4). This is the layer no retail dashboard has.</w:t>
      </w:r>
    </w:p>
    <w:p>
      <w:pPr>
        <w:pStyle w:val="Heading2"/>
        <w:spacing w:after="80" w:before="200"/>
      </w:pPr>
      <w:r>
        <w:rPr>
          <w:b/>
          <w:bCs/>
          <w:color w:val="2E5395"/>
        </w:rPr>
        <w:t xml:space="preserve">2.4 Flow-Shift Detector — the rotation math</w:t>
      </w:r>
    </w:p>
    <w:p>
      <w:pPr>
        <w:shd w:fill="F5F5F5" w:val="clear"/>
        <w:spacing w:after="8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ShiftSlope(B) = d/dt FlowShareZ(B) over rolling 5-min and 15-min windows</w:t>
      </w:r>
    </w:p>
    <w:p>
      <w:pPr>
        <w:spacing w:after="100"/>
      </w:pPr>
      <w:r>
        <w:rPr>
          <w:sz w:val="21"/>
          <w:szCs w:val="21"/>
        </w:rPr>
        <w:t xml:space="preserve">Run change-point detection (CUSUM) on each basket's share series. When one basket's slope breaks positive and another's breaks negative beyond thresholds in the same window, the header renders a factual sentence: 'FLOW SHIFT: out of MEMORY (−1.8σ) into DEFENSIVES (+2.1σ), began 09:41.' A statement of measurement, not a recommendation.</w:t>
      </w:r>
    </w:p>
    <w:p>
      <w:pPr>
        <w:pStyle w:val="Heading2"/>
        <w:spacing w:after="80" w:before="200"/>
      </w:pPr>
      <w:r>
        <w:rPr>
          <w:b/>
          <w:bCs/>
          <w:color w:val="2E5395"/>
        </w:rPr>
        <w:t xml:space="preserve">2.5 Breadth &amp; Participation</w:t>
      </w:r>
    </w:p>
    <w:p>
      <w:pPr>
        <w:shd w:fill="F5F5F5" w:val="clear"/>
        <w:spacing w:after="8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Breadth(B,t) = fraction of members positive vs SPY on the session   |   e.g. 8/9</w:t>
      </w:r>
    </w:p>
    <w:p>
      <w:pPr>
        <w:spacing w:after="100"/>
      </w:pPr>
      <w:r>
        <w:rPr>
          <w:sz w:val="21"/>
          <w:szCs w:val="21"/>
        </w:rPr>
        <w:t xml:space="preserve">Simultaneity is the institutional fingerprint: one stock up is news; nine up on volume is money. Breadth gets equal weight with FlowShareZ in tile intensity.</w:t>
      </w:r>
    </w:p>
    <w:p>
      <w:pPr>
        <w:pStyle w:val="Heading2"/>
        <w:spacing w:after="80" w:before="200"/>
      </w:pPr>
      <w:r>
        <w:rPr>
          <w:b/>
          <w:bCs/>
          <w:color w:val="2E5395"/>
        </w:rPr>
        <w:t xml:space="preserve">2.6 VWAP Posture &amp; Off-Exchange Share (secondary institutional tells)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VWAP posture: % of basket members trading above session VWAP — intraday accumulation proxy.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TRF/off-exchange share: % of basket volume printing off-exchange (FINRA TRF venue codes in the consolidated feed). Rising dark share + rising price + positive delta = institutional accumulation signature; renders as a small dot on the tile.</w:t>
      </w:r>
    </w:p>
    <w:p>
      <w:pPr>
        <w:pStyle w:val="Heading2"/>
        <w:spacing w:after="80" w:before="200"/>
      </w:pPr>
      <w:r>
        <w:rPr>
          <w:b/>
          <w:bCs/>
          <w:color w:val="2E5395"/>
        </w:rPr>
        <w:t xml:space="preserve">2.7 Tile Intensity — the composite</w:t>
      </w:r>
    </w:p>
    <w:p>
      <w:pPr>
        <w:shd w:fill="F5F5F5" w:val="clear"/>
        <w:spacing w:after="8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Glow(B,t) = w1·FlowShareZ + w2·Breadth + w3·DeltaRatio + w4·RelPerf(B vs SPY)   (weights configurable; start equal)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3. The Screen (single view, zero navigation)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Grid of basket tiles, auto-sorted: strongest inflow top-left → heaviest outflow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tile: color+intensity = Glow score | volume ring thickness = matched-bucket RVOL | breadth fraction (8/9) | 15-min sparkline of FlowShareZ | small dot = dark-share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Header line 1 — regime sentence (mechanical): DE-GROSSING / ROTATION (from X into Y) / RE-GROSSING / CHOP, computed from breadth across baskets + dispersion + cash-proxy (BIL/SGOV)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Header line 2 — bond tape: 10Y/30Y level + velocity z. Equity flow reads differently when yields are moving; the header keeps the referee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replay scrubber: drag back through the morning's evolution in 1-min steps (stored buckets make this free).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4. Data Stack — Fastest &amp; Most Accurate, Honestly Ranked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700"/>
        <w:gridCol w:w="2760"/>
        <w:gridCol w:w="1550"/>
      </w:tblGrid>
      <w:tr>
        <w:tc>
          <w:tcPr>
            <w:tcW w:type="dxa" w:w="2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Feed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2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/ Priority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cost</w:t>
            </w:r>
          </w:p>
        </w:tc>
      </w:tr>
      <w:tr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Databento US equities consolidated — trades + NBBO quotes (websocket)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print with venue code (incl. TRF) + quotes for aggressor classification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spine. Enables §2.1–2.6 fully. Priority 1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~$200–400/mo tier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Opening auction prints (in consolidated feed)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9:30 opening cross size/price per member — the day's first institutional footprint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within feed; parse cross flags. Priority 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Nasdaq TotalView + NYSE imbalance feeds (optional v2)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PRE-open order imbalances from ~9:28 and MOC imbalances from 15:50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only data that is literally earlier than the open. Add after v1 proves daily use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~$100–300/mo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Polygon.io Advanced (backup feed)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Redundant real-time trades/aggregates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 must not go blind in the volatile hour it exists for. Priority 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~$200/mo</w:t>
            </w:r>
          </w:p>
        </w:tc>
      </w:tr>
      <w:tr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Unusual Whales API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Options net premium per member → basket overlay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Secondary brightness input only — NOT the driver (lesson from prior bot). Priority 3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already licensed / small delta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ETF flow scrape (etf.com/Farside)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EOD creation/redemption dollars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Nightly grading of the day's map. Free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Latency budget (end-to-end, print → pixel): ≤ 2–5 seconds. Bucket resolution: 1-second bars 09:30–10:00, 1-minute thereafter. Anything faster is HFT cosplay: our horizon is minutes-to-days; accuracy and uptime beat microseconds. Two independent feeds with automatic failover is the real 'speed' purchase.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5. Build Plan (≈2 weeks; reuses ~60–80% of prior bot's plumbing)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80"/>
        <w:gridCol w:w="338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3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1–3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Ingest: dual-feed websockets, trade classification, TRF tagging, 1s/1m bucket store; nightly 20-day profile builder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Replay of a recorded session reproduces identical metrics twice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4–7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Math core: FlowShare, matched-bucket z, NetDelta, breadth, VWAP posture, shift detector (CUSUM), regime + bond header</w:t>
            </w:r>
          </w:p>
        </w:tc>
        <w:tc>
          <w:tcPr>
            <w:tcW w:type="dxa" w:w="3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tests pass on recorded rotation days (see §6)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8–11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screen: tile grid, glow composite, rings, sparklines, sort, replay scrubber; 5s refresh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 reads the 9:33 tape state in one glance, no clicks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12–14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Hardening: failover drill, latency audit, nightly EOD grading job writing the day's map + regime call to the ledger</w:t>
            </w:r>
          </w:p>
        </w:tc>
        <w:tc>
          <w:tcPr>
            <w:tcW w:type="dxa" w:w="3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Survives a full live week incl. one macro morning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</w:rPr>
        <w:t xml:space="preserve">6. Acceptance Tests (non-negotiable)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Replay test A: the SNDK guide night + following open — memory basket must show share-z collapse and negative delta within the first 15 minutes of the replayed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Replay test B: the VIAV→optics read-through morning — optics tile must dim on breadth before AAOI's own print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Replay test C: a known de-grossing day must classify DE-GROSSING (not rotation) in the header — the map must say 'money leaving, nothing catching it' when that is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Accuracy test: matched-bucket RVOL at 9:35 on an average day ≈ 1.0 across baskets (if every open reads &gt;2x, baselines are wrong).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Latency test: print-to-pixel ≤5s sustained through a 9:30 burst; failover completes ≤10s with no metric gap.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7. Non-Goals (scope law — what killed the last bot stays dead)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trade-idea generation, NO buy/sell language anywhere in the UI, NO signal-to-order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news-NLP layer in v1. A single optional headline timestamp flag per basket (did a headline coincide with the shift) may come in v2 for ledger grading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sub-second infrastructure, colocation, or latency racing.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Options premium is an overlay, never the primary driver.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8. Sign-off Summary</w:t>
      </w:r>
    </w:p>
    <w:p>
      <w:pPr>
        <w:spacing w:after="100"/>
      </w:pPr>
      <w:r>
        <w:rPr>
          <w:sz w:val="21"/>
          <w:szCs w:val="21"/>
        </w:rPr>
        <w:t xml:space="preserve">One screen. Dollar-volume share with time-matched baselines, signed by aggressor, weighted by breadth, sorted by intensity, headlined by one mechanical regime sentence and the bond tape. Dual-feed, ≤5-second latency, replay-tested against the exact mornings we lived this month. The machine watches sixty tickers a second and draws the weather; the PM keeps every decision. Ship in two weeks; graded nightly by the ledger from day one.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2026-08-06T14:57:21.446Z</dcterms:created>
  <dcterms:modified xsi:type="dcterms:W3CDTF">2026-08-06T14:57:21.464Z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