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reprincipal"/>
        <w:keepNext w:val="true"/>
        <w:keepLines w:val="false"/>
        <w:pageBreakBefore w:val="false"/>
        <w:widowControl w:val="false"/>
        <w:pBdr>
          <w:top w:val="single" w:sz="6" w:space="0" w:color="000000"/>
          <w:bottom w:val="single" w:sz="6" w:space="0" w:color="000000"/>
        </w:pBdr>
        <w:suppressAutoHyphens w:val="false"/>
        <w:bidi w:val="0"/>
        <w:spacing w:lineRule="auto" w:line="240" w:before="240" w:after="120"/>
        <w:ind w:left="0" w:right="0" w:hanging="0"/>
        <w:jc w:val="center"/>
        <w:rPr/>
      </w:pPr>
      <w:r>
        <w:rPr>
          <w:rStyle w:val="Aucun"/>
          <w:lang w:val="fr-FR"/>
        </w:rPr>
        <w:t>Style bibliographique</w:t>
      </w:r>
      <w:r>
        <w:rPr>
          <w:rStyle w:val="Aucun"/>
        </w:rPr>
        <w:br/>
      </w:r>
      <w:r>
        <w:rPr>
          <w:rStyle w:val="Aucun"/>
          <w:lang w:val="fr-FR"/>
        </w:rPr>
        <w:t>UPJV Histoire de l'art</w:t>
      </w:r>
      <w:r>
        <w:rPr>
          <w:rStyle w:val="Aucun"/>
        </w:rPr>
        <w:br/>
      </w:r>
      <w:r>
        <w:rPr>
          <w:rStyle w:val="Aucun"/>
          <w:lang w:val="fr-FR"/>
        </w:rPr>
        <w:t>Auteur-date</w:t>
      </w:r>
    </w:p>
    <w:p>
      <w:pPr>
        <w:pStyle w:val="Soustitre"/>
        <w:rPr/>
      </w:pPr>
      <w:r>
        <w:rPr>
          <w:rStyle w:val="Aucun"/>
          <w:lang w:val="fr-FR"/>
        </w:rPr>
        <w:t>version 1.</w:t>
      </w:r>
      <w:r>
        <w:rPr>
          <w:rStyle w:val="Aucun"/>
          <w:lang w:val="fr-FR"/>
        </w:rPr>
        <w:t>3</w:t>
      </w:r>
    </w:p>
    <w:p>
      <w:pPr>
        <w:pStyle w:val="Titre1"/>
        <w:rPr/>
      </w:pPr>
      <w:r>
        <w:rPr>
          <w:rStyle w:val="Aucun"/>
          <w:caps/>
          <w:lang w:val="fr-FR"/>
        </w:rPr>
        <w:t>É</w:t>
      </w:r>
      <w:r>
        <w:rPr>
          <w:rStyle w:val="Aucun"/>
          <w:lang w:val="fr-FR"/>
        </w:rPr>
        <w:t>tudes</w:t>
      </w:r>
    </w:p>
    <w:p>
      <w:pPr>
        <w:pStyle w:val="Titre2"/>
        <w:ind w:left="0" w:right="0" w:hanging="0"/>
        <w:rPr/>
      </w:pPr>
      <w:r>
        <w:rPr>
          <w:rStyle w:val="Aucun"/>
        </w:rPr>
        <w:t>Note</w:t>
      </w:r>
    </w:p>
    <w:p>
      <w:pPr>
        <w:pStyle w:val="Corps"/>
        <w:rPr/>
      </w:pPr>
      <w:r>
        <w:rPr>
          <w:rStyle w:val="Aucun"/>
          <w:caps w:val="false"/>
          <w:smallCaps w:val="false"/>
          <w:color w:val="000000"/>
          <w:position w:val="0"/>
          <w:sz w:val="24"/>
          <w:sz w:val="24"/>
          <w:u w:val="none"/>
          <w:vertAlign w:val="baseline"/>
        </w:rPr>
        <w:t>Mâ</w:t>
      </w:r>
      <w:r>
        <w:rPr>
          <w:rStyle w:val="Aucun"/>
          <w:caps w:val="false"/>
          <w:smallCaps w:val="false"/>
          <w:color w:val="000000"/>
          <w:position w:val="0"/>
          <w:sz w:val="24"/>
          <w:sz w:val="24"/>
          <w:u w:val="none"/>
          <w:vertAlign w:val="baseline"/>
          <w:lang w:val="en-US"/>
        </w:rPr>
        <w:t xml:space="preserve">le, 2021, </w:t>
      </w:r>
      <w:r>
        <w:rPr>
          <w:rStyle w:val="Aucun"/>
          <w:caps w:val="false"/>
          <w:smallCaps w:val="false"/>
          <w:outline w:val="false"/>
          <w:color w:val="000000"/>
          <w:position w:val="0"/>
          <w:sz w:val="24"/>
          <w:sz w:val="24"/>
          <w:u w:val="none"/>
          <w:vertAlign w:val="baseline"/>
          <w:lang w:val="fr-FR"/>
        </w:rPr>
        <w:t>p. 12</w:t>
      </w:r>
      <w:r>
        <w:rPr>
          <w:rStyle w:val="Aucun"/>
          <w:caps w:val="false"/>
          <w:smallCaps w:val="false"/>
          <w:color w:val="000000"/>
          <w:position w:val="0"/>
          <w:sz w:val="24"/>
          <w:sz w:val="24"/>
          <w:u w:val="none"/>
          <w:vertAlign w:val="baseline"/>
        </w:rPr>
        <w:t> </w:t>
      </w:r>
      <w:r>
        <w:rPr>
          <w:rStyle w:val="Aucun"/>
          <w:caps w:val="false"/>
          <w:smallCaps w:val="false"/>
          <w:color w:val="000000"/>
          <w:position w:val="0"/>
          <w:sz w:val="24"/>
          <w:sz w:val="24"/>
          <w:u w:val="none"/>
          <w:vertAlign w:val="baseline"/>
          <w:lang w:val="de-DE"/>
        </w:rPr>
        <w:t>; Baschet, 2008</w:t>
      </w:r>
      <w:r>
        <w:rPr>
          <w:rStyle w:val="Aucun"/>
          <w:caps w:val="false"/>
          <w:smallCaps w:val="false"/>
          <w:color w:val="000000"/>
          <w:position w:val="0"/>
          <w:sz w:val="24"/>
          <w:sz w:val="24"/>
          <w:u w:val="none"/>
          <w:vertAlign w:val="baseline"/>
          <w:lang w:val="it-IT"/>
        </w:rPr>
        <w:t xml:space="preserve">a, </w:t>
      </w:r>
      <w:r>
        <w:rPr>
          <w:rStyle w:val="Aucun"/>
          <w:caps w:val="false"/>
          <w:smallCaps w:val="false"/>
          <w:outline w:val="false"/>
          <w:color w:val="000000"/>
          <w:position w:val="0"/>
          <w:sz w:val="24"/>
          <w:sz w:val="24"/>
          <w:u w:val="none"/>
          <w:vertAlign w:val="baseline"/>
          <w:lang w:val="fr-FR"/>
        </w:rPr>
        <w:t>p. 104-107</w:t>
      </w:r>
      <w:r>
        <w:rPr>
          <w:rStyle w:val="Aucun"/>
          <w:caps w:val="false"/>
          <w:smallCaps w:val="false"/>
          <w:color w:val="000000"/>
          <w:position w:val="0"/>
          <w:sz w:val="24"/>
          <w:sz w:val="24"/>
          <w:u w:val="none"/>
          <w:vertAlign w:val="baseline"/>
        </w:rPr>
        <w:t> </w:t>
      </w:r>
      <w:r>
        <w:rPr>
          <w:rStyle w:val="Aucun"/>
          <w:caps w:val="false"/>
          <w:smallCaps w:val="false"/>
          <w:color w:val="000000"/>
          <w:position w:val="0"/>
          <w:sz w:val="24"/>
          <w:sz w:val="24"/>
          <w:u w:val="none"/>
          <w:vertAlign w:val="baseline"/>
          <w:lang w:val="de-DE"/>
        </w:rPr>
        <w:t>; Baschet, 2008b.</w:t>
      </w:r>
    </w:p>
    <w:p>
      <w:pPr>
        <w:pStyle w:val="Titre2"/>
        <w:ind w:left="0" w:right="0" w:hanging="0"/>
        <w:rPr/>
      </w:pPr>
      <w:r>
        <w:rPr>
          <w:rStyle w:val="Aucun"/>
        </w:rPr>
        <w:t>Bibliographie</w:t>
      </w:r>
    </w:p>
    <w:p>
      <w:pPr>
        <w:pStyle w:val="Normal"/>
        <w:rPr/>
      </w:pPr>
      <w:r>
        <w:rPr>
          <w:rStyle w:val="Aucun"/>
        </w:rPr>
        <w:t xml:space="preserve">Baschet, 2008a – </w:t>
      </w:r>
      <w:r>
        <w:rPr>
          <w:rStyle w:val="Aucun"/>
          <w:smallCaps/>
        </w:rPr>
        <w:t>Baschet</w:t>
      </w:r>
      <w:r>
        <w:rPr>
          <w:rStyle w:val="Aucun"/>
        </w:rPr>
        <w:t xml:space="preserve">, Jérôme, « La voûte peinte de Saint-Savin : ornementation et dynamique axiale du lieu rituel », </w:t>
      </w:r>
      <w:r>
        <w:rPr>
          <w:rStyle w:val="Aucun"/>
          <w:i/>
        </w:rPr>
        <w:t>L’iconographie médiévale</w:t>
      </w:r>
      <w:r>
        <w:rPr>
          <w:rStyle w:val="Aucun"/>
        </w:rPr>
        <w:t>, Paris, Gallimard, 2008 (Folio histoire), p. 102</w:t>
        <w:noBreakHyphen/>
        <w:t>124.</w:t>
      </w:r>
    </w:p>
    <w:p>
      <w:pPr>
        <w:pStyle w:val="Normal"/>
        <w:rPr/>
      </w:pPr>
      <w:r>
        <w:rPr/>
        <w:t>———</w:t>
      </w:r>
      <w:r>
        <w:rPr/>
        <w:t xml:space="preserve">, 2008b – </w:t>
      </w:r>
      <w:r>
        <w:rPr>
          <w:smallCaps/>
        </w:rPr>
        <w:t>Baschet</w:t>
      </w:r>
      <w:r>
        <w:rPr/>
        <w:t xml:space="preserve">, Jérôme, « L’image-objet », </w:t>
      </w:r>
      <w:r>
        <w:rPr>
          <w:i/>
        </w:rPr>
        <w:t>L’iconographie médiévale</w:t>
      </w:r>
      <w:r>
        <w:rPr/>
        <w:t>, Paris, Gallimard, 2008, p. 25</w:t>
        <w:noBreakHyphen/>
        <w:t>64.</w:t>
      </w:r>
    </w:p>
    <w:p>
      <w:pPr>
        <w:pStyle w:val="Normal"/>
        <w:rPr/>
      </w:pPr>
      <w:r>
        <w:rPr/>
        <w:t xml:space="preserve">Mâle, 2021 – </w:t>
      </w:r>
      <w:r>
        <w:rPr>
          <w:smallCaps/>
        </w:rPr>
        <w:t>Mâle</w:t>
      </w:r>
      <w:r>
        <w:rPr/>
        <w:t xml:space="preserve">, Émile, </w:t>
      </w:r>
      <w:r>
        <w:rPr>
          <w:i/>
        </w:rPr>
        <w:t>L’art religieux du XIIIe siècle en France : étude sur l’iconographie du Moyen âge et sur ses sources d’inspiration</w:t>
      </w:r>
      <w:r>
        <w:rPr/>
        <w:t xml:space="preserve"> [1</w:t>
      </w:r>
      <w:r>
        <w:rPr>
          <w:vertAlign w:val="superscript"/>
        </w:rPr>
        <w:t>re</w:t>
      </w:r>
      <w:r>
        <w:rPr/>
        <w:t xml:space="preserve"> éd. 1898], Paris, Klincksieck, 2021 (Les mondes de l’art, 16).</w:t>
      </w:r>
    </w:p>
    <w:p>
      <w:pPr>
        <w:pStyle w:val="Titre1"/>
        <w:numPr>
          <w:ilvl w:val="0"/>
          <w:numId w:val="0"/>
        </w:numPr>
        <w:ind w:left="0" w:right="0" w:hanging="0"/>
        <w:rPr/>
      </w:pPr>
      <w:r>
        <w:rPr/>
        <w:t>Article dans un ouvrage collectif</w:t>
      </w:r>
    </w:p>
    <w:p>
      <w:pPr>
        <w:pStyle w:val="Titre2"/>
        <w:ind w:left="0" w:right="0" w:hanging="0"/>
        <w:rPr/>
      </w:pPr>
      <w:r>
        <w:rPr/>
        <w:t>Note</w:t>
      </w:r>
    </w:p>
    <w:p>
      <w:pPr>
        <w:pStyle w:val="Normal"/>
        <w:rPr/>
      </w:pPr>
      <w:r>
        <w:rPr/>
        <w:t>Voyer, 2018, p. 184-185.</w:t>
      </w:r>
    </w:p>
    <w:p>
      <w:pPr>
        <w:pStyle w:val="Titre2"/>
        <w:ind w:left="0" w:right="0" w:hanging="0"/>
        <w:rPr/>
      </w:pPr>
      <w:r>
        <w:rPr/>
        <w:t>Bibliographie</w:t>
      </w:r>
    </w:p>
    <w:p>
      <w:pPr>
        <w:pStyle w:val="Normal"/>
        <w:rPr/>
      </w:pPr>
      <w:r>
        <w:rPr/>
        <w:t xml:space="preserve">Voyer, 2018 – </w:t>
      </w:r>
      <w:r>
        <w:rPr>
          <w:smallCaps/>
        </w:rPr>
        <w:t>Voyer</w:t>
      </w:r>
      <w:r>
        <w:rPr/>
        <w:t xml:space="preserve">, Cécile, « Mise en abyme : le sacramentaire de Marmoutier et ses images », </w:t>
      </w:r>
      <w:r>
        <w:rPr>
          <w:i w:val="false"/>
          <w:caps w:val="false"/>
          <w:smallCaps w:val="false"/>
        </w:rPr>
        <w:t>Imago libri</w:t>
      </w:r>
      <w:r>
        <w:rPr>
          <w:i/>
        </w:rPr>
        <w:t>. Représentations carolingiennes du livre</w:t>
      </w:r>
      <w:r>
        <w:rPr/>
        <w:t xml:space="preserve">, éd. Charlotte </w:t>
      </w:r>
      <w:r>
        <w:rPr>
          <w:smallCaps/>
        </w:rPr>
        <w:t>Denoël</w:t>
      </w:r>
      <w:r>
        <w:rPr/>
        <w:t xml:space="preserve">, Anne-Orange </w:t>
      </w:r>
      <w:r>
        <w:rPr>
          <w:smallCaps/>
        </w:rPr>
        <w:t>Poilpré</w:t>
      </w:r>
      <w:r>
        <w:rPr/>
        <w:t xml:space="preserve"> et Sumi </w:t>
      </w:r>
      <w:r>
        <w:rPr>
          <w:smallCaps/>
        </w:rPr>
        <w:t>Shimahara</w:t>
      </w:r>
      <w:r>
        <w:rPr/>
        <w:t>, Turnhout, Brepols, 2018 (Bibliologia, 47), p. 183</w:t>
        <w:noBreakHyphen/>
        <w:t>192.</w:t>
      </w:r>
    </w:p>
    <w:p>
      <w:pPr>
        <w:pStyle w:val="Titre1"/>
        <w:rPr/>
      </w:pPr>
      <w:r>
        <w:rPr/>
        <w:t>Catalogue d’exposition</w:t>
      </w:r>
    </w:p>
    <w:p>
      <w:pPr>
        <w:pStyle w:val="Titre2"/>
        <w:ind w:left="0" w:right="0" w:hanging="0"/>
        <w:rPr/>
      </w:pPr>
      <w:r>
        <w:rPr/>
        <w:t>Note</w:t>
      </w:r>
    </w:p>
    <w:p>
      <w:pPr>
        <w:pStyle w:val="Normal"/>
        <w:rPr/>
      </w:pPr>
      <w:r>
        <w:rPr/>
        <w:t>Bardies-Fronty, Denoël et Villela-Petit (éd.), 2016.</w:t>
      </w:r>
    </w:p>
    <w:p>
      <w:pPr>
        <w:pStyle w:val="Titre2"/>
        <w:ind w:left="0" w:right="0" w:hanging="0"/>
        <w:rPr/>
      </w:pPr>
      <w:r>
        <w:rPr/>
        <w:t>Bibliographie</w:t>
      </w:r>
    </w:p>
    <w:p>
      <w:pPr>
        <w:pStyle w:val="Normal"/>
        <w:rPr/>
      </w:pPr>
      <w:r>
        <w:rPr/>
        <w:t xml:space="preserve">Bardiès-Fronty, Denoël et Villela-Petit (éd.), 2016 – </w:t>
      </w:r>
      <w:r>
        <w:rPr>
          <w:i/>
        </w:rPr>
        <w:t>Les temps mérovingiens : trois siècles d’art et de culture (451-751) [catalogue d’exposition, Paris, Musée de Cluny - Musée national du Moyen Âge, 26 octobre 2016-13 février 2017]</w:t>
      </w:r>
      <w:r>
        <w:rPr/>
        <w:t xml:space="preserve">, éd. Isabelle </w:t>
      </w:r>
      <w:r>
        <w:rPr>
          <w:smallCaps/>
        </w:rPr>
        <w:t>Bardiès-Fronty</w:t>
      </w:r>
      <w:r>
        <w:rPr/>
        <w:t xml:space="preserve">, Charlotte </w:t>
      </w:r>
      <w:r>
        <w:rPr>
          <w:smallCaps/>
        </w:rPr>
        <w:t>Denoël</w:t>
      </w:r>
      <w:r>
        <w:rPr/>
        <w:t xml:space="preserve"> et Inès </w:t>
      </w:r>
      <w:r>
        <w:rPr>
          <w:smallCaps/>
        </w:rPr>
        <w:t>Villela-Petit</w:t>
      </w:r>
      <w:r>
        <w:rPr/>
        <w:t>, Paris, RMN-Grand Palais, 2016.</w:t>
      </w:r>
    </w:p>
    <w:p>
      <w:pPr>
        <w:pStyle w:val="Remarque"/>
        <w:rPr/>
      </w:pPr>
      <w:r>
        <w:rPr/>
        <w:t xml:space="preserve">NB : </w:t>
      </w:r>
      <w:r>
        <w:rPr/>
        <w:t xml:space="preserve">Cette typographie implique d’insérer les catalogues d’exposition parmi les études de la bibliographie ; il ne convient pas si l’on souhaite les regrouper sous une catégorie spécifique </w:t>
      </w:r>
      <w:r>
        <w:rPr>
          <w:rFonts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lang w:val="en-US" w:eastAsia="en-US" w:bidi="ar-SA"/>
        </w:rPr>
        <w:t>« </w:t>
      </w:r>
      <w:r>
        <w:rPr/>
        <w:t>catalogues d’exposition</w:t>
      </w:r>
      <w:r>
        <w:rPr>
          <w:rFonts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lang w:val="en-US" w:eastAsia="en-US" w:bidi="ar-SA"/>
        </w:rPr>
        <w:t> »</w:t>
      </w:r>
      <w:r>
        <w:rPr/>
        <w:t xml:space="preserve"> au sein de la bibliographie.</w:t>
      </w:r>
    </w:p>
    <w:p>
      <w:pPr>
        <w:pStyle w:val="Titre1"/>
        <w:rPr/>
      </w:pPr>
      <w:r>
        <w:rPr>
          <w:rStyle w:val="Aucun"/>
        </w:rPr>
        <w:t>Source éditée dans un ouvrage</w:t>
      </w:r>
    </w:p>
    <w:p>
      <w:pPr>
        <w:pStyle w:val="Titre2"/>
        <w:ind w:left="0" w:right="0" w:hanging="0"/>
        <w:rPr/>
      </w:pPr>
      <w:r>
        <w:rPr>
          <w:rStyle w:val="Aucun"/>
          <w:lang w:val="fr-FR"/>
        </w:rPr>
        <w:t>Note</w:t>
      </w:r>
    </w:p>
    <w:p>
      <w:pPr>
        <w:pStyle w:val="Corps"/>
        <w:rPr/>
      </w:pPr>
      <w:r>
        <w:rPr>
          <w:rStyle w:val="Aucun"/>
          <w:caps w:val="false"/>
          <w:smallCaps w:val="false"/>
          <w:position w:val="0"/>
          <w:sz w:val="24"/>
          <w:sz w:val="24"/>
          <w:u w:val="none"/>
          <w:vertAlign w:val="baseline"/>
          <w:lang w:val="fr-FR"/>
        </w:rPr>
        <w:t>Aimoin de Fleury, 2004.</w:t>
      </w:r>
    </w:p>
    <w:p>
      <w:pPr>
        <w:pStyle w:val="Titre2"/>
        <w:ind w:left="0" w:right="0" w:hanging="0"/>
        <w:rPr/>
      </w:pPr>
      <w:r>
        <w:rPr>
          <w:rStyle w:val="Aucun"/>
          <w:lang w:val="fr-FR"/>
        </w:rPr>
        <w:t>Bibliographie</w:t>
      </w:r>
    </w:p>
    <w:p>
      <w:pPr>
        <w:pStyle w:val="Normal"/>
        <w:pageBreakBefore w:val="false"/>
        <w:widowControl w:val="false"/>
        <w:suppressAutoHyphens w:val="false"/>
        <w:bidi w:val="0"/>
        <w:spacing w:lineRule="auto" w:line="240" w:before="0" w:after="57"/>
        <w:ind w:left="0" w:right="0" w:hanging="0"/>
        <w:jc w:val="left"/>
        <w:rPr/>
      </w:pPr>
      <w:r>
        <w:rPr>
          <w:rStyle w:val="Aucun"/>
        </w:rPr>
        <w:t xml:space="preserve">Aimoin de Fleury, 2004 – </w:t>
      </w:r>
      <w:r>
        <w:rPr>
          <w:rStyle w:val="Aucun"/>
          <w:smallCaps/>
        </w:rPr>
        <w:t>Aimoin de Fleury</w:t>
      </w:r>
      <w:r>
        <w:rPr>
          <w:rStyle w:val="Aucun"/>
        </w:rPr>
        <w:t xml:space="preserve">, </w:t>
      </w:r>
      <w:r>
        <w:rPr>
          <w:rStyle w:val="Aucun"/>
          <w:i/>
        </w:rPr>
        <w:t>Vita et passio sancti Abbonis</w:t>
      </w:r>
      <w:r>
        <w:rPr>
          <w:rStyle w:val="Aucun"/>
        </w:rPr>
        <w:t xml:space="preserve">, éd. Robert-Henri </w:t>
      </w:r>
      <w:r>
        <w:rPr>
          <w:rStyle w:val="Aucun"/>
          <w:smallCaps/>
        </w:rPr>
        <w:t>Bautier</w:t>
      </w:r>
      <w:r>
        <w:rPr>
          <w:rStyle w:val="Aucun"/>
        </w:rPr>
        <w:t xml:space="preserve"> et Gillette </w:t>
      </w:r>
      <w:r>
        <w:rPr>
          <w:rStyle w:val="Aucun"/>
          <w:smallCaps/>
        </w:rPr>
        <w:t>Tyl-Labory</w:t>
      </w:r>
      <w:r>
        <w:rPr>
          <w:rStyle w:val="Aucun"/>
        </w:rPr>
        <w:t xml:space="preserve">, dans </w:t>
      </w:r>
      <w:r>
        <w:rPr>
          <w:rStyle w:val="Aucun"/>
          <w:i/>
        </w:rPr>
        <w:t>L’abbaye de Fleury en l’an mil</w:t>
      </w:r>
      <w:r>
        <w:rPr>
          <w:rStyle w:val="Aucun"/>
        </w:rPr>
        <w:t xml:space="preserve">, éd. Robert-Henri </w:t>
      </w:r>
      <w:r>
        <w:rPr>
          <w:rStyle w:val="Aucun"/>
          <w:smallCaps/>
        </w:rPr>
        <w:t>Bautier</w:t>
      </w:r>
      <w:r>
        <w:rPr>
          <w:rStyle w:val="Aucun"/>
        </w:rPr>
        <w:t xml:space="preserve">, Gillette </w:t>
      </w:r>
      <w:r>
        <w:rPr>
          <w:rStyle w:val="Aucun"/>
          <w:smallCaps/>
        </w:rPr>
        <w:t>Tyl-Labory</w:t>
      </w:r>
      <w:r>
        <w:rPr>
          <w:rStyle w:val="Aucun"/>
        </w:rPr>
        <w:t xml:space="preserve">, Anselme </w:t>
      </w:r>
      <w:r>
        <w:rPr>
          <w:rStyle w:val="Aucun"/>
          <w:smallCaps/>
        </w:rPr>
        <w:t>Davril</w:t>
      </w:r>
      <w:r>
        <w:rPr>
          <w:rStyle w:val="Aucun"/>
        </w:rPr>
        <w:t xml:space="preserve">, et Lin </w:t>
      </w:r>
      <w:r>
        <w:rPr>
          <w:rStyle w:val="Aucun"/>
          <w:smallCaps/>
        </w:rPr>
        <w:t>Donnat</w:t>
      </w:r>
      <w:r>
        <w:rPr>
          <w:rStyle w:val="Aucun"/>
        </w:rPr>
        <w:t>, Paris, CNRS éditions, 2004 (Sources d’histoire médiévale, 32), p. 25</w:t>
        <w:noBreakHyphen/>
        <w:t>38.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lang w:val="en-US" w:eastAsia="en-US" w:bidi="ar-SA"/>
    </w:rPr>
  </w:style>
  <w:style w:type="paragraph" w:styleId="Titre1">
    <w:name w:val="Heading 1"/>
    <w:basedOn w:val="Titre"/>
    <w:qFormat/>
    <w:pPr>
      <w:keepNext w:val="true"/>
      <w:keepLines w:val="false"/>
      <w:pageBreakBefore w:val="false"/>
      <w:widowControl w:val="false"/>
      <w:numPr>
        <w:ilvl w:val="0"/>
        <w:numId w:val="0"/>
      </w:numPr>
      <w:pBdr>
        <w:bottom w:val="single" w:sz="2" w:space="0" w:color="000000"/>
      </w:pBdr>
      <w:suppressAutoHyphens w:val="false"/>
      <w:bidi w:val="0"/>
      <w:spacing w:lineRule="auto" w:line="240" w:before="240" w:after="120"/>
      <w:ind w:left="0" w:right="0" w:hanging="0"/>
      <w:jc w:val="left"/>
      <w:outlineLvl w:val="0"/>
    </w:pPr>
    <w:rPr>
      <w:rFonts w:ascii="Cambria" w:hAnsi="Cambria" w:eastAsia="Arial Unicode MS" w:cs="Arial Unicode MS"/>
      <w:b w:val="false"/>
      <w:bCs w:val="false"/>
      <w:i w:val="false"/>
      <w:iCs w:val="false"/>
      <w:caps/>
      <w:strike w:val="false"/>
      <w:dstrike w:val="false"/>
      <w:outline w:val="false"/>
      <w:color w:val="000000"/>
      <w:spacing w:val="0"/>
      <w:kern w:val="2"/>
      <w:position w:val="0"/>
      <w:sz w:val="36"/>
      <w:sz w:val="36"/>
      <w:szCs w:val="36"/>
      <w:u w:val="none"/>
      <w:shd w:fill="auto" w:val="clear"/>
      <w:vertAlign w:val="baseline"/>
      <w:lang w:val="fr-FR"/>
    </w:rPr>
  </w:style>
  <w:style w:type="paragraph" w:styleId="Titre2">
    <w:name w:val="Heading 2"/>
    <w:basedOn w:val="Titre"/>
    <w:qFormat/>
    <w:pPr>
      <w:keepNext w:val="true"/>
      <w:keepLines w:val="false"/>
      <w:pageBreakBefore w:val="false"/>
      <w:widowControl w:val="false"/>
      <w:numPr>
        <w:ilvl w:val="0"/>
        <w:numId w:val="0"/>
      </w:numPr>
      <w:suppressAutoHyphens w:val="false"/>
      <w:bidi w:val="0"/>
      <w:spacing w:lineRule="auto" w:line="240" w:before="200" w:after="120"/>
      <w:ind w:left="0" w:right="0" w:hanging="0"/>
      <w:jc w:val="left"/>
      <w:outlineLvl w:val="1"/>
    </w:pPr>
    <w:rPr>
      <w:rFonts w:ascii="Cambria" w:hAnsi="Cambria" w:eastAsia="Arial Unicode MS" w:cs="Arial Unicode MS"/>
      <w:b w:val="false"/>
      <w:bCs w:val="false"/>
      <w:i w:val="false"/>
      <w:iCs w:val="false"/>
      <w:caps/>
      <w:strike w:val="false"/>
      <w:dstrike w:val="false"/>
      <w:outline w:val="false"/>
      <w:color w:val="000000"/>
      <w:spacing w:val="0"/>
      <w:kern w:val="2"/>
      <w:position w:val="0"/>
      <w:sz w:val="32"/>
      <w:sz w:val="32"/>
      <w:szCs w:val="32"/>
      <w:u w:val="none"/>
      <w:shd w:fill="auto" w:val="clear"/>
      <w:vertAlign w:val="baseline"/>
      <w:lang w:val="fr-FR"/>
    </w:rPr>
  </w:style>
  <w:style w:type="paragraph" w:styleId="Titre3">
    <w:name w:val="Heading 3"/>
    <w:basedOn w:val="Titre"/>
    <w:next w:val="Corpsdetexte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rPr>
      <w:u w:val="single" w:color="FFFFFF"/>
    </w:rPr>
  </w:style>
  <w:style w:type="character" w:styleId="Aucun">
    <w:name w:val="Aucun"/>
    <w:qFormat/>
    <w:rPr>
      <w:lang w:val="fr-FR"/>
    </w:rPr>
  </w:style>
  <w:style w:type="character" w:styleId="Caractresdenumrotation">
    <w:name w:val="Caractères de numérotation"/>
    <w:qFormat/>
    <w:rPr>
      <w:color w:val="000000"/>
    </w:rPr>
  </w:style>
  <w:style w:type="paragraph" w:styleId="Titre">
    <w:name w:val="Titre"/>
    <w:basedOn w:val="Normal"/>
    <w:next w:val="Corpsdetexte"/>
    <w:qFormat/>
    <w:pPr>
      <w:keepNext w:val="true"/>
      <w:numPr>
        <w:ilvl w:val="0"/>
        <w:numId w:val="3"/>
      </w:numPr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pPr>
      <w:keepNext w:val="false"/>
      <w:keepLines w:val="false"/>
      <w:pageBreakBefore w:val="false"/>
      <w:widowControl/>
      <w:tabs>
        <w:tab w:val="clear" w:pos="709"/>
        <w:tab w:val="right" w:pos="9020" w:leader="none"/>
      </w:tabs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lang w:val="fr-FR" w:eastAsia="zh-CN" w:bidi="hi-IN"/>
    </w:rPr>
  </w:style>
  <w:style w:type="paragraph" w:styleId="Titreprincipal">
    <w:name w:val="Title"/>
    <w:qFormat/>
    <w:pPr>
      <w:keepNext w:val="true"/>
      <w:keepLines w:val="false"/>
      <w:pageBreakBefore w:val="false"/>
      <w:widowControl w:val="false"/>
      <w:pBdr>
        <w:top w:val="single" w:sz="6" w:space="0" w:color="000000"/>
        <w:bottom w:val="single" w:sz="6" w:space="0" w:color="000000"/>
      </w:pBd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0" w:right="0" w:hanging="0"/>
      <w:jc w:val="center"/>
    </w:pPr>
    <w:rPr>
      <w:rFonts w:ascii="Cambria" w:hAnsi="Cambria" w:eastAsia="Arial Unicode MS" w:cs="Arial Unicode MS"/>
      <w:b/>
      <w:bCs/>
      <w:i w:val="false"/>
      <w:iCs w:val="false"/>
      <w:caps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40"/>
      <w:sz w:val="40"/>
      <w:szCs w:val="40"/>
      <w:u w:val="none"/>
      <w:shd w:fill="auto" w:val="clear"/>
      <w:vertAlign w:val="baseline"/>
      <w:lang w:val="fr-FR" w:eastAsia="zh-CN" w:bidi="hi-IN"/>
    </w:rPr>
  </w:style>
  <w:style w:type="paragraph" w:styleId="Soustitre">
    <w:name w:val="Subtitle"/>
    <w:qFormat/>
    <w:pPr>
      <w:keepNext w:val="tru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60" w:after="120"/>
      <w:ind w:left="0" w:right="0" w:hanging="0"/>
      <w:jc w:val="center"/>
    </w:pPr>
    <w:rPr>
      <w:rFonts w:ascii="Cambria" w:hAnsi="Cambria" w:eastAsia="Arial Unicode MS" w:cs="Arial Unicode MS"/>
      <w:b w:val="false"/>
      <w:bCs w:val="false"/>
      <w:i w:val="false"/>
      <w:iCs w:val="false"/>
      <w:caps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36"/>
      <w:sz w:val="36"/>
      <w:szCs w:val="36"/>
      <w:u w:val="none"/>
      <w:shd w:fill="auto" w:val="clear"/>
      <w:vertAlign w:val="baseline"/>
      <w:lang w:val="fr-FR" w:eastAsia="zh-CN" w:bidi="hi-IN"/>
    </w:rPr>
  </w:style>
  <w:style w:type="paragraph" w:styleId="Corps">
    <w:name w:val="Corps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57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lang w:val="fr-FR" w:eastAsia="zh-CN" w:bidi="hi-IN"/>
    </w:rPr>
  </w:style>
  <w:style w:type="paragraph" w:styleId="Pardfaut">
    <w:name w:val="Par défaut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88" w:before="16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lang w:val="fr-FR" w:eastAsia="zh-CN" w:bidi="hi-IN"/>
    </w:rPr>
  </w:style>
  <w:style w:type="paragraph" w:styleId="Pieddepage">
    <w:name w:val="Footer"/>
    <w:basedOn w:val="Entteetpieddepage"/>
    <w:pPr/>
    <w:rPr/>
  </w:style>
  <w:style w:type="paragraph" w:styleId="Closing">
    <w:name w:val="Closing"/>
    <w:basedOn w:val="Titre"/>
    <w:next w:val="Corpsdetexte"/>
    <w:qFormat/>
    <w:pPr>
      <w:jc w:val="center"/>
    </w:pPr>
    <w:rPr>
      <w:b/>
      <w:bCs/>
      <w:sz w:val="32"/>
      <w:szCs w:val="32"/>
    </w:rPr>
  </w:style>
  <w:style w:type="paragraph" w:styleId="Remarque">
    <w:name w:val="Remarque"/>
    <w:basedOn w:val="Normal"/>
    <w:qFormat/>
    <w:pPr>
      <w:tabs>
        <w:tab w:val="clear" w:pos="709"/>
      </w:tabs>
      <w:spacing w:before="170" w:after="57"/>
    </w:pPr>
    <w:rPr>
      <w:color w:val="000000"/>
      <w:sz w:val="20"/>
    </w:rPr>
  </w:style>
  <w:style w:type="numbering" w:styleId="Numrotation123">
    <w:name w:val="Numérotation 123"/>
    <w:qFormat/>
  </w:style>
  <w:style w:type="numbering" w:styleId="NumrotationABC">
    <w:name w:val="Numérotation ABC"/>
    <w:qFormat/>
  </w:style>
  <w:style w:type="numbering" w:styleId="Style1import">
    <w:name w:val="Style 1 importé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LibreOffice/7.3.7.2$Linux_X86_64 LibreOffice_project/30$Build-2</Application>
  <AppVersion>15.0000</AppVersion>
  <Pages>2</Pages>
  <Words>299</Words>
  <Characters>1776</Characters>
  <CharactersWithSpaces>2056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>Sébastien Biay</cp:lastModifiedBy>
  <dcterms:modified xsi:type="dcterms:W3CDTF">2023-09-11T11:41:00Z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