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pBdr>
          <w:top w:val="single" w:sz="6" w:space="1" w:color="000000"/>
          <w:bottom w:val="single" w:sz="6" w:space="1" w:color="000000"/>
        </w:pBdr>
        <w:bidi w:val="0"/>
        <w:spacing w:before="240" w:after="120"/>
        <w:jc w:val="center"/>
        <w:rPr/>
      </w:pPr>
      <w:r>
        <w:rPr/>
        <w:t>Style bibliographique</w:t>
        <w:br/>
        <w:t>UPJV Histoire de l'art</w:t>
        <w:br/>
        <w:t>note complète</w:t>
      </w:r>
    </w:p>
    <w:p>
      <w:pPr>
        <w:pStyle w:val="Soustitre"/>
        <w:bidi w:val="0"/>
        <w:spacing w:before="60" w:after="120"/>
        <w:jc w:val="center"/>
        <w:rPr/>
      </w:pPr>
      <w:r>
        <w:rPr/>
        <w:t>version 1.3</w:t>
      </w:r>
    </w:p>
    <w:p>
      <w:pPr>
        <w:pStyle w:val="Titre1"/>
        <w:numPr>
          <w:ilvl w:val="0"/>
          <w:numId w:val="1"/>
        </w:numPr>
        <w:bidi w:val="0"/>
        <w:jc w:val="left"/>
        <w:rPr/>
      </w:pPr>
      <w:r>
        <w:rPr/>
        <w:t>Monographie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Note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jc w:val="left"/>
        <w:rPr/>
      </w:pP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É. Mâle, </w:t>
      </w:r>
      <w:r>
        <w:rPr>
          <w:b w:val="false"/>
          <w:i/>
          <w:caps w:val="false"/>
          <w:smallCaps w:val="false"/>
          <w:position w:val="0"/>
          <w:sz w:val="24"/>
          <w:sz w:val="24"/>
          <w:u w:val="none"/>
          <w:vertAlign w:val="baseline"/>
        </w:rPr>
        <w:t>L’art religieux du XIII</w:t>
      </w:r>
      <w:r>
        <w:rPr>
          <w:b w:val="false"/>
          <w:i/>
          <w:caps w:val="false"/>
          <w:smallCaps w:val="false"/>
          <w:u w:val="none"/>
          <w:vertAlign w:val="superscript"/>
        </w:rPr>
        <w:t>e</w:t>
      </w:r>
      <w:r>
        <w:rPr>
          <w:b w:val="false"/>
          <w:i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 siècle en France : étude sur l’iconographie du Moyen Âge et sur ses sources d’inspiration</w:t>
      </w: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 [1</w:t>
      </w:r>
      <w:r>
        <w:rPr>
          <w:b w:val="false"/>
          <w:caps w:val="false"/>
          <w:smallCaps w:val="false"/>
          <w:u w:val="none"/>
          <w:vertAlign w:val="superscript"/>
        </w:rPr>
        <w:t>re</w:t>
      </w: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 éd. 1898], Paris, 2021.</w:t>
      </w:r>
    </w:p>
    <w:p>
      <w:pPr>
        <w:pStyle w:val="Remarque"/>
        <w:bidi w:val="0"/>
        <w:jc w:val="left"/>
        <w:rPr/>
      </w:pPr>
      <w:r>
        <w:rPr>
          <w:b w:val="false"/>
          <w:caps w:val="false"/>
          <w:smallCaps w:val="false"/>
          <w:position w:val="0"/>
          <w:sz w:val="20"/>
          <w:sz w:val="20"/>
          <w:u w:val="none"/>
          <w:vertAlign w:val="baseline"/>
        </w:rPr>
        <w:t>NB : L’inscription en exposant de l’abréviation du nombre ordinal pour l’édition original (« 1</w:t>
      </w:r>
      <w:r>
        <w:rPr>
          <w:b w:val="false"/>
          <w:caps w:val="false"/>
          <w:smallCaps w:val="false"/>
          <w:u w:val="none"/>
          <w:vertAlign w:val="superscript"/>
        </w:rPr>
        <w:t>re</w:t>
      </w:r>
      <w:r>
        <w:rPr>
          <w:b w:val="false"/>
          <w:caps w:val="false"/>
          <w:smallCaps w:val="false"/>
          <w:position w:val="0"/>
          <w:sz w:val="20"/>
          <w:sz w:val="20"/>
          <w:u w:val="none"/>
          <w:vertAlign w:val="baseline"/>
        </w:rPr>
        <w:t xml:space="preserve"> éd. ») ne peut pas être appliquée par la feuille de style. Elle doit être appliquée manuellement à partir de « 1re</w:t>
      </w:r>
      <w:r>
        <w:rPr>
          <w:b w:val="false"/>
          <w:caps w:val="false"/>
          <w:smallCaps w:val="false"/>
          <w:sz w:val="20"/>
          <w:u w:val="none"/>
          <w:vertAlign w:val="superscript"/>
        </w:rPr>
        <w:t xml:space="preserve"> </w:t>
      </w:r>
      <w:r>
        <w:rPr>
          <w:b w:val="false"/>
          <w:caps w:val="false"/>
          <w:smallCaps w:val="false"/>
          <w:position w:val="0"/>
          <w:sz w:val="20"/>
          <w:sz w:val="20"/>
          <w:u w:val="none"/>
          <w:vertAlign w:val="baseline"/>
        </w:rPr>
        <w:t>éd. ».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É. Mâle, </w:t>
      </w:r>
      <w:r>
        <w:rPr>
          <w:b w:val="false"/>
          <w:i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>L’art religieux du XIII</w:t>
      </w:r>
      <w:r>
        <w:rPr>
          <w:b w:val="false"/>
          <w:i/>
          <w:iCs w:val="false"/>
          <w:caps w:val="false"/>
          <w:smallCaps w:val="false"/>
          <w:u w:val="none"/>
          <w:vertAlign w:val="superscript"/>
        </w:rPr>
        <w:t>e</w:t>
      </w:r>
      <w:r>
        <w:rPr>
          <w:b w:val="false"/>
          <w:i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 siècle en France</w:t>
      </w:r>
      <w:r>
        <w:rPr>
          <w:b w:val="false"/>
          <w:i w:val="false"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, </w:t>
      </w:r>
      <w:r>
        <w:rPr>
          <w:b w:val="false"/>
          <w:i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>op. cit.</w:t>
      </w:r>
      <w:r>
        <w:rPr>
          <w:b w:val="false"/>
          <w:i w:val="false"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>, p. 72-75.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Occurrences consécutives</w:t>
      </w:r>
    </w:p>
    <w:p>
      <w:pPr>
        <w:pStyle w:val="Normal"/>
        <w:bidi w:val="0"/>
        <w:spacing w:before="0" w:after="57"/>
        <w:jc w:val="left"/>
        <w:rPr/>
      </w:pPr>
      <w:r>
        <w:rPr>
          <w:i/>
          <w:iCs/>
        </w:rPr>
        <w:t>Ibid</w:t>
      </w:r>
      <w:r>
        <w:rPr/>
        <w:t>., p. 76.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Bibliographie</w:t>
      </w:r>
    </w:p>
    <w:p>
      <w:pPr>
        <w:pStyle w:val="Normal"/>
        <w:bidi w:val="0"/>
        <w:jc w:val="left"/>
        <w:rPr/>
      </w:pPr>
      <w:r>
        <w:rPr>
          <w:smallCaps/>
        </w:rPr>
        <w:t xml:space="preserve">Mâle, </w:t>
      </w:r>
      <w:r>
        <w:rPr/>
        <w:t xml:space="preserve">Émile, </w:t>
      </w:r>
      <w:r>
        <w:rPr>
          <w:i/>
        </w:rPr>
        <w:t>L’art religieux du XIII</w:t>
      </w:r>
      <w:r>
        <w:rPr>
          <w:i/>
          <w:vertAlign w:val="superscript"/>
        </w:rPr>
        <w:t>e</w:t>
      </w:r>
      <w:r>
        <w:rPr>
          <w:i/>
        </w:rPr>
        <w:t xml:space="preserve"> siècle en France : étude sur l’iconographie du Moyen Âge et sur ses sources d’inspiration</w:t>
      </w:r>
      <w:r>
        <w:rPr/>
        <w:t xml:space="preserve"> [1</w:t>
      </w:r>
      <w:r>
        <w:rPr>
          <w:vertAlign w:val="superscript"/>
        </w:rPr>
        <w:t>re</w:t>
      </w:r>
      <w:r>
        <w:rPr/>
        <w:t xml:space="preserve"> éd. 1898], Paris, Klincksieck, 2021 (Les mondes de l’art, 16).</w:t>
      </w:r>
    </w:p>
    <w:p>
      <w:pPr>
        <w:pStyle w:val="Titre1"/>
        <w:numPr>
          <w:ilvl w:val="0"/>
          <w:numId w:val="1"/>
        </w:numPr>
        <w:bidi w:val="0"/>
        <w:jc w:val="left"/>
        <w:rPr/>
      </w:pPr>
      <w:r>
        <w:rPr/>
        <w:t>Article dans une revue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Note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spacing w:before="0" w:after="57"/>
        <w:jc w:val="left"/>
        <w:rPr/>
      </w:pPr>
      <w:r>
        <w:rPr/>
        <w:t>J.-M. Sansterre, « </w:t>
      </w:r>
      <w:r>
        <w:rPr>
          <w:i/>
        </w:rPr>
        <w:t>Omnes qui coram hac imagine genua flexerint…</w:t>
      </w:r>
      <w:r>
        <w:rPr/>
        <w:t xml:space="preserve"> La vénération des images de saints et de la Vierge d’après les textes écrits en Angleterre du milieu du XI</w:t>
      </w:r>
      <w:r>
        <w:rPr>
          <w:vertAlign w:val="superscript"/>
        </w:rPr>
        <w:t>e</w:t>
      </w:r>
      <w:r>
        <w:rPr/>
        <w:t> aux premières décennies du XIII</w:t>
      </w:r>
      <w:r>
        <w:rPr>
          <w:vertAlign w:val="superscript"/>
        </w:rPr>
        <w:t>e</w:t>
      </w:r>
      <w:r>
        <w:rPr/>
        <w:t xml:space="preserve"> siècle », </w:t>
      </w:r>
      <w:r>
        <w:rPr>
          <w:i/>
        </w:rPr>
        <w:t>Cahiers de civilisation médiévale</w:t>
      </w:r>
      <w:r>
        <w:rPr/>
        <w:t>, vol. 49, 195 (2006), p. 257</w:t>
        <w:noBreakHyphen/>
        <w:t>294.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spacing w:before="0" w:after="57"/>
        <w:jc w:val="left"/>
        <w:rPr/>
      </w:pP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>J.-M. Sansterre, « </w:t>
      </w:r>
      <w:r>
        <w:rPr>
          <w:b w:val="false"/>
          <w:i/>
          <w:caps w:val="false"/>
          <w:smallCaps w:val="false"/>
          <w:position w:val="0"/>
          <w:sz w:val="24"/>
          <w:sz w:val="24"/>
          <w:u w:val="none"/>
          <w:vertAlign w:val="baseline"/>
        </w:rPr>
        <w:t>Omnes qui coram hac imagine genua flexerint…</w:t>
      </w: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 », </w:t>
      </w:r>
      <w:r>
        <w:rPr>
          <w:b w:val="false"/>
          <w:i/>
          <w:caps w:val="false"/>
          <w:smallCaps w:val="false"/>
          <w:position w:val="0"/>
          <w:sz w:val="24"/>
          <w:sz w:val="24"/>
          <w:u w:val="none"/>
          <w:vertAlign w:val="baseline"/>
        </w:rPr>
        <w:t>op. cit.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Bibliographie</w:t>
      </w:r>
    </w:p>
    <w:p>
      <w:pPr>
        <w:pStyle w:val="Normal"/>
        <w:bidi w:val="0"/>
        <w:jc w:val="left"/>
        <w:rPr/>
      </w:pPr>
      <w:r>
        <w:rPr>
          <w:smallCaps/>
        </w:rPr>
        <w:t xml:space="preserve">Sansterre, </w:t>
      </w:r>
      <w:r>
        <w:rPr/>
        <w:t>Jean-Marie, « </w:t>
      </w:r>
      <w:r>
        <w:rPr>
          <w:i/>
        </w:rPr>
        <w:t>Omnes qui coram hac imagine genua flexerint…</w:t>
      </w:r>
      <w:r>
        <w:rPr/>
        <w:t xml:space="preserve"> La vénération des images de saints et de la Vierge d’après les textes écrits en Angleterre du milieu du XI</w:t>
      </w:r>
      <w:r>
        <w:rPr>
          <w:vertAlign w:val="superscript"/>
        </w:rPr>
        <w:t>e</w:t>
      </w:r>
      <w:r>
        <w:rPr/>
        <w:t> aux premières décennies du XIII</w:t>
      </w:r>
      <w:r>
        <w:rPr>
          <w:vertAlign w:val="superscript"/>
        </w:rPr>
        <w:t>e</w:t>
      </w:r>
      <w:r>
        <w:rPr/>
        <w:t xml:space="preserve"> siècle », </w:t>
      </w:r>
      <w:r>
        <w:rPr>
          <w:i/>
        </w:rPr>
        <w:t>Cahiers de civilisation médiévale</w:t>
      </w:r>
      <w:r>
        <w:rPr/>
        <w:t>, vol. 49, 195 (2006), p. 257</w:t>
        <w:noBreakHyphen/>
        <w:t>294.</w:t>
      </w:r>
    </w:p>
    <w:p>
      <w:pPr>
        <w:pStyle w:val="Titre1"/>
        <w:numPr>
          <w:ilvl w:val="0"/>
          <w:numId w:val="1"/>
        </w:numPr>
        <w:bidi w:val="0"/>
        <w:jc w:val="left"/>
        <w:rPr/>
      </w:pPr>
      <w:r>
        <w:rPr/>
        <w:t>Article dans un collectif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Note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spacing w:before="0" w:after="57"/>
        <w:jc w:val="left"/>
        <w:rPr/>
      </w:pPr>
      <w:r>
        <w:rPr/>
        <w:t xml:space="preserve">R.A. Maxwell, « La sculpture romane et ses programmes : questions de méthode », dans </w:t>
      </w:r>
      <w:r>
        <w:rPr>
          <w:i/>
        </w:rPr>
        <w:t>Le programme : une notion pertinente en histoire de l’art médiéval ?</w:t>
      </w:r>
      <w:r>
        <w:rPr/>
        <w:t>, éd. J.-M. Guillouët et C. Rabel, Paris, 2011, p. 135</w:t>
        <w:noBreakHyphen/>
        <w:t>163.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spacing w:before="0" w:after="57"/>
        <w:jc w:val="left"/>
        <w:rPr/>
      </w:pP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R.A. Maxwell, « La sculpture romane et ses programmes », </w:t>
      </w:r>
      <w:r>
        <w:rPr>
          <w:b w:val="false"/>
          <w:i/>
          <w:caps w:val="false"/>
          <w:smallCaps w:val="false"/>
          <w:position w:val="0"/>
          <w:sz w:val="24"/>
          <w:sz w:val="24"/>
          <w:u w:val="none"/>
          <w:vertAlign w:val="baseline"/>
        </w:rPr>
        <w:t>op. cit.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Bibliographie</w:t>
      </w:r>
    </w:p>
    <w:p>
      <w:pPr>
        <w:pStyle w:val="Normal"/>
        <w:bidi w:val="0"/>
        <w:jc w:val="left"/>
        <w:rPr/>
      </w:pPr>
      <w:r>
        <w:rPr>
          <w:smallCaps/>
        </w:rPr>
        <w:t xml:space="preserve">Maxwell, </w:t>
      </w:r>
      <w:r>
        <w:rPr/>
        <w:t xml:space="preserve">Robert A., « La sculpture romane et ses programmes : questions de méthode », dans </w:t>
      </w:r>
      <w:r>
        <w:rPr>
          <w:i/>
        </w:rPr>
        <w:t>Le programme : une notion pertinente en histoire de l’art médiéval ?</w:t>
      </w:r>
      <w:r>
        <w:rPr/>
        <w:t xml:space="preserve">, éd. Jean-Marie </w:t>
      </w:r>
      <w:r>
        <w:rPr>
          <w:smallCaps/>
        </w:rPr>
        <w:t>Guillouët</w:t>
      </w:r>
      <w:r>
        <w:rPr/>
        <w:t xml:space="preserve"> et Claudia </w:t>
      </w:r>
      <w:r>
        <w:rPr>
          <w:smallCaps/>
        </w:rPr>
        <w:t>Rabel</w:t>
      </w:r>
      <w:r>
        <w:rPr/>
        <w:t>, Paris, Le Léopard d’or, 2011 (Cahiers du Léopard d’or, 12), p. 135</w:t>
        <w:noBreakHyphen/>
        <w:t>163.</w:t>
      </w:r>
    </w:p>
    <w:p>
      <w:pPr>
        <w:pStyle w:val="Titre1"/>
        <w:numPr>
          <w:ilvl w:val="0"/>
          <w:numId w:val="1"/>
        </w:numPr>
        <w:bidi w:val="0"/>
        <w:jc w:val="left"/>
        <w:rPr/>
      </w:pPr>
      <w:r>
        <w:rPr/>
        <w:t>Communication non publiée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Note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jc w:val="left"/>
        <w:rPr/>
      </w:pP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>M. Cohen, « La Sainte-Chapelle et ses itérations multiples à l’intersection de l’historiographie franco</w:t>
        <w:noBreakHyphen/>
        <w:t xml:space="preserve">américaine », </w:t>
      </w:r>
      <w:r>
        <w:rPr>
          <w:b w:val="false"/>
          <w:i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>Looking across the Atlantic</w:t>
      </w:r>
      <w:r>
        <w:rPr>
          <w:b w:val="false"/>
          <w:i/>
          <w:caps w:val="false"/>
          <w:smallCaps w:val="false"/>
          <w:position w:val="0"/>
          <w:sz w:val="24"/>
          <w:sz w:val="24"/>
          <w:u w:val="none"/>
          <w:vertAlign w:val="baseline"/>
        </w:rPr>
        <w:t> : circulations d’idées entre la France et l’Amérique du Nord en art médiéval</w:t>
      </w: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>, colloque international de l’Institut national d’histoire de l’art, dir. N. Le Luel et I. Marchesin, Paris, 13 juin 2019.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jc w:val="left"/>
        <w:rPr/>
      </w:pPr>
      <w:r>
        <w:rPr/>
        <w:t>M. Cohen, « La Sainte-Chapelle et ses itérations multiples</w:t>
      </w:r>
      <w:r>
        <w:rPr>
          <w:b w:val="false"/>
          <w:i/>
          <w:caps w:val="false"/>
          <w:smallCaps w:val="false"/>
          <w:position w:val="0"/>
          <w:sz w:val="24"/>
          <w:sz w:val="24"/>
          <w:u w:val="none"/>
          <w:vertAlign w:val="baseline"/>
        </w:rPr>
        <w:t>…</w:t>
      </w:r>
      <w:r>
        <w:rPr/>
        <w:t xml:space="preserve"> », </w:t>
      </w:r>
      <w:r>
        <w:rPr>
          <w:i/>
          <w:iCs/>
        </w:rPr>
        <w:t>op. cit.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Bibliographie</w:t>
      </w:r>
    </w:p>
    <w:p>
      <w:pPr>
        <w:pStyle w:val="Normal"/>
        <w:bidi w:val="0"/>
        <w:spacing w:before="0" w:after="57"/>
        <w:jc w:val="left"/>
        <w:rPr/>
      </w:pPr>
      <w:r>
        <w:rPr>
          <w:smallCaps/>
        </w:rPr>
        <w:t>Cohen</w:t>
      </w:r>
      <w:r>
        <w:rPr/>
        <w:t>, Meredith, « La Sainte-Chapelle et ses itérations multiples à l’intersection de l’historiographie franco</w:t>
        <w:noBreakHyphen/>
        <w:t xml:space="preserve">américaine », </w:t>
      </w:r>
      <w:r>
        <w:rPr>
          <w:i w:val="false"/>
          <w:caps w:val="false"/>
          <w:smallCaps w:val="false"/>
        </w:rPr>
        <w:t>Looking across the Atlantic</w:t>
      </w:r>
      <w:r>
        <w:rPr>
          <w:i/>
        </w:rPr>
        <w:t> : circulations d’idées entre la France et l’Amérique du Nord en art médiéval</w:t>
      </w:r>
      <w:r>
        <w:rPr/>
        <w:t xml:space="preserve">, colloque international de l’Institut national d’histoire de l’art, dir. Nathalie </w:t>
      </w:r>
      <w:r>
        <w:rPr>
          <w:smallCaps/>
        </w:rPr>
        <w:t>Le Luel</w:t>
      </w:r>
      <w:r>
        <w:rPr/>
        <w:t xml:space="preserve"> et Isabelle </w:t>
      </w:r>
      <w:r>
        <w:rPr>
          <w:smallCaps/>
        </w:rPr>
        <w:t>Marchesin</w:t>
      </w:r>
      <w:r>
        <w:rPr/>
        <w:t>, Paris, 13 juin 2019.</w:t>
      </w:r>
    </w:p>
    <w:p>
      <w:pPr>
        <w:pStyle w:val="Titre1"/>
        <w:numPr>
          <w:ilvl w:val="0"/>
          <w:numId w:val="1"/>
        </w:numPr>
        <w:bidi w:val="0"/>
        <w:jc w:val="left"/>
        <w:rPr/>
      </w:pPr>
      <w:r>
        <w:rPr/>
        <w:t>Source éditée dans un ouvrage</w:t>
        <w:br/>
        <w:t>(recueil, monographie, etc.)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Note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spacing w:before="0" w:after="57"/>
        <w:jc w:val="left"/>
        <w:rPr/>
      </w:pP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Aimoin de Fleury, </w:t>
      </w:r>
      <w:r>
        <w:rPr>
          <w:b w:val="false"/>
          <w:i/>
          <w:caps w:val="false"/>
          <w:smallCaps w:val="false"/>
          <w:position w:val="0"/>
          <w:sz w:val="24"/>
          <w:sz w:val="24"/>
          <w:u w:val="none"/>
          <w:vertAlign w:val="baseline"/>
        </w:rPr>
        <w:t>Vita et passio sancti Abbonis</w:t>
      </w: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, éd. R.-H. Bautier et G. Tyl-Labory, dans </w:t>
      </w:r>
      <w:r>
        <w:rPr>
          <w:b w:val="false"/>
          <w:i/>
          <w:caps w:val="false"/>
          <w:smallCaps w:val="false"/>
          <w:position w:val="0"/>
          <w:sz w:val="24"/>
          <w:sz w:val="24"/>
          <w:u w:val="none"/>
          <w:vertAlign w:val="baseline"/>
        </w:rPr>
        <w:t>L’abbaye de Fleury en l’an mil</w:t>
      </w: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, éd. R.-H. Bautier, G. Tyl-Labory, </w:t>
      </w:r>
      <w:r>
        <w:rPr>
          <w:b w:val="false"/>
          <w:i/>
          <w:iCs/>
          <w:caps w:val="false"/>
          <w:smallCaps w:val="false"/>
          <w:position w:val="0"/>
          <w:sz w:val="24"/>
          <w:sz w:val="24"/>
          <w:u w:val="none"/>
          <w:vertAlign w:val="baseline"/>
        </w:rPr>
        <w:t>et al.</w:t>
      </w:r>
      <w:r>
        <w:rPr>
          <w:b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>, Paris, 2004, p. 25</w:t>
        <w:noBreakHyphen/>
        <w:t>38.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spacing w:before="0" w:after="57"/>
        <w:jc w:val="left"/>
        <w:rPr/>
      </w:pPr>
      <w:r>
        <w:rPr>
          <w:b w:val="false"/>
          <w:i w:val="false"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Aimoin de Fleury, </w:t>
      </w:r>
      <w:r>
        <w:rPr>
          <w:b w:val="false"/>
          <w:i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>Vita et passio sancti Abbonis</w:t>
      </w:r>
      <w:r>
        <w:rPr>
          <w:b w:val="false"/>
          <w:i w:val="false"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, éd. R.-H. Bautier </w:t>
      </w:r>
      <w:r>
        <w:rPr>
          <w:b w:val="false"/>
          <w:i/>
          <w:iCs/>
          <w:caps w:val="false"/>
          <w:smallCaps w:val="false"/>
          <w:position w:val="0"/>
          <w:sz w:val="24"/>
          <w:sz w:val="24"/>
          <w:u w:val="none"/>
          <w:vertAlign w:val="baseline"/>
        </w:rPr>
        <w:t>et al.</w:t>
      </w:r>
      <w:r>
        <w:rPr>
          <w:b w:val="false"/>
          <w:i w:val="false"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 xml:space="preserve">, </w:t>
      </w:r>
      <w:r>
        <w:rPr>
          <w:b w:val="false"/>
          <w:i/>
          <w:iCs w:val="false"/>
          <w:caps w:val="false"/>
          <w:smallCaps w:val="false"/>
          <w:position w:val="0"/>
          <w:sz w:val="24"/>
          <w:sz w:val="24"/>
          <w:u w:val="none"/>
          <w:vertAlign w:val="baseline"/>
        </w:rPr>
        <w:t>op. cit.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Bibliographie</w:t>
      </w:r>
    </w:p>
    <w:p>
      <w:pPr>
        <w:pStyle w:val="Normal"/>
        <w:bidi w:val="0"/>
        <w:jc w:val="left"/>
        <w:rPr/>
      </w:pPr>
      <w:r>
        <w:rPr>
          <w:smallCaps/>
        </w:rPr>
        <w:t>Aimoin de Fleury</w:t>
      </w:r>
      <w:r>
        <w:rPr/>
        <w:t xml:space="preserve">, </w:t>
      </w:r>
      <w:r>
        <w:rPr>
          <w:i/>
        </w:rPr>
        <w:t>Vita et passio sancti Abbonis</w:t>
      </w:r>
      <w:r>
        <w:rPr/>
        <w:t xml:space="preserve">, éd. Robert-Henri </w:t>
      </w:r>
      <w:r>
        <w:rPr>
          <w:smallCaps/>
        </w:rPr>
        <w:t>Bautier</w:t>
      </w:r>
      <w:r>
        <w:rPr/>
        <w:t xml:space="preserve"> et Gillette </w:t>
      </w:r>
      <w:r>
        <w:rPr>
          <w:smallCaps/>
        </w:rPr>
        <w:t>Tyl-Labory</w:t>
      </w:r>
      <w:r>
        <w:rPr/>
        <w:t xml:space="preserve">, dans </w:t>
      </w:r>
      <w:r>
        <w:rPr>
          <w:i/>
        </w:rPr>
        <w:t>L’abbaye de Fleury en l’an mil</w:t>
      </w:r>
      <w:r>
        <w:rPr/>
        <w:t xml:space="preserve">, éd. Robert-Henri </w:t>
      </w:r>
      <w:r>
        <w:rPr>
          <w:smallCaps/>
        </w:rPr>
        <w:t>Bautier</w:t>
      </w:r>
      <w:r>
        <w:rPr/>
        <w:t xml:space="preserve">, Gillette </w:t>
      </w:r>
      <w:r>
        <w:rPr>
          <w:smallCaps/>
        </w:rPr>
        <w:t>Tyl-Labory</w:t>
      </w:r>
      <w:r>
        <w:rPr/>
        <w:t xml:space="preserve">, Anselme </w:t>
      </w:r>
      <w:r>
        <w:rPr>
          <w:smallCaps/>
        </w:rPr>
        <w:t>Davril</w:t>
      </w:r>
      <w:r>
        <w:rPr/>
        <w:t xml:space="preserve">, et Lin </w:t>
      </w:r>
      <w:r>
        <w:rPr>
          <w:smallCaps/>
        </w:rPr>
        <w:t>Donnat</w:t>
      </w:r>
      <w:r>
        <w:rPr/>
        <w:t>, Paris, CNRS éditions, 2004 (Sources d’histoire médiévale, 32), p. 25</w:t>
        <w:noBreakHyphen/>
        <w:t>38.</w:t>
      </w:r>
    </w:p>
    <w:p>
      <w:pPr>
        <w:pStyle w:val="Titre1"/>
        <w:numPr>
          <w:ilvl w:val="0"/>
          <w:numId w:val="1"/>
        </w:numPr>
        <w:bidi w:val="0"/>
        <w:jc w:val="left"/>
        <w:rPr/>
      </w:pPr>
      <w:r>
        <w:rPr/>
        <w:t>Notice dans un catalogue d’exposition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Note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spacing w:before="0" w:after="57"/>
        <w:jc w:val="left"/>
        <w:rPr/>
      </w:pPr>
      <w:r>
        <w:rPr/>
        <w:t xml:space="preserve">C. Denoël, « Pentateuque d’Ashburnham », dans </w:t>
      </w:r>
      <w:r>
        <w:rPr>
          <w:i/>
        </w:rPr>
        <w:t>Les temps mérovingiens : trois siècles d’art et de culture (451-751) [catalogue d’exposition, Paris, Musée de Cluny - Musée national du Moyen Âge, 26 octobre 2016-13 février 2017]</w:t>
      </w:r>
      <w:r>
        <w:rPr/>
        <w:t>, éd. I. Bardies-Fronty, C. Denoël, et I. Villela-Petit, Paris, 2016, cat. 53, p. 59.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Bibliographie</w:t>
      </w:r>
    </w:p>
    <w:p>
      <w:pPr>
        <w:pStyle w:val="Normal"/>
        <w:bidi w:val="0"/>
        <w:jc w:val="left"/>
        <w:rPr/>
      </w:pPr>
      <w:r>
        <w:rPr>
          <w:smallCaps/>
        </w:rPr>
        <w:t>Denoël</w:t>
      </w:r>
      <w:r>
        <w:rPr/>
        <w:t xml:space="preserve">, Charlotte, « Pentateuque d’Ashburnham », </w:t>
      </w:r>
      <w:r>
        <w:rPr>
          <w:i/>
        </w:rPr>
        <w:t>Les temps mérovingiens : trois siècles d’art et de culture (451-751) [catalogue d’exposition, Paris, Musée de Cluny - Musée national du Moyen Âge, 26 octobre 2016-13 février 2017]</w:t>
      </w:r>
      <w:r>
        <w:rPr/>
        <w:t xml:space="preserve">, éd. Isabelle </w:t>
      </w:r>
      <w:r>
        <w:rPr>
          <w:smallCaps/>
        </w:rPr>
        <w:t>Bardiès-Fronty</w:t>
      </w:r>
      <w:r>
        <w:rPr/>
        <w:t xml:space="preserve">, Charlotte </w:t>
      </w:r>
      <w:r>
        <w:rPr>
          <w:smallCaps/>
        </w:rPr>
        <w:t>Denoël</w:t>
      </w:r>
      <w:r>
        <w:rPr/>
        <w:t xml:space="preserve"> et Inès </w:t>
      </w:r>
      <w:r>
        <w:rPr>
          <w:smallCaps/>
        </w:rPr>
        <w:t>Villela-Petit</w:t>
      </w:r>
      <w:r>
        <w:rPr/>
        <w:t>, Paris, RMN-Grand Palais, 2016, p. 59.</w:t>
      </w:r>
    </w:p>
    <w:p>
      <w:pPr>
        <w:pStyle w:val="Titre1"/>
        <w:numPr>
          <w:ilvl w:val="0"/>
          <w:numId w:val="1"/>
        </w:numPr>
        <w:bidi w:val="0"/>
        <w:jc w:val="left"/>
        <w:rPr/>
      </w:pPr>
      <w:r>
        <w:rPr/>
        <w:t>Notice dans une ressource en ligne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Note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jc w:val="left"/>
        <w:rPr/>
      </w:pPr>
      <w:r>
        <w:rPr/>
        <w:t>Bibliothèque nationale de France, « </w:t>
      </w:r>
      <w:r>
        <w:rPr>
          <w:i/>
          <w:iCs/>
        </w:rPr>
        <w:t xml:space="preserve">Calendaria et tabulae. Macrobius, Commentarii in Somnium Scipionis </w:t>
      </w:r>
      <w:r>
        <w:rPr/>
        <w:t xml:space="preserve">[Département des Manuscrits, Latin 7299] », </w:t>
      </w:r>
      <w:r>
        <w:rPr>
          <w:i/>
          <w:iCs/>
        </w:rPr>
        <w:t>Gallica</w:t>
      </w:r>
      <w:r>
        <w:rPr>
          <w:i w:val="false"/>
          <w:iCs w:val="false"/>
        </w:rPr>
        <w:t xml:space="preserve">, </w:t>
      </w:r>
      <w:r>
        <w:rPr/>
        <w:t xml:space="preserve">URL : </w:t>
      </w:r>
      <w:hyperlink r:id="rId2">
        <w:r>
          <w:rPr>
            <w:rStyle w:val="LienInternet"/>
          </w:rPr>
          <w:t>https://gallica.bnf.fr/ark:/12148/btv1b10542286q</w:t>
        </w:r>
      </w:hyperlink>
      <w:r>
        <w:rPr/>
        <w:t>, consulté le 1</w:t>
      </w:r>
      <w:r>
        <w:rPr>
          <w:vertAlign w:val="superscript"/>
        </w:rPr>
        <w:t>er</w:t>
      </w:r>
      <w:r>
        <w:rPr/>
        <w:t xml:space="preserve"> décembre 2022.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spacing w:before="0" w:after="57"/>
        <w:jc w:val="left"/>
        <w:rPr/>
      </w:pPr>
      <w:r>
        <w:rPr/>
        <w:t xml:space="preserve">Bibliothèque nationale de France, « [Ms. Latin 7299] », </w:t>
      </w:r>
      <w:r>
        <w:rPr>
          <w:i/>
          <w:iCs/>
        </w:rPr>
        <w:t>op. cit.</w:t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Bibliographie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Référence unique</w:t>
      </w:r>
    </w:p>
    <w:p>
      <w:pPr>
        <w:pStyle w:val="Normal"/>
        <w:bidi w:val="0"/>
        <w:spacing w:before="0" w:after="57"/>
        <w:jc w:val="left"/>
        <w:rPr/>
      </w:pPr>
      <w:r>
        <w:rPr/>
        <w:t>Bibliothèque nationale de France, « </w:t>
      </w:r>
      <w:r>
        <w:rPr>
          <w:i/>
        </w:rPr>
        <w:t>Calendaria et tabulae. Macrobius, Commentarii in Somnium Scipionis</w:t>
      </w:r>
      <w:r>
        <w:rPr/>
        <w:t xml:space="preserve"> [Département des Manuscrits, Latin 7299] », </w:t>
      </w:r>
      <w:r>
        <w:rPr>
          <w:i/>
        </w:rPr>
        <w:t>Gallica</w:t>
      </w:r>
      <w:r>
        <w:rPr/>
        <w:t xml:space="preserve">, URL : </w:t>
      </w:r>
      <w:hyperlink r:id="rId3">
        <w:r>
          <w:rPr>
            <w:rStyle w:val="LienInternet"/>
            <w:strike w:val="false"/>
            <w:dstrike w:val="false"/>
            <w:u w:val="single"/>
            <w:effect w:val="none"/>
          </w:rPr>
          <w:t>https://gallica.bnf.fr/ark:/12148/btv1b10542286q</w:t>
        </w:r>
      </w:hyperlink>
      <w:r>
        <w:rPr/>
        <w:t>, consulté le 1</w:t>
      </w:r>
      <w:r>
        <w:rPr>
          <w:position w:val="8"/>
          <w:sz w:val="19"/>
        </w:rPr>
        <w:t>er</w:t>
      </w:r>
      <w:r>
        <w:rPr/>
        <w:t xml:space="preserve"> décembre 2022.</w:t>
      </w:r>
    </w:p>
    <w:p>
      <w:pPr>
        <w:pStyle w:val="Titre3"/>
        <w:numPr>
          <w:ilvl w:val="2"/>
          <w:numId w:val="1"/>
        </w:numPr>
        <w:bidi w:val="0"/>
        <w:jc w:val="left"/>
        <w:rPr/>
      </w:pPr>
      <w:r>
        <w:rPr/>
        <w:t>Liste de références</w:t>
      </w:r>
    </w:p>
    <w:p>
      <w:pPr>
        <w:pStyle w:val="Normal"/>
        <w:bidi w:val="0"/>
        <w:jc w:val="left"/>
        <w:rPr/>
      </w:pPr>
      <w:r>
        <w:rPr>
          <w:rStyle w:val="Dfinition"/>
        </w:rPr>
        <w:t>Un ensemble de notices issues de la même ressource se présente sous forme de liste.</w:t>
      </w:r>
    </w:p>
    <w:p>
      <w:pPr>
        <w:pStyle w:val="Normal"/>
        <w:bidi w:val="0"/>
        <w:jc w:val="left"/>
        <w:rPr/>
      </w:pPr>
      <w:r>
        <w:rPr/>
        <w:t xml:space="preserve">Bibliothèque nationale de France, </w:t>
      </w:r>
      <w:r>
        <w:rPr>
          <w:i/>
          <w:iCs/>
        </w:rPr>
        <w:t>Gallica</w:t>
      </w:r>
      <w:r>
        <w:rPr/>
        <w:t> :</w:t>
      </w:r>
    </w:p>
    <w:p>
      <w:pPr>
        <w:pStyle w:val="Liste"/>
        <w:numPr>
          <w:ilvl w:val="0"/>
          <w:numId w:val="2"/>
        </w:numPr>
        <w:bidi w:val="0"/>
        <w:jc w:val="left"/>
        <w:rPr/>
      </w:pPr>
      <w:r>
        <w:rPr/>
        <w:t>« </w:t>
      </w:r>
      <w:r>
        <w:rPr>
          <w:i/>
          <w:iCs/>
        </w:rPr>
        <w:t xml:space="preserve">Calendaria et tabulae. Macrobius, Commentarii in Somnium Scipionis </w:t>
      </w:r>
      <w:r>
        <w:rPr/>
        <w:t xml:space="preserve">[Département des Manuscrits, Latin 7299] », URL : </w:t>
      </w:r>
      <w:hyperlink r:id="rId4">
        <w:r>
          <w:rPr>
            <w:rStyle w:val="LienInternet"/>
          </w:rPr>
          <w:t>https://gallica.bnf.fr/ark:/12148/btv1b10542286q</w:t>
        </w:r>
      </w:hyperlink>
      <w:r>
        <w:rPr/>
        <w:t>, consulté le 1</w:t>
      </w:r>
      <w:r>
        <w:rPr>
          <w:vertAlign w:val="superscript"/>
        </w:rPr>
        <w:t>er</w:t>
      </w:r>
      <w:r>
        <w:rPr/>
        <w:t xml:space="preserve"> décembre 2022 ;</w:t>
      </w:r>
    </w:p>
    <w:p>
      <w:pPr>
        <w:pStyle w:val="Liste"/>
        <w:numPr>
          <w:ilvl w:val="0"/>
          <w:numId w:val="2"/>
        </w:numPr>
        <w:bidi w:val="0"/>
        <w:spacing w:before="57" w:after="170"/>
        <w:contextualSpacing/>
        <w:jc w:val="left"/>
        <w:rPr/>
      </w:pPr>
      <w:r>
        <w:rPr/>
        <w:t xml:space="preserve">« Aristote : </w:t>
      </w:r>
      <w:r>
        <w:rPr>
          <w:i/>
          <w:iCs/>
        </w:rPr>
        <w:t xml:space="preserve">Methaphisica </w:t>
      </w:r>
      <w:r>
        <w:rPr/>
        <w:t xml:space="preserve">[Bibliothèque de l’Arsenal, ms. 702] », URL : </w:t>
      </w:r>
      <w:hyperlink r:id="rId5">
        <w:r>
          <w:rPr>
            <w:rStyle w:val="LienInternet"/>
          </w:rPr>
          <w:t>https://gallica.bnf.fr/ark:/12148/btv1b52506839q</w:t>
        </w:r>
      </w:hyperlink>
      <w:r>
        <w:rPr>
          <w:strike w:val="false"/>
          <w:dstrike w:val="false"/>
          <w:u w:val="none"/>
          <w:effect w:val="none"/>
        </w:rPr>
        <w:t>,</w:t>
      </w:r>
      <w:r>
        <w:rPr/>
        <w:t xml:space="preserve"> consulté le 1</w:t>
      </w:r>
      <w:r>
        <w:rPr>
          <w:vertAlign w:val="superscript"/>
        </w:rPr>
        <w:t>er</w:t>
      </w:r>
      <w:r>
        <w:rPr/>
        <w:t xml:space="preserve"> décembre 2022.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57"/>
      <w:jc w:val="left"/>
    </w:pPr>
    <w:rPr>
      <w:rFonts w:ascii="Times New Roman" w:hAnsi="Times New Roman" w:eastAsia="Source Han Sans CN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outlineLvl w:val="0"/>
    </w:pPr>
    <w:rPr>
      <w:b w:val="false"/>
      <w:bCs w:val="false"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 w:val="false"/>
      <w:bCs w:val="false"/>
      <w:sz w:val="32"/>
      <w:szCs w:val="32"/>
    </w:rPr>
  </w:style>
  <w:style w:type="paragraph" w:styleId="Titre3">
    <w:name w:val="Heading 3"/>
    <w:basedOn w:val="Titre"/>
    <w:next w:val="Normal"/>
    <w:qFormat/>
    <w:pPr>
      <w:numPr>
        <w:ilvl w:val="2"/>
        <w:numId w:val="1"/>
      </w:numPr>
      <w:spacing w:before="198" w:after="170"/>
      <w:outlineLvl w:val="2"/>
    </w:pPr>
    <w:rPr>
      <w:b w:val="false"/>
      <w:bCs w:val="false"/>
      <w:caps w:val="false"/>
      <w:smallCaps w:val="false"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 w:val="false"/>
      <w:bCs w:val="false"/>
      <w:i/>
      <w:iCs/>
      <w:sz w:val="27"/>
      <w:szCs w:val="27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 w:val="false"/>
      <w:bCs w:val="false"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 w:val="false"/>
      <w:bCs w:val="false"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 w:val="false"/>
      <w:bCs w:val="false"/>
      <w:sz w:val="22"/>
      <w:szCs w:val="22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 w:val="false"/>
      <w:bCs w:val="false"/>
      <w:i/>
      <w:iCs/>
      <w:sz w:val="22"/>
      <w:szCs w:val="22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 w:val="false"/>
      <w:bCs w:val="false"/>
      <w:sz w:val="21"/>
      <w:szCs w:val="21"/>
    </w:rPr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Dfinition">
    <w:name w:val="Définition"/>
    <w:qFormat/>
    <w:rPr>
      <w:i/>
      <w:sz w:val="20"/>
    </w:rPr>
  </w:style>
  <w:style w:type="paragraph" w:styleId="Titre">
    <w:name w:val="Titre"/>
    <w:basedOn w:val="Normal"/>
    <w:next w:val="Corpsdetexte"/>
    <w:qFormat/>
    <w:pPr>
      <w:keepNext w:val="true"/>
      <w:bidi w:val="0"/>
      <w:spacing w:before="240" w:after="120"/>
    </w:pPr>
    <w:rPr>
      <w:rFonts w:ascii="Caladea" w:hAnsi="Caladea" w:eastAsia="Source Han Sans CN Regular" w:cs="Lohit Devanagari"/>
      <w:caps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>
      <w:sz w:val="22"/>
    </w:rPr>
  </w:style>
  <w:style w:type="paragraph" w:styleId="Liste">
    <w:name w:val="List"/>
    <w:basedOn w:val="Corpsdetexte"/>
    <w:pPr>
      <w:spacing w:before="57" w:after="170"/>
      <w:contextualSpacing/>
    </w:pPr>
    <w:rPr>
      <w:rFonts w:cs="Lohit Devanagari"/>
      <w:sz w:val="24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pBdr>
        <w:top w:val="single" w:sz="6" w:space="1" w:color="000000"/>
        <w:bottom w:val="single" w:sz="6" w:space="1" w:color="000000"/>
      </w:pBdr>
      <w:jc w:val="center"/>
    </w:pPr>
    <w:rPr>
      <w:b/>
      <w:bCs/>
      <w:sz w:val="40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mallCaps/>
      <w:sz w:val="36"/>
      <w:szCs w:val="36"/>
    </w:rPr>
  </w:style>
  <w:style w:type="paragraph" w:styleId="Indexdetableaux1">
    <w:name w:val="Index de tableaux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Notedebasdepag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 w:val="false"/>
      <w:bCs w:val="false"/>
      <w:sz w:val="21"/>
      <w:szCs w:val="21"/>
    </w:rPr>
  </w:style>
  <w:style w:type="paragraph" w:styleId="Remarque">
    <w:name w:val="Remarque"/>
    <w:basedOn w:val="Normal"/>
    <w:qFormat/>
    <w:pPr>
      <w:spacing w:before="170" w:after="57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allica.bnf.fr/ark:/12148/btv1b10542286q" TargetMode="External"/><Relationship Id="rId3" Type="http://schemas.openxmlformats.org/officeDocument/2006/relationships/hyperlink" Target="https://gallica.bnf.fr/ark:/12148/btv1b10542286q" TargetMode="External"/><Relationship Id="rId4" Type="http://schemas.openxmlformats.org/officeDocument/2006/relationships/hyperlink" Target="https://gallica.bnf.fr/ark:/12148/btv1b10542286q" TargetMode="External"/><Relationship Id="rId5" Type="http://schemas.openxmlformats.org/officeDocument/2006/relationships/hyperlink" Target="https://gallica.bnf.fr/ark:/12148/btv1b52506839q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4</Pages>
  <Words>834</Words>
  <Characters>4768</Characters>
  <CharactersWithSpaces>5535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>Sébastien Biay</cp:lastModifiedBy>
  <dcterms:modified xsi:type="dcterms:W3CDTF">2023-12-12T18:19:52Z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id="PrVt5KFx"/&gt;&lt;style id="mon-odt-perso" hasBibliography="1" bibliographyStyleHasBeenSet="0"/&gt;&lt;prefs&gt;&lt;pref name="fieldType" value="ReferenceMark"/&gt;&lt;pref name="noteType" value="1"/&gt;&lt;/prefs&gt;&lt;/data&gt;</vt:lpwstr>
  </property>
</Properties>
</file>