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42C09" w14:textId="596F5AC3" w:rsidR="005C4576" w:rsidRPr="00B01EA9" w:rsidRDefault="000E63D8" w:rsidP="00921188">
      <w:pPr>
        <w:rPr>
          <w:b/>
          <w:bCs/>
          <w:sz w:val="36"/>
          <w:szCs w:val="36"/>
        </w:rPr>
      </w:pPr>
      <w:r>
        <w:rPr>
          <w:b/>
          <w:bCs/>
          <w:sz w:val="36"/>
          <w:szCs w:val="36"/>
        </w:rPr>
        <w:t>Modelling marine plankton community response to increasing atmospheric CO</w:t>
      </w:r>
      <w:r w:rsidRPr="000E63D8">
        <w:rPr>
          <w:b/>
          <w:bCs/>
          <w:sz w:val="36"/>
          <w:szCs w:val="36"/>
          <w:vertAlign w:val="subscript"/>
        </w:rPr>
        <w:t>2</w:t>
      </w:r>
      <w:r>
        <w:rPr>
          <w:b/>
          <w:bCs/>
          <w:sz w:val="36"/>
          <w:szCs w:val="36"/>
        </w:rPr>
        <w:t xml:space="preserve"> levels</w:t>
      </w:r>
    </w:p>
    <w:p w14:paraId="10D4E0C5" w14:textId="77777777" w:rsidR="00396AC6" w:rsidRPr="00396AC6" w:rsidRDefault="00396AC6" w:rsidP="00921188"/>
    <w:p w14:paraId="220E951F" w14:textId="568B72BB" w:rsidR="00345F6C" w:rsidRPr="00396AC6" w:rsidRDefault="00345F6C" w:rsidP="00921188">
      <w:r w:rsidRPr="00396AC6">
        <w:t>The effects of anthropogenically-driven climate</w:t>
      </w:r>
      <w:r w:rsidR="005A4664">
        <w:t xml:space="preserve"> change</w:t>
      </w:r>
      <w:r w:rsidRPr="00396AC6">
        <w:t xml:space="preserve"> throughout the twenty-first century </w:t>
      </w:r>
      <w:r w:rsidR="005A4664">
        <w:t>will significantly affect</w:t>
      </w:r>
      <w:r w:rsidRPr="00396AC6">
        <w:t xml:space="preserve"> oceanic primary productivity (</w:t>
      </w:r>
      <w:proofErr w:type="spellStart"/>
      <w:r w:rsidRPr="00396AC6">
        <w:t>Krumhardt</w:t>
      </w:r>
      <w:proofErr w:type="spellEnd"/>
      <w:r w:rsidRPr="00396AC6">
        <w:t xml:space="preserve"> et al., 2017). </w:t>
      </w:r>
      <w:r w:rsidR="005A4664">
        <w:t xml:space="preserve">Altered atmospheric </w:t>
      </w:r>
      <w:r w:rsidR="00FD0403" w:rsidRPr="00396AC6">
        <w:t>CO</w:t>
      </w:r>
      <w:r w:rsidR="00FD0403" w:rsidRPr="005A4664">
        <w:rPr>
          <w:vertAlign w:val="subscript"/>
        </w:rPr>
        <w:t>2</w:t>
      </w:r>
      <w:r w:rsidR="00FD0403" w:rsidRPr="00396AC6">
        <w:t xml:space="preserve"> </w:t>
      </w:r>
      <w:r w:rsidR="005A4664">
        <w:t xml:space="preserve">levels </w:t>
      </w:r>
      <w:r w:rsidR="00FD0403" w:rsidRPr="00396AC6">
        <w:t xml:space="preserve">are expected to affect the ocean </w:t>
      </w:r>
      <w:r w:rsidRPr="00396AC6">
        <w:t xml:space="preserve">biogeochemical cycles </w:t>
      </w:r>
      <w:r w:rsidR="00FD0403" w:rsidRPr="00396AC6">
        <w:t>in a manner which will directly impact plankton communities according to well-understood physiological responses.</w:t>
      </w:r>
      <w:r w:rsidR="000F3070" w:rsidRPr="00396AC6">
        <w:t xml:space="preserve"> </w:t>
      </w:r>
      <w:r w:rsidR="00E46566" w:rsidRPr="00396AC6">
        <w:t xml:space="preserve">Metabolic rates in phytoplankton species are positively affected by </w:t>
      </w:r>
      <w:r w:rsidR="00ED18F2" w:rsidRPr="00396AC6">
        <w:t>rising</w:t>
      </w:r>
      <w:r w:rsidR="00E46566" w:rsidRPr="00396AC6">
        <w:t xml:space="preserve"> temperature (Padfield et al., 2016)</w:t>
      </w:r>
      <w:r w:rsidR="00ED18F2" w:rsidRPr="00396AC6">
        <w:t xml:space="preserve">, as are heterotrophic respiration rates </w:t>
      </w:r>
      <w:r w:rsidR="00ED18F2" w:rsidRPr="00396AC6">
        <w:rPr>
          <w:rFonts w:cstheme="minorHAnsi"/>
        </w:rPr>
        <w:t>(</w:t>
      </w:r>
      <w:proofErr w:type="spellStart"/>
      <w:r w:rsidR="00ED18F2" w:rsidRPr="00396AC6">
        <w:rPr>
          <w:rFonts w:cstheme="minorHAnsi"/>
        </w:rPr>
        <w:t>Regaudie</w:t>
      </w:r>
      <w:proofErr w:type="spellEnd"/>
      <w:r w:rsidR="00ED18F2" w:rsidRPr="00396AC6">
        <w:rPr>
          <w:rFonts w:cstheme="minorHAnsi"/>
        </w:rPr>
        <w:t>-de-</w:t>
      </w:r>
      <w:proofErr w:type="spellStart"/>
      <w:r w:rsidR="00ED18F2" w:rsidRPr="00396AC6">
        <w:rPr>
          <w:rFonts w:cstheme="minorHAnsi"/>
        </w:rPr>
        <w:t>Gioux</w:t>
      </w:r>
      <w:proofErr w:type="spellEnd"/>
      <w:r w:rsidR="00ED18F2" w:rsidRPr="00396AC6">
        <w:rPr>
          <w:rFonts w:cstheme="minorHAnsi"/>
        </w:rPr>
        <w:t xml:space="preserve">, Duarte, 2012). Importantly, </w:t>
      </w:r>
      <w:r w:rsidR="005A4664">
        <w:rPr>
          <w:rFonts w:cstheme="minorHAnsi"/>
        </w:rPr>
        <w:t xml:space="preserve">higher temperatures increase </w:t>
      </w:r>
      <w:r w:rsidR="009701E1" w:rsidRPr="00396AC6">
        <w:t xml:space="preserve">phytoplankton photosynthetic carbon assimilation rates and nutrient uptake </w:t>
      </w:r>
      <w:proofErr w:type="gramStart"/>
      <w:r w:rsidR="009701E1" w:rsidRPr="00396AC6">
        <w:t xml:space="preserve">rates </w:t>
      </w:r>
      <w:r w:rsidR="00ED18F2" w:rsidRPr="00396AC6">
        <w:t>in particular</w:t>
      </w:r>
      <w:proofErr w:type="gramEnd"/>
      <w:r w:rsidR="009701E1" w:rsidRPr="00396AC6">
        <w:t xml:space="preserve"> (</w:t>
      </w:r>
      <w:proofErr w:type="spellStart"/>
      <w:r w:rsidR="009701E1" w:rsidRPr="00396AC6">
        <w:t>Trombetta</w:t>
      </w:r>
      <w:proofErr w:type="spellEnd"/>
      <w:r w:rsidR="009701E1" w:rsidRPr="00396AC6">
        <w:t xml:space="preserve"> et al., 2019)</w:t>
      </w:r>
      <w:r w:rsidR="00ED18F2" w:rsidRPr="00396AC6">
        <w:t xml:space="preserve">, in addition to zooplankton grazing rates (Chen, Laws, 2017). </w:t>
      </w:r>
    </w:p>
    <w:p w14:paraId="3EDF71CF" w14:textId="06F05B99" w:rsidR="00345F6C" w:rsidRPr="00396AC6" w:rsidRDefault="005C4576" w:rsidP="00921188">
      <w:r w:rsidRPr="00396AC6">
        <w:rPr>
          <w:rFonts w:cstheme="minorHAnsi"/>
        </w:rPr>
        <w:t>Pr</w:t>
      </w:r>
      <w:r w:rsidR="00136496" w:rsidRPr="00396AC6">
        <w:rPr>
          <w:rFonts w:cstheme="minorHAnsi"/>
        </w:rPr>
        <w:t xml:space="preserve">imary productivity is expected to be impacted </w:t>
      </w:r>
      <w:r w:rsidR="008B03F8" w:rsidRPr="00396AC6">
        <w:rPr>
          <w:rFonts w:cstheme="minorHAnsi"/>
        </w:rPr>
        <w:t xml:space="preserve">negatively </w:t>
      </w:r>
      <w:r w:rsidR="00136496" w:rsidRPr="00396AC6">
        <w:rPr>
          <w:rFonts w:cstheme="minorHAnsi"/>
        </w:rPr>
        <w:t xml:space="preserve">by the effects of increased stratification in the tropics and subtropics, and </w:t>
      </w:r>
      <w:r w:rsidR="008B03F8" w:rsidRPr="00396AC6">
        <w:rPr>
          <w:rFonts w:cstheme="minorHAnsi"/>
        </w:rPr>
        <w:t xml:space="preserve">positively by </w:t>
      </w:r>
      <w:r w:rsidR="00136496" w:rsidRPr="00396AC6">
        <w:rPr>
          <w:rFonts w:cstheme="minorHAnsi"/>
        </w:rPr>
        <w:t xml:space="preserve">decreased mixed layer depth and increased </w:t>
      </w:r>
      <w:r w:rsidR="005A4664">
        <w:rPr>
          <w:rFonts w:cstheme="minorHAnsi"/>
        </w:rPr>
        <w:t>sea surface temperature (S</w:t>
      </w:r>
      <w:r w:rsidR="00136496" w:rsidRPr="00396AC6">
        <w:rPr>
          <w:rFonts w:cstheme="minorHAnsi"/>
        </w:rPr>
        <w:t>ST</w:t>
      </w:r>
      <w:r w:rsidR="005A4664">
        <w:rPr>
          <w:rFonts w:cstheme="minorHAnsi"/>
        </w:rPr>
        <w:t>)</w:t>
      </w:r>
      <w:r w:rsidR="00136496" w:rsidRPr="00396AC6">
        <w:rPr>
          <w:rFonts w:cstheme="minorHAnsi"/>
        </w:rPr>
        <w:t xml:space="preserve"> in the high latitudes (Boyd, </w:t>
      </w:r>
      <w:proofErr w:type="spellStart"/>
      <w:r w:rsidR="00136496" w:rsidRPr="00396AC6">
        <w:rPr>
          <w:rFonts w:cstheme="minorHAnsi"/>
        </w:rPr>
        <w:t>Doney</w:t>
      </w:r>
      <w:proofErr w:type="spellEnd"/>
      <w:r w:rsidR="00136496" w:rsidRPr="00396AC6">
        <w:rPr>
          <w:rFonts w:cstheme="minorHAnsi"/>
        </w:rPr>
        <w:t xml:space="preserve">, 2002).  Increased stratification is expected to exaggerate </w:t>
      </w:r>
      <w:r w:rsidR="008C5BC8" w:rsidRPr="00396AC6">
        <w:rPr>
          <w:rFonts w:cstheme="minorHAnsi"/>
        </w:rPr>
        <w:t xml:space="preserve">tropical </w:t>
      </w:r>
      <w:proofErr w:type="spellStart"/>
      <w:r w:rsidR="00136496" w:rsidRPr="00396AC6">
        <w:rPr>
          <w:rFonts w:cstheme="minorHAnsi"/>
        </w:rPr>
        <w:t>oligotrophication</w:t>
      </w:r>
      <w:proofErr w:type="spellEnd"/>
      <w:r w:rsidR="00136496" w:rsidRPr="00396AC6">
        <w:rPr>
          <w:rFonts w:cstheme="minorHAnsi"/>
        </w:rPr>
        <w:t xml:space="preserve"> due to depleted surface-layer nutrients resulting in nutrient limitation of phytoplankton in the surface layer (Mojica et al., 2014)</w:t>
      </w:r>
      <w:r w:rsidR="00D1417A" w:rsidRPr="00396AC6">
        <w:rPr>
          <w:rFonts w:cstheme="minorHAnsi"/>
        </w:rPr>
        <w:t xml:space="preserve">, limiting primary productivity. </w:t>
      </w:r>
      <w:r w:rsidR="008C5BC8" w:rsidRPr="00396AC6">
        <w:rPr>
          <w:rFonts w:cstheme="minorHAnsi"/>
        </w:rPr>
        <w:t>In high latitudes, d</w:t>
      </w:r>
      <w:r w:rsidR="008B03F8" w:rsidRPr="00396AC6">
        <w:rPr>
          <w:rFonts w:cstheme="minorHAnsi"/>
        </w:rPr>
        <w:t xml:space="preserve">ecreased mixed layer depth </w:t>
      </w:r>
      <w:r w:rsidR="008C5BC8" w:rsidRPr="00396AC6">
        <w:rPr>
          <w:rFonts w:cstheme="minorHAnsi"/>
        </w:rPr>
        <w:t xml:space="preserve">provides more favourable light conditions for phytoplankton growth </w:t>
      </w:r>
      <w:r w:rsidR="008C5BC8" w:rsidRPr="00396AC6">
        <w:t>(Schofield et al., 2018) which acts in conjunction with positive effects of elevated temperatures on plankton biomass.</w:t>
      </w:r>
      <w:r w:rsidR="0097262B" w:rsidRPr="00396AC6">
        <w:t xml:space="preserve"> At high latitudes, communities will benefit from increased iron and phosphate </w:t>
      </w:r>
      <w:proofErr w:type="gramStart"/>
      <w:r w:rsidR="0097262B" w:rsidRPr="00396AC6">
        <w:t>as a result of</w:t>
      </w:r>
      <w:proofErr w:type="gramEnd"/>
      <w:r w:rsidR="0097262B" w:rsidRPr="00396AC6">
        <w:t xml:space="preserve"> atmospheric processes (Compton et al., 2000, </w:t>
      </w:r>
      <w:proofErr w:type="spellStart"/>
      <w:r w:rsidR="0097262B" w:rsidRPr="00396AC6">
        <w:t>Deppeler</w:t>
      </w:r>
      <w:proofErr w:type="spellEnd"/>
      <w:r w:rsidR="0097262B" w:rsidRPr="00396AC6">
        <w:t xml:space="preserve">, Davidson, 2017, </w:t>
      </w:r>
      <w:proofErr w:type="spellStart"/>
      <w:r w:rsidR="0097262B" w:rsidRPr="00396AC6">
        <w:t>Terhaar</w:t>
      </w:r>
      <w:proofErr w:type="spellEnd"/>
      <w:r w:rsidR="0097262B" w:rsidRPr="00396AC6">
        <w:t xml:space="preserve"> et al., 2021)  </w:t>
      </w:r>
      <w:r w:rsidR="008C5BC8" w:rsidRPr="00396AC6">
        <w:t xml:space="preserve"> </w:t>
      </w:r>
    </w:p>
    <w:p w14:paraId="4F7784EB" w14:textId="7A098DB9" w:rsidR="00345F6C" w:rsidRPr="00396AC6" w:rsidRDefault="00ED18F2" w:rsidP="009701E1">
      <w:pPr>
        <w:rPr>
          <w:rFonts w:cstheme="minorHAnsi"/>
        </w:rPr>
      </w:pPr>
      <w:r w:rsidRPr="00396AC6">
        <w:rPr>
          <w:rFonts w:cstheme="minorHAnsi"/>
        </w:rPr>
        <w:t xml:space="preserve">Associated community composition changes will therefore vary by region. In </w:t>
      </w:r>
      <w:r w:rsidR="00C95607" w:rsidRPr="00396AC6">
        <w:rPr>
          <w:rFonts w:cstheme="minorHAnsi"/>
        </w:rPr>
        <w:t>e</w:t>
      </w:r>
      <w:r w:rsidRPr="00396AC6">
        <w:rPr>
          <w:rFonts w:cstheme="minorHAnsi"/>
        </w:rPr>
        <w:t>utrophic</w:t>
      </w:r>
      <w:r w:rsidR="00C95607" w:rsidRPr="00396AC6">
        <w:rPr>
          <w:rFonts w:cstheme="minorHAnsi"/>
        </w:rPr>
        <w:t xml:space="preserve"> high latitude</w:t>
      </w:r>
      <w:r w:rsidRPr="00396AC6">
        <w:rPr>
          <w:rFonts w:cstheme="minorHAnsi"/>
        </w:rPr>
        <w:t xml:space="preserve"> waters, with increased</w:t>
      </w:r>
      <w:r w:rsidR="00C95607" w:rsidRPr="00396AC6">
        <w:rPr>
          <w:rFonts w:cstheme="minorHAnsi"/>
        </w:rPr>
        <w:t xml:space="preserve"> SST</w:t>
      </w:r>
      <w:r w:rsidRPr="00396AC6">
        <w:rPr>
          <w:rFonts w:cstheme="minorHAnsi"/>
        </w:rPr>
        <w:t xml:space="preserve">, </w:t>
      </w:r>
      <w:r w:rsidR="00C95607" w:rsidRPr="00396AC6">
        <w:rPr>
          <w:rFonts w:cstheme="minorHAnsi"/>
        </w:rPr>
        <w:t>top-down regulation of phytoplankton by zooplankton increases</w:t>
      </w:r>
      <w:r w:rsidR="00592F29" w:rsidRPr="00396AC6">
        <w:rPr>
          <w:rFonts w:cstheme="minorHAnsi"/>
        </w:rPr>
        <w:t>; larger phytoplankton experience reduced grazing pressure (</w:t>
      </w:r>
      <w:r w:rsidR="00592F29" w:rsidRPr="00396AC6">
        <w:t>Acevedo-</w:t>
      </w:r>
      <w:proofErr w:type="spellStart"/>
      <w:r w:rsidR="00592F29" w:rsidRPr="00396AC6">
        <w:t>Trejos</w:t>
      </w:r>
      <w:proofErr w:type="spellEnd"/>
      <w:r w:rsidR="00592F29" w:rsidRPr="00396AC6">
        <w:t xml:space="preserve"> et al., 2015). </w:t>
      </w:r>
      <w:r w:rsidR="00C95607" w:rsidRPr="00396AC6">
        <w:rPr>
          <w:rFonts w:cstheme="minorHAnsi"/>
        </w:rPr>
        <w:t>This is exacerbated by a higher impact of temperature on heterotroph metabolism (</w:t>
      </w:r>
      <w:proofErr w:type="spellStart"/>
      <w:r w:rsidR="00592F29" w:rsidRPr="00396AC6">
        <w:t>Boscolo-Galazzo</w:t>
      </w:r>
      <w:proofErr w:type="spellEnd"/>
      <w:r w:rsidR="00592F29" w:rsidRPr="00396AC6">
        <w:t xml:space="preserve"> et al., 2018</w:t>
      </w:r>
      <w:r w:rsidR="00C95607" w:rsidRPr="00396AC6">
        <w:rPr>
          <w:rFonts w:cstheme="minorHAnsi"/>
        </w:rPr>
        <w:t>)</w:t>
      </w:r>
      <w:r w:rsidR="005A4664">
        <w:rPr>
          <w:rFonts w:cstheme="minorHAnsi"/>
        </w:rPr>
        <w:t>.</w:t>
      </w:r>
      <w:r w:rsidR="00C95607" w:rsidRPr="00396AC6">
        <w:rPr>
          <w:rFonts w:cstheme="minorHAnsi"/>
        </w:rPr>
        <w:t xml:space="preserve"> In the tropics and subtropics, greater stratification will enforce bottom-up control (nutrient limitation) on phytoplankton populations, driving communities towards a lower cell size, as greater nutrient assimilation efficiency is required</w:t>
      </w:r>
      <w:r w:rsidR="005C4576" w:rsidRPr="00396AC6">
        <w:rPr>
          <w:rFonts w:cstheme="minorHAnsi"/>
        </w:rPr>
        <w:t xml:space="preserve"> (</w:t>
      </w:r>
      <w:proofErr w:type="spellStart"/>
      <w:r w:rsidR="00592F29" w:rsidRPr="00396AC6">
        <w:rPr>
          <w:rFonts w:cstheme="minorHAnsi"/>
        </w:rPr>
        <w:t>Tsiola</w:t>
      </w:r>
      <w:proofErr w:type="spellEnd"/>
      <w:r w:rsidR="00592F29" w:rsidRPr="00396AC6">
        <w:rPr>
          <w:rFonts w:cstheme="minorHAnsi"/>
        </w:rPr>
        <w:t xml:space="preserve"> et al., 2016</w:t>
      </w:r>
      <w:r w:rsidR="005C4576" w:rsidRPr="00396AC6">
        <w:rPr>
          <w:rFonts w:cstheme="minorHAnsi"/>
        </w:rPr>
        <w:t>)</w:t>
      </w:r>
      <w:r w:rsidR="00C95607" w:rsidRPr="00396AC6">
        <w:rPr>
          <w:rFonts w:cstheme="minorHAnsi"/>
        </w:rPr>
        <w:t>, and towards lower overall biomass</w:t>
      </w:r>
      <w:r w:rsidR="005C4576" w:rsidRPr="00396AC6">
        <w:rPr>
          <w:rFonts w:cstheme="minorHAnsi"/>
        </w:rPr>
        <w:t xml:space="preserve"> (</w:t>
      </w:r>
      <w:r w:rsidR="00592F29" w:rsidRPr="00396AC6">
        <w:rPr>
          <w:rFonts w:cstheme="minorHAnsi"/>
        </w:rPr>
        <w:t>Gasol et al., 1997</w:t>
      </w:r>
      <w:r w:rsidR="005C4576" w:rsidRPr="00396AC6">
        <w:rPr>
          <w:rFonts w:cstheme="minorHAnsi"/>
        </w:rPr>
        <w:t xml:space="preserve">). </w:t>
      </w:r>
      <w:r w:rsidR="00C95607" w:rsidRPr="00396AC6">
        <w:rPr>
          <w:rFonts w:cstheme="minorHAnsi"/>
        </w:rPr>
        <w:t>In terms of overall</w:t>
      </w:r>
      <w:r w:rsidR="00971131">
        <w:rPr>
          <w:rFonts w:cstheme="minorHAnsi"/>
        </w:rPr>
        <w:t xml:space="preserve"> global</w:t>
      </w:r>
      <w:r w:rsidR="00C95607" w:rsidRPr="00396AC6">
        <w:rPr>
          <w:rFonts w:cstheme="minorHAnsi"/>
        </w:rPr>
        <w:t xml:space="preserve"> biomass, w</w:t>
      </w:r>
      <w:r w:rsidR="00E46566" w:rsidRPr="00396AC6">
        <w:rPr>
          <w:rFonts w:cstheme="minorHAnsi"/>
        </w:rPr>
        <w:t>hilst there will be a regional variation in response to global warming, d</w:t>
      </w:r>
      <w:r w:rsidR="00A2704A" w:rsidRPr="00396AC6">
        <w:rPr>
          <w:rFonts w:cstheme="minorHAnsi"/>
        </w:rPr>
        <w:t xml:space="preserve">ecreased </w:t>
      </w:r>
      <w:r w:rsidR="00E46566" w:rsidRPr="00396AC6">
        <w:rPr>
          <w:rFonts w:cstheme="minorHAnsi"/>
        </w:rPr>
        <w:t xml:space="preserve">overall </w:t>
      </w:r>
      <w:r w:rsidR="00A2704A" w:rsidRPr="00396AC6">
        <w:rPr>
          <w:rFonts w:cstheme="minorHAnsi"/>
        </w:rPr>
        <w:t>primary productivity is the most likely outcome of future global warming trends (</w:t>
      </w:r>
      <w:proofErr w:type="spellStart"/>
      <w:r w:rsidR="00971131">
        <w:rPr>
          <w:rFonts w:cstheme="minorHAnsi"/>
        </w:rPr>
        <w:t>Behrenfeld</w:t>
      </w:r>
      <w:proofErr w:type="spellEnd"/>
      <w:r w:rsidR="00971131">
        <w:rPr>
          <w:rFonts w:cstheme="minorHAnsi"/>
        </w:rPr>
        <w:t xml:space="preserve"> et al., 2006</w:t>
      </w:r>
      <w:r w:rsidR="00A2704A" w:rsidRPr="00396AC6">
        <w:rPr>
          <w:rFonts w:cstheme="minorHAnsi"/>
        </w:rPr>
        <w:t>)</w:t>
      </w:r>
    </w:p>
    <w:p w14:paraId="22D5036C" w14:textId="465F828B" w:rsidR="009701E1" w:rsidRPr="00396AC6" w:rsidRDefault="009701E1" w:rsidP="009701E1">
      <w:pPr>
        <w:rPr>
          <w:rFonts w:cstheme="minorHAnsi"/>
        </w:rPr>
      </w:pPr>
      <w:r w:rsidRPr="00396AC6">
        <w:rPr>
          <w:rFonts w:cstheme="minorHAnsi"/>
        </w:rPr>
        <w:t>The myriad of complex effects of increasing atmospheric CO</w:t>
      </w:r>
      <w:r w:rsidRPr="00396AC6">
        <w:rPr>
          <w:rFonts w:cstheme="minorHAnsi"/>
          <w:vertAlign w:val="subscript"/>
        </w:rPr>
        <w:t>2</w:t>
      </w:r>
      <w:r w:rsidRPr="00396AC6">
        <w:rPr>
          <w:rFonts w:cstheme="minorHAnsi"/>
        </w:rPr>
        <w:t xml:space="preserve"> necessitates the use of </w:t>
      </w:r>
      <w:r w:rsidR="005C4576" w:rsidRPr="00396AC6">
        <w:rPr>
          <w:rFonts w:cstheme="minorHAnsi"/>
        </w:rPr>
        <w:t xml:space="preserve">predictive </w:t>
      </w:r>
      <w:r w:rsidRPr="00396AC6">
        <w:rPr>
          <w:rFonts w:cstheme="minorHAnsi"/>
        </w:rPr>
        <w:t xml:space="preserve">models built on our current understanding of the processes involved in earth and ocean system dynamics. </w:t>
      </w:r>
      <w:r w:rsidR="005C4576" w:rsidRPr="00396AC6">
        <w:rPr>
          <w:rFonts w:cstheme="minorHAnsi"/>
        </w:rPr>
        <w:t xml:space="preserve">Such models are </w:t>
      </w:r>
      <w:r w:rsidRPr="00396AC6">
        <w:rPr>
          <w:rFonts w:cstheme="minorHAnsi"/>
        </w:rPr>
        <w:t xml:space="preserve">key in understanding expected changes in primary productivity and oceanic food web structure, which will carry consequences for our interactions with global ecosystems. Here, the ECOGEM package extension to the </w:t>
      </w:r>
      <w:proofErr w:type="spellStart"/>
      <w:r w:rsidR="00971131" w:rsidRPr="00971131">
        <w:rPr>
          <w:rFonts w:cstheme="minorHAnsi"/>
        </w:rPr>
        <w:t>EcoGENIE</w:t>
      </w:r>
      <w:proofErr w:type="spellEnd"/>
      <w:r w:rsidR="00971131">
        <w:rPr>
          <w:rFonts w:cstheme="minorHAnsi"/>
        </w:rPr>
        <w:t xml:space="preserve"> </w:t>
      </w:r>
      <w:r w:rsidRPr="00396AC6">
        <w:rPr>
          <w:rFonts w:cstheme="minorHAnsi"/>
        </w:rPr>
        <w:t>Earth System Model is used to simulate alterations in plankton community dynamics in response to global warming effects predicted in the Earth System model, using Representative Concentration Scenario 8.5 for atmospheric CO2 projections. Surface inorganic nutrients pass through a complex plankton community</w:t>
      </w:r>
      <w:r w:rsidR="00971131">
        <w:rPr>
          <w:rFonts w:cstheme="minorHAnsi"/>
        </w:rPr>
        <w:t>;</w:t>
      </w:r>
      <w:r w:rsidRPr="00396AC6">
        <w:rPr>
          <w:rFonts w:cstheme="minorHAnsi"/>
        </w:rPr>
        <w:t xml:space="preserve"> here updated environmental conditions as per </w:t>
      </w:r>
      <w:proofErr w:type="spellStart"/>
      <w:r w:rsidR="00971131" w:rsidRPr="00971131">
        <w:rPr>
          <w:rFonts w:cstheme="minorHAnsi"/>
        </w:rPr>
        <w:t>EcoGENIE</w:t>
      </w:r>
      <w:proofErr w:type="spellEnd"/>
      <w:r w:rsidR="00971131">
        <w:rPr>
          <w:rFonts w:cstheme="minorHAnsi"/>
        </w:rPr>
        <w:t xml:space="preserve"> </w:t>
      </w:r>
      <w:r w:rsidRPr="00396AC6">
        <w:rPr>
          <w:rFonts w:cstheme="minorHAnsi"/>
        </w:rPr>
        <w:t xml:space="preserve">projections impact production and export. Altered community composition is modelled through responses of different phytoplankton zooplankton size groups with </w:t>
      </w:r>
      <w:r w:rsidR="00971131">
        <w:rPr>
          <w:rFonts w:cstheme="minorHAnsi"/>
        </w:rPr>
        <w:t xml:space="preserve">set </w:t>
      </w:r>
      <w:proofErr w:type="spellStart"/>
      <w:r w:rsidRPr="00396AC6">
        <w:rPr>
          <w:rFonts w:cstheme="minorHAnsi"/>
        </w:rPr>
        <w:t>ecophysiological</w:t>
      </w:r>
      <w:proofErr w:type="spellEnd"/>
      <w:r w:rsidRPr="00396AC6">
        <w:rPr>
          <w:rFonts w:cstheme="minorHAnsi"/>
        </w:rPr>
        <w:t xml:space="preserve"> parameters. </w:t>
      </w:r>
    </w:p>
    <w:p w14:paraId="60F11668" w14:textId="77777777" w:rsidR="009701E1" w:rsidRPr="00396AC6" w:rsidRDefault="009701E1" w:rsidP="009701E1">
      <w:pPr>
        <w:rPr>
          <w:rFonts w:cstheme="minorHAnsi"/>
        </w:rPr>
      </w:pPr>
    </w:p>
    <w:p w14:paraId="1BF57B42" w14:textId="591FDFA4" w:rsidR="009701E1" w:rsidRPr="00396AC6" w:rsidRDefault="009701E1" w:rsidP="009701E1">
      <w:pPr>
        <w:rPr>
          <w:rFonts w:cstheme="minorHAnsi"/>
        </w:rPr>
      </w:pPr>
      <w:r w:rsidRPr="00396AC6">
        <w:rPr>
          <w:rFonts w:cstheme="minorHAnsi"/>
        </w:rPr>
        <w:t xml:space="preserve">Decreased spatial and temporal resolution relative to other modern ecosystem models is a necessary feature of this model in extending large-scale annual predictions over a significant time period; this model is built to output broad regional predictions rather than representing intricate differences between smaller-scale locales. Some simplification of plankton community dynamics </w:t>
      </w:r>
      <w:proofErr w:type="gramStart"/>
      <w:r w:rsidRPr="00396AC6">
        <w:rPr>
          <w:rFonts w:cstheme="minorHAnsi"/>
        </w:rPr>
        <w:t>in regards to</w:t>
      </w:r>
      <w:proofErr w:type="gramEnd"/>
      <w:r w:rsidRPr="00396AC6">
        <w:rPr>
          <w:rFonts w:cstheme="minorHAnsi"/>
        </w:rPr>
        <w:t xml:space="preserve"> het</w:t>
      </w:r>
      <w:r w:rsidR="00396AC6" w:rsidRPr="00396AC6">
        <w:rPr>
          <w:rFonts w:cstheme="minorHAnsi"/>
        </w:rPr>
        <w:t>e</w:t>
      </w:r>
      <w:r w:rsidRPr="00396AC6">
        <w:rPr>
          <w:rFonts w:cstheme="minorHAnsi"/>
        </w:rPr>
        <w:t>rotrophic activity</w:t>
      </w:r>
      <w:r w:rsidR="00971131">
        <w:rPr>
          <w:rFonts w:cstheme="minorHAnsi"/>
        </w:rPr>
        <w:t>,</w:t>
      </w:r>
      <w:r w:rsidRPr="00396AC6">
        <w:rPr>
          <w:rFonts w:cstheme="minorHAnsi"/>
        </w:rPr>
        <w:t xml:space="preserve"> and assumed instant remineralization of organic matter may also decrease predictive power. Further limitations of this model are found in the use of closed system nutrient cycling, and the authors note underrepresentation of nutrient cycling in some areas. </w:t>
      </w:r>
    </w:p>
    <w:p w14:paraId="49AD7019" w14:textId="43E6A011" w:rsidR="00396AC6" w:rsidRDefault="00396AC6" w:rsidP="001C683B"/>
    <w:p w14:paraId="019782B9" w14:textId="77777777" w:rsidR="00AF0A4D" w:rsidRPr="00B01EA9" w:rsidRDefault="00AF0A4D" w:rsidP="001C683B">
      <w:pPr>
        <w:rPr>
          <w:sz w:val="24"/>
          <w:szCs w:val="24"/>
        </w:rPr>
      </w:pPr>
    </w:p>
    <w:p w14:paraId="547E662D" w14:textId="09471053" w:rsidR="001C683B" w:rsidRPr="00B01EA9" w:rsidRDefault="001C683B" w:rsidP="001C683B">
      <w:pPr>
        <w:rPr>
          <w:b/>
          <w:bCs/>
          <w:sz w:val="36"/>
          <w:szCs w:val="36"/>
        </w:rPr>
      </w:pPr>
      <w:r w:rsidRPr="00B01EA9">
        <w:rPr>
          <w:b/>
          <w:bCs/>
          <w:sz w:val="36"/>
          <w:szCs w:val="36"/>
        </w:rPr>
        <w:t>Experimental setup</w:t>
      </w:r>
    </w:p>
    <w:p w14:paraId="3A2011FB" w14:textId="77777777" w:rsidR="00396AC6" w:rsidRPr="00396AC6" w:rsidRDefault="00396AC6" w:rsidP="00921188"/>
    <w:p w14:paraId="73E8278D" w14:textId="2C424169" w:rsidR="00971131" w:rsidRPr="00396AC6" w:rsidRDefault="001C683B" w:rsidP="00921188">
      <w:r w:rsidRPr="00396AC6">
        <w:t xml:space="preserve">Briefly, 8 </w:t>
      </w:r>
      <w:r w:rsidR="00793EF0" w:rsidRPr="00396AC6">
        <w:t>phytop</w:t>
      </w:r>
      <w:r w:rsidRPr="00396AC6">
        <w:t>lankton size classes are introduced</w:t>
      </w:r>
      <w:r w:rsidR="00793EF0" w:rsidRPr="00396AC6">
        <w:t>. The</w:t>
      </w:r>
      <w:r w:rsidRPr="00396AC6">
        <w:t xml:space="preserve"> effects of water temperature, nutrient uptake, </w:t>
      </w:r>
      <w:proofErr w:type="gramStart"/>
      <w:r w:rsidRPr="00396AC6">
        <w:t>photosynthesis</w:t>
      </w:r>
      <w:proofErr w:type="gramEnd"/>
      <w:r w:rsidRPr="00396AC6">
        <w:t xml:space="preserve"> and zooplankton grazing pressure </w:t>
      </w:r>
      <w:r w:rsidR="00793EF0" w:rsidRPr="00396AC6">
        <w:t xml:space="preserve">are regulated to different </w:t>
      </w:r>
      <w:r w:rsidR="00971131">
        <w:t>degrees</w:t>
      </w:r>
      <w:r w:rsidR="00793EF0" w:rsidRPr="00396AC6">
        <w:t xml:space="preserve"> according to size class. The 8 different zooplankton classes are also distinguished in respiration rate, temperature limitation and grazing rate. Top-down zooplankton control also differs according to food source availability. Organic matter in the water column results from imperfect assimilation by zooplankton, and phytoplankton and zooplankton mortality, and is remineralized instantly.</w:t>
      </w:r>
      <w:r w:rsidR="00FA0B0F" w:rsidRPr="00396AC6">
        <w:t xml:space="preserve"> The full alterations to the </w:t>
      </w:r>
      <w:proofErr w:type="spellStart"/>
      <w:r w:rsidR="00971131" w:rsidRPr="00971131">
        <w:rPr>
          <w:rFonts w:cstheme="minorHAnsi"/>
        </w:rPr>
        <w:t>EcoGENIE</w:t>
      </w:r>
      <w:proofErr w:type="spellEnd"/>
      <w:r w:rsidR="00FA0B0F" w:rsidRPr="00396AC6">
        <w:t xml:space="preserve"> model provided by the ECOGEM package are described by Ward et al</w:t>
      </w:r>
      <w:r w:rsidR="00971131">
        <w:t>.</w:t>
      </w:r>
      <w:r w:rsidR="00FA0B0F" w:rsidRPr="00396AC6">
        <w:t xml:space="preserve"> (2018). </w:t>
      </w:r>
      <w:r w:rsidR="00793EF0" w:rsidRPr="00396AC6">
        <w:t xml:space="preserve"> </w:t>
      </w:r>
    </w:p>
    <w:p w14:paraId="4FBAA620" w14:textId="51344AD9" w:rsidR="00396AC6" w:rsidRDefault="00FA0B0F" w:rsidP="00921188">
      <w:r w:rsidRPr="00396AC6">
        <w:t>The RCP</w:t>
      </w:r>
      <w:r w:rsidR="00971131">
        <w:t xml:space="preserve"> </w:t>
      </w:r>
      <w:r w:rsidRPr="00396AC6">
        <w:t xml:space="preserve">8.5 scenario utilized in this model </w:t>
      </w:r>
      <w:r w:rsidR="00853BF6" w:rsidRPr="00396AC6">
        <w:t xml:space="preserve">(Fig. 1) </w:t>
      </w:r>
      <w:r w:rsidRPr="00396AC6">
        <w:t>is sourced from a series of greenhouse gas emission projections described by Moss et al. (2010)</w:t>
      </w:r>
      <w:r w:rsidR="0007780B" w:rsidRPr="00396AC6">
        <w:t>. Out of these, the RCP</w:t>
      </w:r>
      <w:r w:rsidR="00971131">
        <w:t xml:space="preserve"> 8</w:t>
      </w:r>
      <w:r w:rsidR="0007780B" w:rsidRPr="00396AC6">
        <w:t xml:space="preserve">.5 scenario </w:t>
      </w:r>
      <w:r w:rsidRPr="00396AC6">
        <w:t>represents the pathway with the highest relative greenhouse gas emissions scenario.</w:t>
      </w:r>
      <w:r w:rsidR="0007780B" w:rsidRPr="00396AC6">
        <w:t xml:space="preserve"> </w:t>
      </w:r>
      <w:r w:rsidRPr="00396AC6">
        <w:t>The use of ‘worst-case scenario’ projections here is used because it should result in the most extreme and therefore most easily identifiable changes in plankton community composition.</w:t>
      </w:r>
    </w:p>
    <w:p w14:paraId="665DAE2B" w14:textId="32EFA667" w:rsidR="00396AC6" w:rsidRDefault="00396AC6" w:rsidP="00921188"/>
    <w:p w14:paraId="53A8777B" w14:textId="735998AA" w:rsidR="00FE614E" w:rsidRDefault="00FE614E" w:rsidP="00921188"/>
    <w:p w14:paraId="4F42A85E" w14:textId="77777777" w:rsidR="00FE614E" w:rsidRPr="00396AC6" w:rsidRDefault="00FE614E" w:rsidP="00921188"/>
    <w:p w14:paraId="21905B24" w14:textId="3A053B8F" w:rsidR="00853BF6" w:rsidRPr="00853BF6" w:rsidRDefault="00853BF6" w:rsidP="00921188">
      <w:pPr>
        <w:rPr>
          <w:b/>
          <w:bCs/>
          <w:sz w:val="24"/>
          <w:szCs w:val="24"/>
        </w:rPr>
      </w:pPr>
      <w:r w:rsidRPr="00853BF6">
        <w:rPr>
          <w:b/>
          <w:bCs/>
          <w:sz w:val="24"/>
          <w:szCs w:val="24"/>
        </w:rPr>
        <w:t>A</w:t>
      </w:r>
    </w:p>
    <w:p w14:paraId="483A122C" w14:textId="19872B78" w:rsidR="00211BC6" w:rsidRPr="001C683B" w:rsidRDefault="00853BF6" w:rsidP="00921188">
      <w:pPr>
        <w:rPr>
          <w:b/>
          <w:bCs/>
        </w:rPr>
      </w:pPr>
      <w:r>
        <w:rPr>
          <w:b/>
          <w:bCs/>
          <w:noProof/>
          <w:sz w:val="36"/>
          <w:szCs w:val="36"/>
        </w:rPr>
        <w:drawing>
          <wp:inline distT="0" distB="0" distL="0" distR="0" wp14:anchorId="719B472C" wp14:editId="6D06661B">
            <wp:extent cx="5664491" cy="1917799"/>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64491" cy="1917799"/>
                    </a:xfrm>
                    <a:prstGeom prst="rect">
                      <a:avLst/>
                    </a:prstGeom>
                  </pic:spPr>
                </pic:pic>
              </a:graphicData>
            </a:graphic>
          </wp:inline>
        </w:drawing>
      </w:r>
    </w:p>
    <w:p w14:paraId="3EC961AC" w14:textId="00FC894C" w:rsidR="00396AC6" w:rsidRDefault="00396AC6" w:rsidP="00921188">
      <w:pPr>
        <w:rPr>
          <w:b/>
          <w:bCs/>
          <w:sz w:val="24"/>
          <w:szCs w:val="24"/>
        </w:rPr>
      </w:pPr>
    </w:p>
    <w:p w14:paraId="58ADAAC3" w14:textId="42D349F7" w:rsidR="00211BC6" w:rsidRPr="00853BF6" w:rsidRDefault="00853BF6" w:rsidP="00921188">
      <w:pPr>
        <w:rPr>
          <w:b/>
          <w:bCs/>
          <w:sz w:val="24"/>
          <w:szCs w:val="24"/>
        </w:rPr>
      </w:pPr>
      <w:r w:rsidRPr="00853BF6">
        <w:rPr>
          <w:b/>
          <w:bCs/>
          <w:sz w:val="24"/>
          <w:szCs w:val="24"/>
        </w:rPr>
        <w:t>B</w:t>
      </w:r>
    </w:p>
    <w:p w14:paraId="64A2BF1D" w14:textId="0536E8BB" w:rsidR="00853BF6" w:rsidRDefault="00853BF6" w:rsidP="00921188">
      <w:pPr>
        <w:rPr>
          <w:b/>
          <w:bCs/>
        </w:rPr>
      </w:pPr>
      <w:r>
        <w:rPr>
          <w:b/>
          <w:bCs/>
          <w:noProof/>
        </w:rPr>
        <w:drawing>
          <wp:inline distT="0" distB="0" distL="0" distR="0" wp14:anchorId="268AF81F" wp14:editId="091962AB">
            <wp:extent cx="5664491" cy="208290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64491" cy="2082907"/>
                    </a:xfrm>
                    <a:prstGeom prst="rect">
                      <a:avLst/>
                    </a:prstGeom>
                  </pic:spPr>
                </pic:pic>
              </a:graphicData>
            </a:graphic>
          </wp:inline>
        </w:drawing>
      </w:r>
    </w:p>
    <w:p w14:paraId="31CF9783" w14:textId="5C8EBCD1" w:rsidR="00853BF6" w:rsidRPr="00853BF6" w:rsidRDefault="00853BF6" w:rsidP="00921188">
      <w:pPr>
        <w:rPr>
          <w:i/>
          <w:iCs/>
          <w:sz w:val="20"/>
          <w:szCs w:val="20"/>
        </w:rPr>
      </w:pPr>
      <w:r w:rsidRPr="00853BF6">
        <w:rPr>
          <w:b/>
          <w:bCs/>
          <w:i/>
          <w:iCs/>
          <w:sz w:val="20"/>
          <w:szCs w:val="20"/>
        </w:rPr>
        <w:t>Figure 1</w:t>
      </w:r>
      <w:r>
        <w:rPr>
          <w:i/>
          <w:iCs/>
          <w:sz w:val="20"/>
          <w:szCs w:val="20"/>
        </w:rPr>
        <w:t xml:space="preserve"> -</w:t>
      </w:r>
      <w:r w:rsidRPr="00853BF6">
        <w:rPr>
          <w:i/>
          <w:iCs/>
          <w:sz w:val="20"/>
          <w:szCs w:val="20"/>
        </w:rPr>
        <w:t xml:space="preserve"> Increasing atmospheric CO</w:t>
      </w:r>
      <w:r w:rsidRPr="00853BF6">
        <w:rPr>
          <w:i/>
          <w:iCs/>
          <w:sz w:val="20"/>
          <w:szCs w:val="20"/>
          <w:vertAlign w:val="subscript"/>
        </w:rPr>
        <w:t>2</w:t>
      </w:r>
      <w:r w:rsidRPr="00853BF6">
        <w:rPr>
          <w:i/>
          <w:iCs/>
          <w:sz w:val="20"/>
          <w:szCs w:val="20"/>
        </w:rPr>
        <w:t xml:space="preserve"> </w:t>
      </w:r>
      <w:r w:rsidRPr="00853BF6">
        <w:rPr>
          <w:b/>
          <w:bCs/>
          <w:i/>
          <w:iCs/>
          <w:sz w:val="20"/>
          <w:szCs w:val="20"/>
        </w:rPr>
        <w:t xml:space="preserve">(A) </w:t>
      </w:r>
      <w:r w:rsidRPr="00853BF6">
        <w:rPr>
          <w:i/>
          <w:iCs/>
          <w:sz w:val="20"/>
          <w:szCs w:val="20"/>
        </w:rPr>
        <w:t xml:space="preserve">and global mean SST </w:t>
      </w:r>
      <w:r w:rsidRPr="00853BF6">
        <w:rPr>
          <w:b/>
          <w:bCs/>
          <w:i/>
          <w:iCs/>
          <w:sz w:val="20"/>
          <w:szCs w:val="20"/>
        </w:rPr>
        <w:t>(B)</w:t>
      </w:r>
      <w:r w:rsidRPr="00853BF6">
        <w:rPr>
          <w:i/>
          <w:iCs/>
          <w:sz w:val="20"/>
          <w:szCs w:val="20"/>
        </w:rPr>
        <w:t xml:space="preserve"> from 1765-2010 (highlighted in grey) from 2010 to 2100. </w:t>
      </w:r>
    </w:p>
    <w:p w14:paraId="505C835B" w14:textId="77777777" w:rsidR="00853BF6" w:rsidRPr="001C683B" w:rsidRDefault="00853BF6" w:rsidP="00921188">
      <w:pPr>
        <w:rPr>
          <w:b/>
          <w:bCs/>
        </w:rPr>
      </w:pPr>
    </w:p>
    <w:p w14:paraId="340EC560" w14:textId="77777777" w:rsidR="0007780B" w:rsidRDefault="0007780B" w:rsidP="00921188">
      <w:pPr>
        <w:rPr>
          <w:b/>
          <w:bCs/>
        </w:rPr>
      </w:pPr>
    </w:p>
    <w:p w14:paraId="24F43B6D" w14:textId="7C875C49" w:rsidR="005650AE" w:rsidRDefault="00B367B3" w:rsidP="00921188">
      <w:pPr>
        <w:rPr>
          <w:b/>
          <w:bCs/>
          <w:sz w:val="36"/>
          <w:szCs w:val="36"/>
        </w:rPr>
      </w:pPr>
      <w:r w:rsidRPr="00B367B3">
        <w:rPr>
          <w:b/>
          <w:bCs/>
          <w:sz w:val="36"/>
          <w:szCs w:val="36"/>
        </w:rPr>
        <w:t>Resul</w:t>
      </w:r>
      <w:r w:rsidR="005650AE">
        <w:rPr>
          <w:b/>
          <w:bCs/>
          <w:sz w:val="36"/>
          <w:szCs w:val="36"/>
        </w:rPr>
        <w:t>ts</w:t>
      </w:r>
    </w:p>
    <w:p w14:paraId="6FEC4F4F" w14:textId="77777777" w:rsidR="00E2232E" w:rsidRDefault="00E2232E" w:rsidP="00921188">
      <w:pPr>
        <w:rPr>
          <w:b/>
          <w:bCs/>
          <w:sz w:val="36"/>
          <w:szCs w:val="36"/>
        </w:rPr>
      </w:pPr>
    </w:p>
    <w:p w14:paraId="2B604E00" w14:textId="2B1B702B" w:rsidR="00396AC6" w:rsidRDefault="00396AC6">
      <w:r>
        <w:t>D</w:t>
      </w:r>
      <w:r w:rsidR="00555F88">
        <w:t>ifference</w:t>
      </w:r>
      <w:r>
        <w:t>s</w:t>
      </w:r>
      <w:r w:rsidR="00555F88">
        <w:t xml:space="preserve"> i</w:t>
      </w:r>
      <w:r>
        <w:t>n SST are</w:t>
      </w:r>
      <w:r w:rsidR="00555F88">
        <w:t xml:space="preserve"> most pronounced at the equator and at high latitudes in the Pacific, and generally decrease with distance from the equator</w:t>
      </w:r>
      <w:r>
        <w:t xml:space="preserve"> (Fig. </w:t>
      </w:r>
      <w:r w:rsidR="00971131">
        <w:t>2</w:t>
      </w:r>
      <w:r>
        <w:t>)</w:t>
      </w:r>
      <w:r w:rsidR="00555F88">
        <w:t xml:space="preserve">; </w:t>
      </w:r>
      <w:r w:rsidR="00D76ED9">
        <w:t>in</w:t>
      </w:r>
      <w:r w:rsidR="00555F88">
        <w:t xml:space="preserve"> the Arctic and </w:t>
      </w:r>
      <w:r w:rsidR="00945D3D">
        <w:t>Southern</w:t>
      </w:r>
      <w:r w:rsidR="00555F88">
        <w:t xml:space="preserve"> oceans the increase is far less pronounced. </w:t>
      </w:r>
    </w:p>
    <w:p w14:paraId="56AADF36" w14:textId="74420BCB" w:rsidR="00971131" w:rsidRDefault="00971131"/>
    <w:p w14:paraId="1E4EF3DC" w14:textId="43E6E59A" w:rsidR="00B60483" w:rsidRDefault="00B60483">
      <w:r>
        <w:rPr>
          <w:noProof/>
        </w:rPr>
        <w:drawing>
          <wp:inline distT="0" distB="0" distL="0" distR="0" wp14:anchorId="626B1A6E" wp14:editId="4975B67E">
            <wp:extent cx="4813300" cy="2824734"/>
            <wp:effectExtent l="0" t="0" r="6350" b="0"/>
            <wp:docPr id="20" name="Picture 20" descr="A picture containing text, aircraft,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aircraft, transpo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22928" cy="2830385"/>
                    </a:xfrm>
                    <a:prstGeom prst="rect">
                      <a:avLst/>
                    </a:prstGeom>
                  </pic:spPr>
                </pic:pic>
              </a:graphicData>
            </a:graphic>
          </wp:inline>
        </w:drawing>
      </w:r>
    </w:p>
    <w:p w14:paraId="2949248C" w14:textId="3C01AA5E" w:rsidR="00B60483" w:rsidRDefault="00B60483" w:rsidP="00B60483">
      <w:pPr>
        <w:rPr>
          <w:sz w:val="20"/>
          <w:szCs w:val="20"/>
        </w:rPr>
      </w:pPr>
      <w:r w:rsidRPr="00FE614E">
        <w:rPr>
          <w:b/>
          <w:bCs/>
          <w:sz w:val="20"/>
          <w:szCs w:val="20"/>
        </w:rPr>
        <w:t xml:space="preserve">Figure </w:t>
      </w:r>
      <w:r w:rsidR="00FF06CD">
        <w:rPr>
          <w:b/>
          <w:bCs/>
          <w:sz w:val="20"/>
          <w:szCs w:val="20"/>
        </w:rPr>
        <w:t>2</w:t>
      </w:r>
      <w:r w:rsidRPr="00FE614E">
        <w:rPr>
          <w:sz w:val="20"/>
          <w:szCs w:val="20"/>
        </w:rPr>
        <w:t xml:space="preserve"> – </w:t>
      </w:r>
      <w:r>
        <w:rPr>
          <w:sz w:val="20"/>
          <w:szCs w:val="20"/>
        </w:rPr>
        <w:t>Global variation in relative increase between RCP 8.5 and Control predicted sea surface temperature</w:t>
      </w:r>
      <w:r w:rsidR="00EC24C6">
        <w:rPr>
          <w:sz w:val="20"/>
          <w:szCs w:val="20"/>
        </w:rPr>
        <w:t>.</w:t>
      </w:r>
    </w:p>
    <w:p w14:paraId="1964CFE6" w14:textId="69053CE1" w:rsidR="001E6E62" w:rsidRPr="00E2232E" w:rsidRDefault="00B01EA9">
      <w:r>
        <w:lastRenderedPageBreak/>
        <w:t>P</w:t>
      </w:r>
      <w:r w:rsidR="00E2232E">
        <w:t xml:space="preserve">olar regions also present different changes in predicted mixed layer depth (Fig. </w:t>
      </w:r>
      <w:r w:rsidR="00B60483">
        <w:t>3</w:t>
      </w:r>
      <w:r w:rsidR="00E2232E">
        <w:t>). At high</w:t>
      </w:r>
      <w:r w:rsidR="00971131">
        <w:t xml:space="preserve"> latitudes</w:t>
      </w:r>
      <w:r w:rsidR="00E2232E">
        <w:t xml:space="preserve">, a decrease in mixed layer depth is observed. Unlike sea surface temperature however, predicted mixed layer depth is more and more similar closer to the equator, where it is </w:t>
      </w:r>
      <w:r w:rsidR="00B60483">
        <w:t>unchanged</w:t>
      </w:r>
      <w:r w:rsidR="00E2232E">
        <w:t xml:space="preserve">.  </w:t>
      </w:r>
    </w:p>
    <w:p w14:paraId="2ECE78F9" w14:textId="078120F8" w:rsidR="00396AC6" w:rsidRDefault="00396AC6"/>
    <w:p w14:paraId="7FDA7EFD" w14:textId="10DE9422" w:rsidR="00EC24C6" w:rsidRDefault="00EC24C6">
      <w:r>
        <w:rPr>
          <w:noProof/>
        </w:rPr>
        <w:drawing>
          <wp:inline distT="0" distB="0" distL="0" distR="0" wp14:anchorId="45E59153" wp14:editId="2A0B9A1A">
            <wp:extent cx="4920828" cy="2863850"/>
            <wp:effectExtent l="0" t="0" r="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7302" cy="2867618"/>
                    </a:xfrm>
                    <a:prstGeom prst="rect">
                      <a:avLst/>
                    </a:prstGeom>
                  </pic:spPr>
                </pic:pic>
              </a:graphicData>
            </a:graphic>
          </wp:inline>
        </w:drawing>
      </w:r>
    </w:p>
    <w:p w14:paraId="21D7D699" w14:textId="126A18CC" w:rsidR="00396AC6" w:rsidRDefault="001E6E62">
      <w:pPr>
        <w:rPr>
          <w:sz w:val="20"/>
          <w:szCs w:val="20"/>
        </w:rPr>
      </w:pPr>
      <w:r w:rsidRPr="001E6E62">
        <w:rPr>
          <w:b/>
          <w:bCs/>
          <w:sz w:val="20"/>
          <w:szCs w:val="20"/>
        </w:rPr>
        <w:t xml:space="preserve">Figure </w:t>
      </w:r>
      <w:r w:rsidR="00B60483">
        <w:rPr>
          <w:b/>
          <w:bCs/>
          <w:sz w:val="20"/>
          <w:szCs w:val="20"/>
        </w:rPr>
        <w:t>3</w:t>
      </w:r>
      <w:r w:rsidRPr="001E6E62">
        <w:rPr>
          <w:sz w:val="20"/>
          <w:szCs w:val="20"/>
        </w:rPr>
        <w:t xml:space="preserve"> – </w:t>
      </w:r>
      <w:r w:rsidR="00EC24C6">
        <w:rPr>
          <w:sz w:val="20"/>
          <w:szCs w:val="20"/>
        </w:rPr>
        <w:t>Global variation in relative increase between Control and RCP 8.5 predicted sea surface temperature</w:t>
      </w:r>
      <w:r w:rsidRPr="001E6E62">
        <w:rPr>
          <w:sz w:val="20"/>
          <w:szCs w:val="20"/>
        </w:rPr>
        <w:t xml:space="preserve">.  </w:t>
      </w:r>
    </w:p>
    <w:p w14:paraId="1573F1FA" w14:textId="77777777" w:rsidR="00B60483" w:rsidRPr="001E6E62" w:rsidRDefault="00B60483">
      <w:pPr>
        <w:rPr>
          <w:sz w:val="20"/>
          <w:szCs w:val="20"/>
        </w:rPr>
      </w:pPr>
    </w:p>
    <w:p w14:paraId="141CAEDB" w14:textId="60F4048B" w:rsidR="0036609E" w:rsidRDefault="00E2232E">
      <w:r>
        <w:t>Ocean surface nutrient predictions also differ in polar waters (Fig. 3). Control surface phosphate predictions are equivalent at the equator, and at high and low latitudes higher than in the RCP</w:t>
      </w:r>
      <w:r w:rsidR="00B60483">
        <w:t xml:space="preserve"> </w:t>
      </w:r>
      <w:r>
        <w:t>8.5 scenario</w:t>
      </w:r>
      <w:r w:rsidR="00B60483">
        <w:t xml:space="preserve"> (Fig 3A)</w:t>
      </w:r>
      <w:r>
        <w:t>. Dissolved surface iron shows almost the opposite pattern; it is higher in the RCP</w:t>
      </w:r>
      <w:r w:rsidR="00B60483">
        <w:t xml:space="preserve"> </w:t>
      </w:r>
      <w:r>
        <w:t>8.5 scenario predictions outside the polar regions, and lower closer to the equator</w:t>
      </w:r>
      <w:r w:rsidR="00B60483">
        <w:t xml:space="preserve"> (Fig 3B)</w:t>
      </w:r>
      <w:r>
        <w:t xml:space="preserve">. </w:t>
      </w:r>
    </w:p>
    <w:p w14:paraId="6427F9DA" w14:textId="77777777" w:rsidR="00B60483" w:rsidRDefault="00B60483"/>
    <w:p w14:paraId="59738E46" w14:textId="4125E999" w:rsidR="001E6E62" w:rsidRPr="001E6E62" w:rsidRDefault="001E6E62">
      <w:pPr>
        <w:rPr>
          <w:b/>
          <w:bCs/>
          <w:sz w:val="24"/>
          <w:szCs w:val="24"/>
        </w:rPr>
      </w:pPr>
      <w:r w:rsidRPr="001E6E62">
        <w:rPr>
          <w:b/>
          <w:bCs/>
          <w:sz w:val="24"/>
          <w:szCs w:val="24"/>
        </w:rPr>
        <w:t>A</w:t>
      </w:r>
    </w:p>
    <w:p w14:paraId="651C6D77" w14:textId="79BCCF50" w:rsidR="00396AC6" w:rsidRDefault="001E6E62">
      <w:r>
        <w:rPr>
          <w:noProof/>
        </w:rPr>
        <w:drawing>
          <wp:inline distT="0" distB="0" distL="0" distR="0" wp14:anchorId="5B6A2C71" wp14:editId="5306442B">
            <wp:extent cx="4465633" cy="2305050"/>
            <wp:effectExtent l="0" t="0" r="0"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6907" cy="2321193"/>
                    </a:xfrm>
                    <a:prstGeom prst="rect">
                      <a:avLst/>
                    </a:prstGeom>
                  </pic:spPr>
                </pic:pic>
              </a:graphicData>
            </a:graphic>
          </wp:inline>
        </w:drawing>
      </w:r>
    </w:p>
    <w:p w14:paraId="63E3C09D" w14:textId="77777777" w:rsidR="0074532D" w:rsidRDefault="0074532D">
      <w:pPr>
        <w:rPr>
          <w:b/>
          <w:bCs/>
          <w:sz w:val="24"/>
          <w:szCs w:val="24"/>
        </w:rPr>
      </w:pPr>
    </w:p>
    <w:p w14:paraId="367546A7" w14:textId="3C354D50" w:rsidR="00396AC6" w:rsidRPr="001E6E62" w:rsidRDefault="001E6E62">
      <w:pPr>
        <w:rPr>
          <w:b/>
          <w:bCs/>
          <w:sz w:val="24"/>
          <w:szCs w:val="24"/>
        </w:rPr>
      </w:pPr>
      <w:r w:rsidRPr="001E6E62">
        <w:rPr>
          <w:b/>
          <w:bCs/>
          <w:sz w:val="24"/>
          <w:szCs w:val="24"/>
        </w:rPr>
        <w:lastRenderedPageBreak/>
        <w:t>B</w:t>
      </w:r>
    </w:p>
    <w:p w14:paraId="678C6C03" w14:textId="60614ED0" w:rsidR="001E6E62" w:rsidRDefault="0036609E">
      <w:r>
        <w:rPr>
          <w:noProof/>
        </w:rPr>
        <w:drawing>
          <wp:inline distT="0" distB="0" distL="0" distR="0" wp14:anchorId="10195ABB" wp14:editId="3A6383E2">
            <wp:extent cx="4480892" cy="24003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2299" cy="2411767"/>
                    </a:xfrm>
                    <a:prstGeom prst="rect">
                      <a:avLst/>
                    </a:prstGeom>
                  </pic:spPr>
                </pic:pic>
              </a:graphicData>
            </a:graphic>
          </wp:inline>
        </w:drawing>
      </w:r>
    </w:p>
    <w:p w14:paraId="541522A5" w14:textId="5B3CC4C6" w:rsidR="00396AC6" w:rsidRPr="0036609E" w:rsidRDefault="0036609E">
      <w:pPr>
        <w:rPr>
          <w:sz w:val="20"/>
          <w:szCs w:val="20"/>
        </w:rPr>
      </w:pPr>
      <w:r w:rsidRPr="0036609E">
        <w:rPr>
          <w:b/>
          <w:bCs/>
          <w:sz w:val="20"/>
          <w:szCs w:val="20"/>
        </w:rPr>
        <w:t xml:space="preserve">Figure </w:t>
      </w:r>
      <w:r w:rsidR="00FF06CD">
        <w:rPr>
          <w:b/>
          <w:bCs/>
          <w:sz w:val="20"/>
          <w:szCs w:val="20"/>
        </w:rPr>
        <w:t>4</w:t>
      </w:r>
      <w:r w:rsidRPr="0036609E">
        <w:rPr>
          <w:sz w:val="20"/>
          <w:szCs w:val="20"/>
        </w:rPr>
        <w:t xml:space="preserve"> – </w:t>
      </w:r>
      <w:r w:rsidR="00395538">
        <w:rPr>
          <w:sz w:val="20"/>
          <w:szCs w:val="20"/>
        </w:rPr>
        <w:t xml:space="preserve">Variation in </w:t>
      </w:r>
      <w:r w:rsidR="00D80110">
        <w:rPr>
          <w:sz w:val="20"/>
          <w:szCs w:val="20"/>
        </w:rPr>
        <w:t>C</w:t>
      </w:r>
      <w:r w:rsidR="00FE614E">
        <w:rPr>
          <w:sz w:val="20"/>
          <w:szCs w:val="20"/>
        </w:rPr>
        <w:t xml:space="preserve">ontrol and RCP </w:t>
      </w:r>
      <w:r w:rsidR="00395538">
        <w:rPr>
          <w:sz w:val="20"/>
          <w:szCs w:val="20"/>
        </w:rPr>
        <w:t xml:space="preserve">8.5 </w:t>
      </w:r>
      <w:r w:rsidR="00FE614E">
        <w:rPr>
          <w:sz w:val="20"/>
          <w:szCs w:val="20"/>
        </w:rPr>
        <w:t>p</w:t>
      </w:r>
      <w:r w:rsidRPr="0036609E">
        <w:rPr>
          <w:sz w:val="20"/>
          <w:szCs w:val="20"/>
        </w:rPr>
        <w:t xml:space="preserve">redicted average </w:t>
      </w:r>
      <w:r w:rsidR="00395538">
        <w:rPr>
          <w:sz w:val="20"/>
          <w:szCs w:val="20"/>
        </w:rPr>
        <w:t xml:space="preserve">latitudinal </w:t>
      </w:r>
      <w:r w:rsidRPr="0036609E">
        <w:rPr>
          <w:sz w:val="20"/>
          <w:szCs w:val="20"/>
        </w:rPr>
        <w:t>surface phosphate</w:t>
      </w:r>
      <w:r>
        <w:rPr>
          <w:sz w:val="20"/>
          <w:szCs w:val="20"/>
        </w:rPr>
        <w:t xml:space="preserve"> </w:t>
      </w:r>
      <w:r w:rsidRPr="0036609E">
        <w:rPr>
          <w:b/>
          <w:bCs/>
          <w:sz w:val="20"/>
          <w:szCs w:val="20"/>
        </w:rPr>
        <w:t>(A)</w:t>
      </w:r>
      <w:r w:rsidRPr="0036609E">
        <w:rPr>
          <w:sz w:val="20"/>
          <w:szCs w:val="20"/>
        </w:rPr>
        <w:t xml:space="preserve"> and iron</w:t>
      </w:r>
      <w:r>
        <w:rPr>
          <w:sz w:val="20"/>
          <w:szCs w:val="20"/>
        </w:rPr>
        <w:t xml:space="preserve"> </w:t>
      </w:r>
      <w:r w:rsidRPr="0036609E">
        <w:rPr>
          <w:b/>
          <w:bCs/>
          <w:sz w:val="20"/>
          <w:szCs w:val="20"/>
        </w:rPr>
        <w:t>(B)</w:t>
      </w:r>
      <w:r w:rsidRPr="0036609E">
        <w:rPr>
          <w:sz w:val="20"/>
          <w:szCs w:val="20"/>
        </w:rPr>
        <w:t xml:space="preserve"> concentrations in 2100.</w:t>
      </w:r>
    </w:p>
    <w:p w14:paraId="592503C9" w14:textId="77777777" w:rsidR="00E2232E" w:rsidRPr="00FE614E" w:rsidRDefault="00E2232E" w:rsidP="00E2232E">
      <w:pPr>
        <w:rPr>
          <w:sz w:val="20"/>
          <w:szCs w:val="20"/>
        </w:rPr>
      </w:pPr>
    </w:p>
    <w:p w14:paraId="12143C00" w14:textId="6875C0F2" w:rsidR="0036609E" w:rsidRDefault="00E2232E" w:rsidP="00B6713A">
      <w:r>
        <w:t xml:space="preserve">Particulate Organic Carbon (POC) export flux is decreased in the RCP 8.5 scenario model predictions compared to the control scenario at most latitudes (Fig. </w:t>
      </w:r>
      <w:r w:rsidR="00FF06CD">
        <w:t>5</w:t>
      </w:r>
      <w:r>
        <w:t xml:space="preserve">). The opposite is true however for Southern Ocean waters. These trends are mostly reflected in total plankton carbon biomass (Fig. </w:t>
      </w:r>
      <w:r w:rsidR="00FF06CD">
        <w:t>6</w:t>
      </w:r>
      <w:r>
        <w:t xml:space="preserve">). Here though, the Antarctic predictions are no different from other latitudes; predictions are globally lower than in the control scenario. Likewise, chlorophyll biomass is lower globally (Fig. </w:t>
      </w:r>
      <w:r w:rsidR="00FF06CD">
        <w:t>7</w:t>
      </w:r>
      <w:r>
        <w:t xml:space="preserve">).  </w:t>
      </w:r>
    </w:p>
    <w:p w14:paraId="3A689B5E" w14:textId="5A1D413C" w:rsidR="0036609E" w:rsidRDefault="0036609E" w:rsidP="00B6713A"/>
    <w:p w14:paraId="2F5C7DB4" w14:textId="647535E7" w:rsidR="0036609E" w:rsidRDefault="0036609E" w:rsidP="00B6713A">
      <w:r>
        <w:rPr>
          <w:noProof/>
        </w:rPr>
        <w:drawing>
          <wp:inline distT="0" distB="0" distL="0" distR="0" wp14:anchorId="7FA1D4C7" wp14:editId="0C420EAC">
            <wp:extent cx="4648200" cy="2421947"/>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47214" cy="2473538"/>
                    </a:xfrm>
                    <a:prstGeom prst="rect">
                      <a:avLst/>
                    </a:prstGeom>
                  </pic:spPr>
                </pic:pic>
              </a:graphicData>
            </a:graphic>
          </wp:inline>
        </w:drawing>
      </w:r>
    </w:p>
    <w:p w14:paraId="67B251C9" w14:textId="1E4C6A97" w:rsidR="00FE614E" w:rsidRDefault="0036609E">
      <w:pPr>
        <w:rPr>
          <w:sz w:val="20"/>
          <w:szCs w:val="20"/>
        </w:rPr>
      </w:pPr>
      <w:r w:rsidRPr="00FE614E">
        <w:rPr>
          <w:b/>
          <w:bCs/>
          <w:sz w:val="20"/>
          <w:szCs w:val="20"/>
        </w:rPr>
        <w:t xml:space="preserve">Figure </w:t>
      </w:r>
      <w:r w:rsidR="00FF06CD">
        <w:rPr>
          <w:b/>
          <w:bCs/>
          <w:sz w:val="20"/>
          <w:szCs w:val="20"/>
        </w:rPr>
        <w:t>5</w:t>
      </w:r>
      <w:r w:rsidRPr="00FE614E">
        <w:rPr>
          <w:sz w:val="20"/>
          <w:szCs w:val="20"/>
        </w:rPr>
        <w:t xml:space="preserve"> – </w:t>
      </w:r>
      <w:r w:rsidR="00395538">
        <w:rPr>
          <w:sz w:val="20"/>
          <w:szCs w:val="20"/>
        </w:rPr>
        <w:t>Variation in Control and RCP 8.5 p</w:t>
      </w:r>
      <w:r w:rsidR="00395538" w:rsidRPr="0036609E">
        <w:rPr>
          <w:sz w:val="20"/>
          <w:szCs w:val="20"/>
        </w:rPr>
        <w:t xml:space="preserve">redicted average </w:t>
      </w:r>
      <w:r w:rsidR="00395538">
        <w:rPr>
          <w:sz w:val="20"/>
          <w:szCs w:val="20"/>
        </w:rPr>
        <w:t xml:space="preserve">latitudinal </w:t>
      </w:r>
      <w:r w:rsidRPr="00FE614E">
        <w:rPr>
          <w:sz w:val="20"/>
          <w:szCs w:val="20"/>
        </w:rPr>
        <w:t>POC export in 2100</w:t>
      </w:r>
      <w:r w:rsidR="00FE614E">
        <w:rPr>
          <w:sz w:val="20"/>
          <w:szCs w:val="20"/>
        </w:rPr>
        <w:t>.</w:t>
      </w:r>
      <w:r w:rsidR="00FE614E" w:rsidRPr="00FE614E">
        <w:rPr>
          <w:sz w:val="20"/>
          <w:szCs w:val="20"/>
        </w:rPr>
        <w:t xml:space="preserve"> </w:t>
      </w:r>
    </w:p>
    <w:p w14:paraId="1B649525" w14:textId="77777777" w:rsidR="00AF0A4D" w:rsidRPr="00AF0A4D" w:rsidRDefault="00AF0A4D">
      <w:pPr>
        <w:rPr>
          <w:sz w:val="20"/>
          <w:szCs w:val="20"/>
        </w:rPr>
      </w:pPr>
    </w:p>
    <w:p w14:paraId="7980738A" w14:textId="4FDD7EB3" w:rsidR="00AF0A4D" w:rsidRDefault="00FE614E">
      <w:r>
        <w:rPr>
          <w:noProof/>
        </w:rPr>
        <w:lastRenderedPageBreak/>
        <w:drawing>
          <wp:inline distT="0" distB="0" distL="0" distR="0" wp14:anchorId="782B8A47" wp14:editId="790B4FDB">
            <wp:extent cx="4686300" cy="2421029"/>
            <wp:effectExtent l="0" t="0" r="0" b="0"/>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9359" cy="2484604"/>
                    </a:xfrm>
                    <a:prstGeom prst="rect">
                      <a:avLst/>
                    </a:prstGeom>
                  </pic:spPr>
                </pic:pic>
              </a:graphicData>
            </a:graphic>
          </wp:inline>
        </w:drawing>
      </w:r>
    </w:p>
    <w:p w14:paraId="1BE1DFBC" w14:textId="74A1E7A3" w:rsidR="00AF0A4D" w:rsidRDefault="00FE614E">
      <w:pPr>
        <w:rPr>
          <w:sz w:val="20"/>
          <w:szCs w:val="20"/>
        </w:rPr>
      </w:pPr>
      <w:r w:rsidRPr="00FE614E">
        <w:rPr>
          <w:b/>
          <w:bCs/>
          <w:sz w:val="20"/>
          <w:szCs w:val="20"/>
        </w:rPr>
        <w:t xml:space="preserve">Figure </w:t>
      </w:r>
      <w:r w:rsidR="00FF06CD">
        <w:rPr>
          <w:b/>
          <w:bCs/>
          <w:sz w:val="20"/>
          <w:szCs w:val="20"/>
        </w:rPr>
        <w:t>6</w:t>
      </w:r>
      <w:r w:rsidRPr="00FE614E">
        <w:rPr>
          <w:sz w:val="20"/>
          <w:szCs w:val="20"/>
        </w:rPr>
        <w:t xml:space="preserve"> – </w:t>
      </w:r>
      <w:r w:rsidR="00395538">
        <w:rPr>
          <w:sz w:val="20"/>
          <w:szCs w:val="20"/>
        </w:rPr>
        <w:t>Variation in Control and RCP 8.5 p</w:t>
      </w:r>
      <w:r w:rsidR="00395538" w:rsidRPr="0036609E">
        <w:rPr>
          <w:sz w:val="20"/>
          <w:szCs w:val="20"/>
        </w:rPr>
        <w:t xml:space="preserve">redicted average </w:t>
      </w:r>
      <w:r w:rsidR="00395538">
        <w:rPr>
          <w:sz w:val="20"/>
          <w:szCs w:val="20"/>
        </w:rPr>
        <w:t>latitudinal</w:t>
      </w:r>
      <w:r w:rsidRPr="00FE614E">
        <w:rPr>
          <w:sz w:val="20"/>
          <w:szCs w:val="20"/>
        </w:rPr>
        <w:t xml:space="preserve"> </w:t>
      </w:r>
      <w:r w:rsidR="00E2232E">
        <w:rPr>
          <w:sz w:val="20"/>
          <w:szCs w:val="20"/>
        </w:rPr>
        <w:t>carbon biomass</w:t>
      </w:r>
      <w:r w:rsidRPr="00FE614E">
        <w:rPr>
          <w:sz w:val="20"/>
          <w:szCs w:val="20"/>
        </w:rPr>
        <w:t xml:space="preserve"> in 2100</w:t>
      </w:r>
      <w:r>
        <w:rPr>
          <w:sz w:val="20"/>
          <w:szCs w:val="20"/>
        </w:rPr>
        <w:t>.</w:t>
      </w:r>
      <w:r w:rsidRPr="00FE614E">
        <w:rPr>
          <w:sz w:val="20"/>
          <w:szCs w:val="20"/>
        </w:rPr>
        <w:t xml:space="preserve"> </w:t>
      </w:r>
    </w:p>
    <w:p w14:paraId="19AD361E" w14:textId="77777777" w:rsidR="00AF0A4D" w:rsidRDefault="00AF0A4D">
      <w:pPr>
        <w:rPr>
          <w:sz w:val="20"/>
          <w:szCs w:val="20"/>
        </w:rPr>
      </w:pPr>
    </w:p>
    <w:p w14:paraId="18A65964" w14:textId="7F5285BF" w:rsidR="00FE614E" w:rsidRPr="00AF0A4D" w:rsidRDefault="00FE614E">
      <w:pPr>
        <w:rPr>
          <w:sz w:val="20"/>
          <w:szCs w:val="20"/>
        </w:rPr>
      </w:pPr>
      <w:r>
        <w:rPr>
          <w:noProof/>
        </w:rPr>
        <w:drawing>
          <wp:inline distT="0" distB="0" distL="0" distR="0" wp14:anchorId="55538F0A" wp14:editId="792C01CA">
            <wp:extent cx="4718050" cy="2423319"/>
            <wp:effectExtent l="0" t="0" r="635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91396" cy="2460991"/>
                    </a:xfrm>
                    <a:prstGeom prst="rect">
                      <a:avLst/>
                    </a:prstGeom>
                  </pic:spPr>
                </pic:pic>
              </a:graphicData>
            </a:graphic>
          </wp:inline>
        </w:drawing>
      </w:r>
    </w:p>
    <w:p w14:paraId="7A141E9E" w14:textId="545D672F" w:rsidR="00AF0A4D" w:rsidRDefault="00FE614E">
      <w:pPr>
        <w:rPr>
          <w:sz w:val="20"/>
          <w:szCs w:val="20"/>
        </w:rPr>
      </w:pPr>
      <w:r w:rsidRPr="00FE614E">
        <w:rPr>
          <w:b/>
          <w:bCs/>
          <w:sz w:val="20"/>
          <w:szCs w:val="20"/>
        </w:rPr>
        <w:t xml:space="preserve">Figure </w:t>
      </w:r>
      <w:r w:rsidR="00FF06CD">
        <w:rPr>
          <w:b/>
          <w:bCs/>
          <w:sz w:val="20"/>
          <w:szCs w:val="20"/>
        </w:rPr>
        <w:t>7</w:t>
      </w:r>
      <w:r w:rsidRPr="00FE614E">
        <w:rPr>
          <w:sz w:val="20"/>
          <w:szCs w:val="20"/>
        </w:rPr>
        <w:t xml:space="preserve"> </w:t>
      </w:r>
      <w:r w:rsidR="00395538" w:rsidRPr="00FE614E">
        <w:rPr>
          <w:sz w:val="20"/>
          <w:szCs w:val="20"/>
        </w:rPr>
        <w:t xml:space="preserve">– </w:t>
      </w:r>
      <w:r w:rsidR="00395538">
        <w:rPr>
          <w:sz w:val="20"/>
          <w:szCs w:val="20"/>
        </w:rPr>
        <w:t>Variation in Control and RCP 8.5 p</w:t>
      </w:r>
      <w:r w:rsidR="00395538" w:rsidRPr="0036609E">
        <w:rPr>
          <w:sz w:val="20"/>
          <w:szCs w:val="20"/>
        </w:rPr>
        <w:t xml:space="preserve">redicted average </w:t>
      </w:r>
      <w:r w:rsidR="00395538">
        <w:rPr>
          <w:sz w:val="20"/>
          <w:szCs w:val="20"/>
        </w:rPr>
        <w:t>latitudinal</w:t>
      </w:r>
      <w:r w:rsidR="00395538" w:rsidRPr="00FE614E">
        <w:rPr>
          <w:sz w:val="20"/>
          <w:szCs w:val="20"/>
        </w:rPr>
        <w:t xml:space="preserve"> </w:t>
      </w:r>
      <w:r w:rsidR="00E2232E">
        <w:rPr>
          <w:sz w:val="20"/>
          <w:szCs w:val="20"/>
        </w:rPr>
        <w:t xml:space="preserve">chlorophyll biomass </w:t>
      </w:r>
      <w:r w:rsidRPr="00FE614E">
        <w:rPr>
          <w:sz w:val="20"/>
          <w:szCs w:val="20"/>
        </w:rPr>
        <w:t>in 2100</w:t>
      </w:r>
      <w:r>
        <w:rPr>
          <w:sz w:val="20"/>
          <w:szCs w:val="20"/>
        </w:rPr>
        <w:t>.</w:t>
      </w:r>
      <w:r w:rsidRPr="00FE614E">
        <w:rPr>
          <w:sz w:val="20"/>
          <w:szCs w:val="20"/>
        </w:rPr>
        <w:t xml:space="preserve"> </w:t>
      </w:r>
    </w:p>
    <w:p w14:paraId="7ACAB80A" w14:textId="77777777" w:rsidR="00A1262B" w:rsidRDefault="00A1262B"/>
    <w:p w14:paraId="6FD20F8F" w14:textId="77777777" w:rsidR="00A1262B" w:rsidRDefault="00A1262B"/>
    <w:p w14:paraId="24E3D75E" w14:textId="4E034DF2" w:rsidR="00E2232E" w:rsidRPr="00AF0A4D" w:rsidRDefault="00AA03FE">
      <w:pPr>
        <w:rPr>
          <w:sz w:val="20"/>
          <w:szCs w:val="20"/>
        </w:rPr>
      </w:pPr>
      <w:r>
        <w:t>These biomass differences are not reflective of un</w:t>
      </w:r>
      <w:r w:rsidR="00FF06CD">
        <w:t>iform</w:t>
      </w:r>
      <w:r>
        <w:t xml:space="preserve"> responses in plankton communities.</w:t>
      </w:r>
      <w:r w:rsidR="00FF06CD">
        <w:t xml:space="preserve"> RCP 8.5 </w:t>
      </w:r>
      <w:r>
        <w:t>Picophytoplankton chlorophyll biomass is greater at high and low latitudes</w:t>
      </w:r>
      <w:r w:rsidR="00FF06CD">
        <w:t>, whereas</w:t>
      </w:r>
      <w:r>
        <w:t xml:space="preserve"> Nanophytoplankton chlorophyll biomass is lower globally. On the other hand, </w:t>
      </w:r>
      <w:proofErr w:type="spellStart"/>
      <w:r w:rsidR="00FF06CD">
        <w:t>m</w:t>
      </w:r>
      <w:r>
        <w:t>icrophytoplankton</w:t>
      </w:r>
      <w:proofErr w:type="spellEnd"/>
      <w:r>
        <w:t xml:space="preserve"> chlorophyll biomass is higher in Antarctic waters</w:t>
      </w:r>
      <w:r w:rsidR="00FF06CD">
        <w:t>,</w:t>
      </w:r>
      <w:r>
        <w:t xml:space="preserve"> and consistently lower above. </w:t>
      </w:r>
    </w:p>
    <w:p w14:paraId="6FC6110A" w14:textId="65495E2E" w:rsidR="00AF0A4D" w:rsidRDefault="00AF0A4D"/>
    <w:p w14:paraId="4AAEF782" w14:textId="355A062D" w:rsidR="00B60483" w:rsidRDefault="00B60483"/>
    <w:p w14:paraId="59ABBEEB" w14:textId="2CC81DA8" w:rsidR="00B60483" w:rsidRDefault="00B60483"/>
    <w:p w14:paraId="1426792C" w14:textId="230336DF" w:rsidR="00B60483" w:rsidRDefault="00B60483"/>
    <w:p w14:paraId="212C320F" w14:textId="77777777" w:rsidR="00A1262B" w:rsidRDefault="00A1262B"/>
    <w:p w14:paraId="64888BE0" w14:textId="68ABC833" w:rsidR="00AF0A4D" w:rsidRPr="00AF0A4D" w:rsidRDefault="00AF0A4D">
      <w:pPr>
        <w:rPr>
          <w:b/>
          <w:bCs/>
          <w:sz w:val="24"/>
          <w:szCs w:val="24"/>
        </w:rPr>
      </w:pPr>
      <w:r w:rsidRPr="00AF0A4D">
        <w:rPr>
          <w:b/>
          <w:bCs/>
          <w:sz w:val="24"/>
          <w:szCs w:val="24"/>
        </w:rPr>
        <w:lastRenderedPageBreak/>
        <w:t>A</w:t>
      </w:r>
    </w:p>
    <w:p w14:paraId="53AC500A" w14:textId="02CFDCD6" w:rsidR="00AF0A4D" w:rsidRDefault="00DC3E92">
      <w:r>
        <w:rPr>
          <w:noProof/>
        </w:rPr>
        <w:drawing>
          <wp:inline distT="0" distB="0" distL="0" distR="0" wp14:anchorId="41C1699D" wp14:editId="168D8028">
            <wp:extent cx="3244850" cy="1885579"/>
            <wp:effectExtent l="0" t="0" r="0" b="635"/>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5795" cy="1920994"/>
                    </a:xfrm>
                    <a:prstGeom prst="rect">
                      <a:avLst/>
                    </a:prstGeom>
                  </pic:spPr>
                </pic:pic>
              </a:graphicData>
            </a:graphic>
          </wp:inline>
        </w:drawing>
      </w:r>
    </w:p>
    <w:p w14:paraId="2DEE0A34" w14:textId="200A30A1" w:rsidR="00AF0A4D" w:rsidRPr="00AF0A4D" w:rsidRDefault="00AF0A4D">
      <w:pPr>
        <w:rPr>
          <w:b/>
          <w:bCs/>
          <w:sz w:val="24"/>
          <w:szCs w:val="24"/>
        </w:rPr>
      </w:pPr>
      <w:r w:rsidRPr="00AF0A4D">
        <w:rPr>
          <w:b/>
          <w:bCs/>
          <w:sz w:val="24"/>
          <w:szCs w:val="24"/>
        </w:rPr>
        <w:t>B</w:t>
      </w:r>
    </w:p>
    <w:p w14:paraId="154D17C1" w14:textId="6562BB6E" w:rsidR="00E2232E" w:rsidRDefault="00DC3E92">
      <w:r>
        <w:rPr>
          <w:noProof/>
        </w:rPr>
        <w:drawing>
          <wp:inline distT="0" distB="0" distL="0" distR="0" wp14:anchorId="17BD4F98" wp14:editId="6FAE2CF3">
            <wp:extent cx="3276600" cy="1941058"/>
            <wp:effectExtent l="0" t="0" r="0" b="2540"/>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6880" cy="1953072"/>
                    </a:xfrm>
                    <a:prstGeom prst="rect">
                      <a:avLst/>
                    </a:prstGeom>
                  </pic:spPr>
                </pic:pic>
              </a:graphicData>
            </a:graphic>
          </wp:inline>
        </w:drawing>
      </w:r>
    </w:p>
    <w:p w14:paraId="7435DAD3" w14:textId="41F84BC2" w:rsidR="00E2232E" w:rsidRPr="00AF0A4D" w:rsidRDefault="00AF0A4D">
      <w:pPr>
        <w:rPr>
          <w:b/>
          <w:bCs/>
          <w:sz w:val="24"/>
          <w:szCs w:val="24"/>
        </w:rPr>
      </w:pPr>
      <w:r w:rsidRPr="00AF0A4D">
        <w:rPr>
          <w:b/>
          <w:bCs/>
          <w:sz w:val="24"/>
          <w:szCs w:val="24"/>
        </w:rPr>
        <w:t>C</w:t>
      </w:r>
    </w:p>
    <w:p w14:paraId="3FAC97C2" w14:textId="736FE0C5" w:rsidR="00E2232E" w:rsidRDefault="00AF0A4D">
      <w:r>
        <w:rPr>
          <w:noProof/>
        </w:rPr>
        <w:drawing>
          <wp:inline distT="0" distB="0" distL="0" distR="0" wp14:anchorId="260ECF71" wp14:editId="07C9E049">
            <wp:extent cx="3282950" cy="1926632"/>
            <wp:effectExtent l="0" t="0" r="0" b="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18504" cy="1947497"/>
                    </a:xfrm>
                    <a:prstGeom prst="rect">
                      <a:avLst/>
                    </a:prstGeom>
                  </pic:spPr>
                </pic:pic>
              </a:graphicData>
            </a:graphic>
          </wp:inline>
        </w:drawing>
      </w:r>
    </w:p>
    <w:p w14:paraId="796D232C" w14:textId="1BA8C6AD" w:rsidR="005A4664" w:rsidRDefault="00AF0A4D">
      <w:pPr>
        <w:rPr>
          <w:sz w:val="20"/>
          <w:szCs w:val="20"/>
        </w:rPr>
      </w:pPr>
      <w:r w:rsidRPr="00FE614E">
        <w:rPr>
          <w:b/>
          <w:bCs/>
          <w:sz w:val="20"/>
          <w:szCs w:val="20"/>
        </w:rPr>
        <w:t xml:space="preserve">Figure </w:t>
      </w:r>
      <w:r w:rsidR="00FF06CD">
        <w:rPr>
          <w:b/>
          <w:bCs/>
          <w:sz w:val="20"/>
          <w:szCs w:val="20"/>
        </w:rPr>
        <w:t>8</w:t>
      </w:r>
      <w:r w:rsidRPr="00FE614E">
        <w:rPr>
          <w:sz w:val="20"/>
          <w:szCs w:val="20"/>
        </w:rPr>
        <w:t xml:space="preserve"> – </w:t>
      </w:r>
      <w:r>
        <w:rPr>
          <w:sz w:val="20"/>
          <w:szCs w:val="20"/>
        </w:rPr>
        <w:t xml:space="preserve">Global variation in relative decrease between control and RCP </w:t>
      </w:r>
      <w:r w:rsidR="00B60483">
        <w:rPr>
          <w:sz w:val="20"/>
          <w:szCs w:val="20"/>
        </w:rPr>
        <w:t xml:space="preserve">predicted </w:t>
      </w:r>
      <w:r>
        <w:rPr>
          <w:sz w:val="20"/>
          <w:szCs w:val="20"/>
        </w:rPr>
        <w:t>8.5 pico</w:t>
      </w:r>
      <w:r w:rsidR="005A4664">
        <w:rPr>
          <w:sz w:val="20"/>
          <w:szCs w:val="20"/>
        </w:rPr>
        <w:t>phyto</w:t>
      </w:r>
      <w:r>
        <w:rPr>
          <w:sz w:val="20"/>
          <w:szCs w:val="20"/>
        </w:rPr>
        <w:t xml:space="preserve">plankton </w:t>
      </w:r>
      <w:r w:rsidRPr="00D80110">
        <w:rPr>
          <w:b/>
          <w:bCs/>
          <w:sz w:val="20"/>
          <w:szCs w:val="20"/>
        </w:rPr>
        <w:t>(A)</w:t>
      </w:r>
      <w:r>
        <w:rPr>
          <w:b/>
          <w:bCs/>
          <w:sz w:val="20"/>
          <w:szCs w:val="20"/>
        </w:rPr>
        <w:t xml:space="preserve">, </w:t>
      </w:r>
      <w:r>
        <w:rPr>
          <w:sz w:val="20"/>
          <w:szCs w:val="20"/>
        </w:rPr>
        <w:t>nano</w:t>
      </w:r>
      <w:r w:rsidR="005A4664">
        <w:rPr>
          <w:sz w:val="20"/>
          <w:szCs w:val="20"/>
        </w:rPr>
        <w:t>phyto</w:t>
      </w:r>
      <w:r>
        <w:rPr>
          <w:sz w:val="20"/>
          <w:szCs w:val="20"/>
        </w:rPr>
        <w:t>plankton</w:t>
      </w:r>
      <w:r w:rsidRPr="00D80110">
        <w:rPr>
          <w:b/>
          <w:bCs/>
          <w:sz w:val="20"/>
          <w:szCs w:val="20"/>
        </w:rPr>
        <w:t>(B)</w:t>
      </w:r>
      <w:r>
        <w:rPr>
          <w:sz w:val="20"/>
          <w:szCs w:val="20"/>
        </w:rPr>
        <w:t xml:space="preserve"> and </w:t>
      </w:r>
      <w:proofErr w:type="spellStart"/>
      <w:r>
        <w:rPr>
          <w:sz w:val="20"/>
          <w:szCs w:val="20"/>
        </w:rPr>
        <w:t>microp</w:t>
      </w:r>
      <w:r w:rsidR="00FF06CD">
        <w:rPr>
          <w:sz w:val="20"/>
          <w:szCs w:val="20"/>
        </w:rPr>
        <w:t>h</w:t>
      </w:r>
      <w:r>
        <w:rPr>
          <w:sz w:val="20"/>
          <w:szCs w:val="20"/>
        </w:rPr>
        <w:t>ytoplankton</w:t>
      </w:r>
      <w:proofErr w:type="spellEnd"/>
      <w:r>
        <w:rPr>
          <w:sz w:val="20"/>
          <w:szCs w:val="20"/>
        </w:rPr>
        <w:t xml:space="preserve"> biomass. </w:t>
      </w:r>
    </w:p>
    <w:p w14:paraId="08EF7432" w14:textId="77777777" w:rsidR="00B60483" w:rsidRDefault="00B60483">
      <w:pPr>
        <w:rPr>
          <w:sz w:val="20"/>
          <w:szCs w:val="20"/>
        </w:rPr>
      </w:pPr>
    </w:p>
    <w:p w14:paraId="03FE4B12" w14:textId="77777777" w:rsidR="00A1262B" w:rsidRDefault="00AA03FE">
      <w:pPr>
        <w:rPr>
          <w:sz w:val="20"/>
          <w:szCs w:val="20"/>
        </w:rPr>
      </w:pPr>
      <w:r>
        <w:t>Associated changes in geometric plankton cell size reflect</w:t>
      </w:r>
      <w:r w:rsidR="00945D3D">
        <w:t>s</w:t>
      </w:r>
      <w:r>
        <w:t xml:space="preserve"> most</w:t>
      </w:r>
      <w:r w:rsidR="00945D3D">
        <w:t>ly</w:t>
      </w:r>
      <w:r>
        <w:t xml:space="preserve"> the trends in </w:t>
      </w:r>
      <w:proofErr w:type="spellStart"/>
      <w:r>
        <w:t>microphytoplankton</w:t>
      </w:r>
      <w:proofErr w:type="spellEnd"/>
      <w:r>
        <w:t xml:space="preserve"> chlorophyll biomass. </w:t>
      </w:r>
      <w:r w:rsidR="00945D3D">
        <w:t>RCP</w:t>
      </w:r>
      <w:r w:rsidR="005A4664">
        <w:t xml:space="preserve"> </w:t>
      </w:r>
      <w:r w:rsidR="00945D3D">
        <w:t>8.5 scenario m</w:t>
      </w:r>
      <w:r>
        <w:t xml:space="preserve">ean cell size is higher </w:t>
      </w:r>
      <w:r w:rsidR="00945D3D">
        <w:t>in the Southern Ocean</w:t>
      </w:r>
      <w:r w:rsidR="00FF06CD">
        <w:t>,</w:t>
      </w:r>
      <w:r>
        <w:t xml:space="preserve"> and</w:t>
      </w:r>
      <w:r w:rsidR="00945D3D">
        <w:t xml:space="preserve"> generally</w:t>
      </w:r>
      <w:r>
        <w:t xml:space="preserve"> </w:t>
      </w:r>
      <w:r w:rsidR="00945D3D">
        <w:t>lower</w:t>
      </w:r>
      <w:r>
        <w:t xml:space="preserve"> above this region</w:t>
      </w:r>
      <w:r w:rsidR="00945D3D">
        <w:t xml:space="preserve">, though at </w:t>
      </w:r>
      <w:r w:rsidR="00FF06CD">
        <w:t xml:space="preserve">the </w:t>
      </w:r>
      <w:r w:rsidR="00945D3D">
        <w:t>very high latitudes in the Arctic ocean it is greater again</w:t>
      </w:r>
      <w:r w:rsidR="00395538">
        <w:t xml:space="preserve"> (Fig. </w:t>
      </w:r>
      <w:r w:rsidR="00FF06CD">
        <w:t>9</w:t>
      </w:r>
      <w:r w:rsidR="00395538">
        <w:t>A)</w:t>
      </w:r>
      <w:r w:rsidR="00945D3D">
        <w:t xml:space="preserve">. </w:t>
      </w:r>
      <w:r w:rsidR="00FF06CD">
        <w:t>T</w:t>
      </w:r>
      <w:r w:rsidR="00945D3D">
        <w:t>he standard deviation of cell diameter</w:t>
      </w:r>
      <w:r w:rsidR="00FF06CD">
        <w:t xml:space="preserve"> in the Southern Ocean</w:t>
      </w:r>
      <w:r w:rsidR="00945D3D">
        <w:t xml:space="preserve"> is markedly </w:t>
      </w:r>
      <w:r w:rsidR="00FF06CD">
        <w:t>larger than at</w:t>
      </w:r>
      <w:r w:rsidR="00945D3D">
        <w:t xml:space="preserve"> the</w:t>
      </w:r>
      <w:r w:rsidR="00FF06CD">
        <w:t xml:space="preserve"> tropics</w:t>
      </w:r>
      <w:r w:rsidR="00945D3D">
        <w:t xml:space="preserve">, being larger in Antarctic waters and </w:t>
      </w:r>
      <w:r w:rsidR="00CD349B">
        <w:t>equal at the equator</w:t>
      </w:r>
      <w:r w:rsidR="00395538">
        <w:t xml:space="preserve"> (Fig. </w:t>
      </w:r>
      <w:r w:rsidR="00FF06CD">
        <w:t>9</w:t>
      </w:r>
      <w:r w:rsidR="00395538">
        <w:t>B)</w:t>
      </w:r>
      <w:r w:rsidR="00CD349B">
        <w:t xml:space="preserve">. </w:t>
      </w:r>
      <w:r w:rsidR="00FF06CD">
        <w:t>There is however also a g</w:t>
      </w:r>
      <w:r w:rsidR="00CD349B">
        <w:t>rea</w:t>
      </w:r>
      <w:r w:rsidR="00FF06CD">
        <w:t>ter</w:t>
      </w:r>
      <w:r w:rsidR="00CD349B">
        <w:t xml:space="preserve"> difference in the north Atlantic and Mediterranean.</w:t>
      </w:r>
      <w:r w:rsidR="00945D3D">
        <w:t xml:space="preserve"> </w:t>
      </w:r>
    </w:p>
    <w:p w14:paraId="3D04C53D" w14:textId="22DC99A0" w:rsidR="00D80110" w:rsidRPr="00A1262B" w:rsidRDefault="00D80110">
      <w:pPr>
        <w:rPr>
          <w:sz w:val="20"/>
          <w:szCs w:val="20"/>
        </w:rPr>
      </w:pPr>
      <w:r w:rsidRPr="00D80110">
        <w:rPr>
          <w:b/>
          <w:bCs/>
          <w:sz w:val="24"/>
          <w:szCs w:val="24"/>
        </w:rPr>
        <w:lastRenderedPageBreak/>
        <w:t>A</w:t>
      </w:r>
    </w:p>
    <w:p w14:paraId="6981E525" w14:textId="47D3D7C7" w:rsidR="00E2232E" w:rsidRDefault="00D80110">
      <w:r>
        <w:rPr>
          <w:noProof/>
        </w:rPr>
        <w:drawing>
          <wp:inline distT="0" distB="0" distL="0" distR="0" wp14:anchorId="2509D55F" wp14:editId="241345E0">
            <wp:extent cx="4103732" cy="2470150"/>
            <wp:effectExtent l="0" t="0" r="0" b="635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16204" cy="2477657"/>
                    </a:xfrm>
                    <a:prstGeom prst="rect">
                      <a:avLst/>
                    </a:prstGeom>
                  </pic:spPr>
                </pic:pic>
              </a:graphicData>
            </a:graphic>
          </wp:inline>
        </w:drawing>
      </w:r>
    </w:p>
    <w:p w14:paraId="48E83F3E" w14:textId="1F861DD2" w:rsidR="00E2232E" w:rsidRPr="00D80110" w:rsidRDefault="00D80110">
      <w:pPr>
        <w:rPr>
          <w:b/>
          <w:bCs/>
          <w:sz w:val="24"/>
          <w:szCs w:val="24"/>
        </w:rPr>
      </w:pPr>
      <w:r w:rsidRPr="00D80110">
        <w:rPr>
          <w:b/>
          <w:bCs/>
          <w:sz w:val="24"/>
          <w:szCs w:val="24"/>
        </w:rPr>
        <w:t>B</w:t>
      </w:r>
    </w:p>
    <w:p w14:paraId="733A56DB" w14:textId="642E7AF3" w:rsidR="00E2232E" w:rsidRDefault="00D80110">
      <w:r>
        <w:rPr>
          <w:noProof/>
        </w:rPr>
        <w:drawing>
          <wp:inline distT="0" distB="0" distL="0" distR="0" wp14:anchorId="662F9584" wp14:editId="7DB9BED2">
            <wp:extent cx="4133352" cy="2425700"/>
            <wp:effectExtent l="0" t="0" r="635"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67352" cy="2445653"/>
                    </a:xfrm>
                    <a:prstGeom prst="rect">
                      <a:avLst/>
                    </a:prstGeom>
                  </pic:spPr>
                </pic:pic>
              </a:graphicData>
            </a:graphic>
          </wp:inline>
        </w:drawing>
      </w:r>
    </w:p>
    <w:p w14:paraId="7C685A46" w14:textId="4A5C3B3F" w:rsidR="00E2232E" w:rsidRDefault="00E2232E"/>
    <w:p w14:paraId="5B3BF0F8" w14:textId="55BDC6FB" w:rsidR="00395538" w:rsidRDefault="00D80110">
      <w:pPr>
        <w:rPr>
          <w:sz w:val="20"/>
          <w:szCs w:val="20"/>
        </w:rPr>
      </w:pPr>
      <w:r w:rsidRPr="00FE614E">
        <w:rPr>
          <w:b/>
          <w:bCs/>
          <w:sz w:val="20"/>
          <w:szCs w:val="20"/>
        </w:rPr>
        <w:t xml:space="preserve">Figure </w:t>
      </w:r>
      <w:r w:rsidR="00DF7B7C">
        <w:rPr>
          <w:b/>
          <w:bCs/>
          <w:sz w:val="20"/>
          <w:szCs w:val="20"/>
        </w:rPr>
        <w:t>9</w:t>
      </w:r>
      <w:r w:rsidRPr="00FE614E">
        <w:rPr>
          <w:sz w:val="20"/>
          <w:szCs w:val="20"/>
        </w:rPr>
        <w:t xml:space="preserve"> – </w:t>
      </w:r>
      <w:r>
        <w:rPr>
          <w:sz w:val="20"/>
          <w:szCs w:val="20"/>
        </w:rPr>
        <w:t xml:space="preserve">Global variation in </w:t>
      </w:r>
      <w:r w:rsidR="005A4664">
        <w:rPr>
          <w:sz w:val="20"/>
          <w:szCs w:val="20"/>
        </w:rPr>
        <w:t xml:space="preserve">relative increase between </w:t>
      </w:r>
      <w:r>
        <w:rPr>
          <w:sz w:val="20"/>
          <w:szCs w:val="20"/>
        </w:rPr>
        <w:t xml:space="preserve">RCP 8.5 and Control </w:t>
      </w:r>
      <w:r w:rsidR="00B60483">
        <w:rPr>
          <w:sz w:val="20"/>
          <w:szCs w:val="20"/>
        </w:rPr>
        <w:t xml:space="preserve">predicted </w:t>
      </w:r>
      <w:r>
        <w:rPr>
          <w:sz w:val="20"/>
          <w:szCs w:val="20"/>
        </w:rPr>
        <w:t xml:space="preserve">mean cell diameter </w:t>
      </w:r>
      <w:r w:rsidRPr="00D80110">
        <w:rPr>
          <w:b/>
          <w:bCs/>
          <w:sz w:val="20"/>
          <w:szCs w:val="20"/>
        </w:rPr>
        <w:t>(A)</w:t>
      </w:r>
      <w:r>
        <w:rPr>
          <w:sz w:val="20"/>
          <w:szCs w:val="20"/>
        </w:rPr>
        <w:t xml:space="preserve"> and standard deviation of cell size </w:t>
      </w:r>
      <w:r w:rsidRPr="00D80110">
        <w:rPr>
          <w:b/>
          <w:bCs/>
          <w:sz w:val="20"/>
          <w:szCs w:val="20"/>
        </w:rPr>
        <w:t>(B)</w:t>
      </w:r>
      <w:r w:rsidR="00395538">
        <w:rPr>
          <w:sz w:val="20"/>
          <w:szCs w:val="20"/>
        </w:rPr>
        <w:t>.</w:t>
      </w:r>
    </w:p>
    <w:p w14:paraId="6C822F2D" w14:textId="3C062E6D" w:rsidR="00E14A91" w:rsidRDefault="00E14A91"/>
    <w:p w14:paraId="542FD627" w14:textId="77777777" w:rsidR="00E14A91" w:rsidRDefault="00E14A91"/>
    <w:p w14:paraId="3EFEA4E2" w14:textId="4A08559B" w:rsidR="00E14A91" w:rsidRDefault="00E14A91"/>
    <w:p w14:paraId="3CC8FD8A" w14:textId="77777777" w:rsidR="00E14A91" w:rsidRDefault="00E14A91"/>
    <w:p w14:paraId="7917AD5C" w14:textId="695228D6" w:rsidR="009220B7" w:rsidRDefault="009220B7"/>
    <w:p w14:paraId="0FF57D2D" w14:textId="57CFDC3F" w:rsidR="002E6678" w:rsidRDefault="002E6678"/>
    <w:p w14:paraId="5C413FDE" w14:textId="77777777" w:rsidR="002E6678" w:rsidRDefault="002E6678"/>
    <w:p w14:paraId="0F9D4770" w14:textId="77777777" w:rsidR="00A1262B" w:rsidRDefault="00A1262B">
      <w:pPr>
        <w:rPr>
          <w:b/>
          <w:bCs/>
          <w:sz w:val="36"/>
          <w:szCs w:val="36"/>
        </w:rPr>
      </w:pPr>
    </w:p>
    <w:p w14:paraId="478C919A" w14:textId="4D92B101" w:rsidR="00793EF0" w:rsidRPr="00793EF0" w:rsidRDefault="00793EF0">
      <w:pPr>
        <w:rPr>
          <w:b/>
          <w:bCs/>
          <w:sz w:val="36"/>
          <w:szCs w:val="36"/>
        </w:rPr>
      </w:pPr>
      <w:r w:rsidRPr="00793EF0">
        <w:rPr>
          <w:b/>
          <w:bCs/>
          <w:sz w:val="36"/>
          <w:szCs w:val="36"/>
        </w:rPr>
        <w:lastRenderedPageBreak/>
        <w:t>Discussion</w:t>
      </w:r>
    </w:p>
    <w:p w14:paraId="6E07D740" w14:textId="77777777" w:rsidR="00793EF0" w:rsidRDefault="00793EF0"/>
    <w:p w14:paraId="748E8E45" w14:textId="0A87C57C" w:rsidR="001357EE" w:rsidRDefault="005F0070" w:rsidP="001357EE">
      <w:r>
        <w:t>Evidence for an a</w:t>
      </w:r>
      <w:r w:rsidR="00F87759">
        <w:t>ltered</w:t>
      </w:r>
      <w:r>
        <w:t xml:space="preserve"> </w:t>
      </w:r>
      <w:r w:rsidR="005707E1">
        <w:t xml:space="preserve">high latitude </w:t>
      </w:r>
      <w:r>
        <w:t>plankton</w:t>
      </w:r>
      <w:r w:rsidR="00F87759">
        <w:t xml:space="preserve"> community composition </w:t>
      </w:r>
      <w:r w:rsidR="005707E1">
        <w:t>i</w:t>
      </w:r>
      <w:r w:rsidR="00F87759">
        <w:t>n the RCP</w:t>
      </w:r>
      <w:r w:rsidR="005707E1">
        <w:t xml:space="preserve"> 8.5</w:t>
      </w:r>
      <w:r w:rsidR="00F87759">
        <w:t xml:space="preserve"> scenario is</w:t>
      </w:r>
      <w:r>
        <w:t xml:space="preserve"> seen in biomass and POC export flux trends.</w:t>
      </w:r>
      <w:r w:rsidR="00B54EA1">
        <w:t xml:space="preserve"> Globally,</w:t>
      </w:r>
      <w:r w:rsidR="002570B0">
        <w:t xml:space="preserve"> plankton carbon and chlorophyll biomass </w:t>
      </w:r>
      <w:proofErr w:type="gramStart"/>
      <w:r w:rsidR="002570B0">
        <w:t>is</w:t>
      </w:r>
      <w:proofErr w:type="gramEnd"/>
      <w:r w:rsidR="002570B0">
        <w:t xml:space="preserve"> decreased. POC export flux however is increased in the </w:t>
      </w:r>
      <w:proofErr w:type="gramStart"/>
      <w:r w:rsidR="002570B0">
        <w:t>Southern ocean</w:t>
      </w:r>
      <w:proofErr w:type="gramEnd"/>
      <w:r w:rsidR="002570B0">
        <w:t xml:space="preserve"> and decreased elsewhere. </w:t>
      </w:r>
      <w:r w:rsidR="005707E1">
        <w:t xml:space="preserve">Total biomass </w:t>
      </w:r>
      <w:proofErr w:type="gramStart"/>
      <w:r w:rsidR="005707E1">
        <w:t>decrease</w:t>
      </w:r>
      <w:proofErr w:type="gramEnd"/>
      <w:r w:rsidR="005707E1">
        <w:t xml:space="preserve"> when coupled with </w:t>
      </w:r>
      <w:r>
        <w:t xml:space="preserve">an increased </w:t>
      </w:r>
      <w:r w:rsidR="002570B0">
        <w:t xml:space="preserve">Southern Ocean </w:t>
      </w:r>
      <w:r>
        <w:t xml:space="preserve">export flux </w:t>
      </w:r>
      <w:r w:rsidR="005707E1">
        <w:t xml:space="preserve">clearly marks significant </w:t>
      </w:r>
      <w:r>
        <w:t xml:space="preserve">plankton community composition changes, not simply </w:t>
      </w:r>
      <w:r w:rsidR="005707E1">
        <w:t>lower</w:t>
      </w:r>
      <w:r>
        <w:t xml:space="preserve"> overall plankton populations. Consistent with this, h</w:t>
      </w:r>
      <w:r w:rsidR="00F87759">
        <w:t xml:space="preserve">igher cell diameter and standard deviation </w:t>
      </w:r>
      <w:r>
        <w:t xml:space="preserve">is predicted in the </w:t>
      </w:r>
      <w:r w:rsidR="00D751A5">
        <w:t xml:space="preserve">southern </w:t>
      </w:r>
      <w:r w:rsidR="002570B0">
        <w:t>high latitudes</w:t>
      </w:r>
      <w:r w:rsidR="00F87759">
        <w:t xml:space="preserve">, which is reflective of an increase in the </w:t>
      </w:r>
      <w:r w:rsidR="005707E1">
        <w:t xml:space="preserve">local relative biomass of </w:t>
      </w:r>
      <w:r w:rsidR="00F87759">
        <w:t xml:space="preserve">larger size classes. </w:t>
      </w:r>
      <w:r w:rsidR="00D751A5">
        <w:t>Drivers of community composition change are less pronounced in the northern high latitudes</w:t>
      </w:r>
      <w:r w:rsidR="005707E1">
        <w:t xml:space="preserve">, as </w:t>
      </w:r>
      <w:r w:rsidR="00D751A5">
        <w:t>cell diameter is equal or lower than in the control scenario</w:t>
      </w:r>
      <w:r w:rsidR="005707E1">
        <w:t xml:space="preserve">; </w:t>
      </w:r>
      <w:proofErr w:type="gramStart"/>
      <w:r w:rsidR="005707E1">
        <w:t>nevertheless</w:t>
      </w:r>
      <w:proofErr w:type="gramEnd"/>
      <w:r w:rsidR="005707E1">
        <w:t xml:space="preserve"> different </w:t>
      </w:r>
      <w:r w:rsidR="00D751A5">
        <w:t>standard deviation</w:t>
      </w:r>
      <w:r w:rsidR="005707E1">
        <w:t xml:space="preserve"> indicates some community composition shift</w:t>
      </w:r>
      <w:r w:rsidR="00D751A5">
        <w:t xml:space="preserve">. </w:t>
      </w:r>
      <w:r w:rsidR="00413AD9">
        <w:t>In the low latitudes,</w:t>
      </w:r>
      <w:r w:rsidR="001357EE">
        <w:t xml:space="preserve"> a clear overall change in phytoplankton community structure </w:t>
      </w:r>
      <w:r w:rsidR="005707E1">
        <w:t xml:space="preserve">is </w:t>
      </w:r>
      <w:r w:rsidR="001357EE">
        <w:t>manifest</w:t>
      </w:r>
      <w:r w:rsidR="005707E1">
        <w:t>ed</w:t>
      </w:r>
      <w:r w:rsidR="001357EE">
        <w:t xml:space="preserve"> in a shift towards the smaller size classes, reflected in a relative decreased geometric mean of cell diameter. This decrease is particularly pronounced at the equator. Standard deviation is essentially </w:t>
      </w:r>
      <w:proofErr w:type="gramStart"/>
      <w:r w:rsidR="001357EE">
        <w:t>unchanged</w:t>
      </w:r>
      <w:proofErr w:type="gramEnd"/>
      <w:r w:rsidR="001357EE">
        <w:t xml:space="preserve"> however. </w:t>
      </w:r>
    </w:p>
    <w:p w14:paraId="6F8973E7" w14:textId="3480742F" w:rsidR="00AD11F6" w:rsidRDefault="00D751A5">
      <w:r>
        <w:t xml:space="preserve">Differing </w:t>
      </w:r>
      <w:r w:rsidR="005707E1">
        <w:t>high l</w:t>
      </w:r>
      <w:r>
        <w:t xml:space="preserve">atitude </w:t>
      </w:r>
      <w:r w:rsidR="005707E1">
        <w:t>predicted community</w:t>
      </w:r>
      <w:r>
        <w:t xml:space="preserve"> structure </w:t>
      </w:r>
      <w:r w:rsidR="001258D2">
        <w:t xml:space="preserve">can be explained firstly through </w:t>
      </w:r>
      <w:r w:rsidR="005F0070">
        <w:t>increased</w:t>
      </w:r>
      <w:r w:rsidR="000807DB">
        <w:t xml:space="preserve"> zooplankton</w:t>
      </w:r>
      <w:r w:rsidR="005F0070">
        <w:t xml:space="preserve"> grazing pressure</w:t>
      </w:r>
      <w:r w:rsidR="000807DB">
        <w:t xml:space="preserve"> on phytoplankton</w:t>
      </w:r>
      <w:r w:rsidR="009A66F4">
        <w:t xml:space="preserve">. This grazing pressure occurs due to increased </w:t>
      </w:r>
      <w:r w:rsidR="005707E1">
        <w:t>SST</w:t>
      </w:r>
      <w:r w:rsidR="009A66F4">
        <w:t xml:space="preserve">, allowing an accompanying </w:t>
      </w:r>
      <w:r>
        <w:t xml:space="preserve">higher growth rate and therefore </w:t>
      </w:r>
      <w:r w:rsidR="005707E1">
        <w:t xml:space="preserve">increased overall </w:t>
      </w:r>
      <w:r>
        <w:t>zooplankton biomass</w:t>
      </w:r>
      <w:r w:rsidR="001258D2">
        <w:t xml:space="preserve">. </w:t>
      </w:r>
      <w:r w:rsidR="00E8318F">
        <w:t xml:space="preserve">Resultant </w:t>
      </w:r>
      <w:r w:rsidR="001258D2">
        <w:t xml:space="preserve">higher grazing pressure </w:t>
      </w:r>
      <w:r w:rsidR="00E8318F">
        <w:t>causes</w:t>
      </w:r>
      <w:r w:rsidR="001258D2">
        <w:t xml:space="preserve"> an increase in </w:t>
      </w:r>
      <w:r w:rsidR="001A0105">
        <w:t xml:space="preserve">population in </w:t>
      </w:r>
      <w:r w:rsidR="001258D2">
        <w:t xml:space="preserve">larger phytoplankton </w:t>
      </w:r>
      <w:r w:rsidR="001A0105">
        <w:t>classes</w:t>
      </w:r>
      <w:r w:rsidR="000807DB">
        <w:t>,</w:t>
      </w:r>
      <w:r w:rsidR="001A0105">
        <w:t xml:space="preserve"> as the smaller classes are mo</w:t>
      </w:r>
      <w:r w:rsidR="00E8318F">
        <w:t>re</w:t>
      </w:r>
      <w:r w:rsidR="001A0105">
        <w:t xml:space="preserve"> affected by grazing pressure. Here, imperfect assimilation of phytoplankton biomass by zooplankton grazers bears increased POC export flux</w:t>
      </w:r>
      <w:r w:rsidR="00E8318F">
        <w:t xml:space="preserve"> in the Southern Ocean. This is not replicated in the northern high </w:t>
      </w:r>
      <w:proofErr w:type="gramStart"/>
      <w:r w:rsidR="00E8318F">
        <w:t>latitudes</w:t>
      </w:r>
      <w:proofErr w:type="gramEnd"/>
      <w:r w:rsidR="00E8318F">
        <w:t xml:space="preserve"> however. This may be due to </w:t>
      </w:r>
      <w:r w:rsidR="00300852">
        <w:t xml:space="preserve">smaller relative zooplankton populations. This assumption is supported by the fact that lower carbon biomass, but similar chlorophyll biomass is predicted in these regions in comparison to the southern high latitudes. </w:t>
      </w:r>
    </w:p>
    <w:p w14:paraId="56E16DBF" w14:textId="6A30EF84" w:rsidR="001357EE" w:rsidRDefault="009D0A5E" w:rsidP="0020367F">
      <w:r>
        <w:t>Predicted SST differences in the high lat</w:t>
      </w:r>
      <w:r w:rsidR="000B3CC8">
        <w:t>i</w:t>
      </w:r>
      <w:r>
        <w:t xml:space="preserve">tudes are more extreme, </w:t>
      </w:r>
      <w:r w:rsidR="001357EE">
        <w:t xml:space="preserve">often surpassing 2C. However, this temperature increase in the equatorial regions does not translate to an increase in plankton biomass. </w:t>
      </w:r>
      <w:r>
        <w:t>I</w:t>
      </w:r>
      <w:r w:rsidR="001357EE">
        <w:t>ncreased temperature-dependent metabolic processes</w:t>
      </w:r>
      <w:r>
        <w:t xml:space="preserve"> are thus offset by other factors</w:t>
      </w:r>
      <w:r w:rsidR="001357EE">
        <w:t xml:space="preserve">. Low cell size and standard deviation indicates that the top-down control of phytoplankton by zooplankton grazing seen in the high latitudes is in contrast with clear </w:t>
      </w:r>
      <w:r w:rsidR="000B3CC8">
        <w:t>bottom-up control of phytoplankton</w:t>
      </w:r>
      <w:r w:rsidR="001357EE">
        <w:t xml:space="preserve"> in the low latitudes</w:t>
      </w:r>
      <w:r w:rsidR="000B3CC8">
        <w:t xml:space="preserve">, likely with increased grazing refuge. </w:t>
      </w:r>
      <w:r w:rsidR="001357EE">
        <w:t xml:space="preserve"> </w:t>
      </w:r>
    </w:p>
    <w:p w14:paraId="03F72A06" w14:textId="78DC88E9" w:rsidR="00211BC6" w:rsidRDefault="00D96190">
      <w:r>
        <w:t xml:space="preserve">Some simplification of community dynamics here, namely the uniform treatment of </w:t>
      </w:r>
      <w:r w:rsidR="000B3CC8">
        <w:t xml:space="preserve">the response of </w:t>
      </w:r>
      <w:r>
        <w:t xml:space="preserve">heterotrophic behaviour and photosynthesis </w:t>
      </w:r>
      <w:r w:rsidR="000B3CC8">
        <w:t xml:space="preserve">to increased temperature </w:t>
      </w:r>
      <w:r>
        <w:t>may result in an underestimation of grazing pressure</w:t>
      </w:r>
      <w:r w:rsidR="00B71684">
        <w:t xml:space="preserve"> (Ward et al., 2018)</w:t>
      </w:r>
      <w:r w:rsidR="00592F29">
        <w:t>, as h</w:t>
      </w:r>
      <w:r w:rsidR="00B71684">
        <w:t>eterotroph metabolism in fact increases at a greater pace (</w:t>
      </w:r>
      <w:proofErr w:type="spellStart"/>
      <w:r w:rsidR="00B71684" w:rsidRPr="00B71684">
        <w:t>Boscolo-Galazzo</w:t>
      </w:r>
      <w:proofErr w:type="spellEnd"/>
      <w:r w:rsidR="00B71684" w:rsidRPr="00B71684">
        <w:t xml:space="preserve"> et al., 2018</w:t>
      </w:r>
      <w:r w:rsidR="00B71684">
        <w:t xml:space="preserve">). As grazing pressure shapes phytoplankton community structure and biomass, as well as POC export flux, </w:t>
      </w:r>
      <w:r w:rsidR="000B3CC8">
        <w:t xml:space="preserve">there is some degree of underrepresentation of relative </w:t>
      </w:r>
      <w:r w:rsidR="00B71684">
        <w:t xml:space="preserve">changes in these </w:t>
      </w:r>
      <w:r w:rsidR="001357EE">
        <w:t xml:space="preserve">in </w:t>
      </w:r>
      <w:r w:rsidR="000B3CC8">
        <w:t xml:space="preserve">the </w:t>
      </w:r>
      <w:r w:rsidR="001357EE">
        <w:t xml:space="preserve">high latitudes. </w:t>
      </w:r>
      <w:r w:rsidR="000B3CC8">
        <w:t>This underrepresentation is unlikely in the tropics on the other hand;</w:t>
      </w:r>
      <w:r w:rsidR="001357EE">
        <w:t xml:space="preserve"> different treatment of heterotrophs would not impact low latitude predictions as these are too limited by nutrients. </w:t>
      </w:r>
      <w:r w:rsidR="00E50F8E">
        <w:t>Overall though, t</w:t>
      </w:r>
      <w:r w:rsidR="00AD11F6">
        <w:t xml:space="preserve">he </w:t>
      </w:r>
      <w:r w:rsidR="00E50F8E">
        <w:t xml:space="preserve">model’s </w:t>
      </w:r>
      <w:r w:rsidR="00AD11F6">
        <w:t xml:space="preserve">prediction of enhanced zooplankton grazing in eutrophic waters with global warming is </w:t>
      </w:r>
      <w:r w:rsidR="00E50F8E">
        <w:t xml:space="preserve">consistent with current understanding of plankton community dynamics </w:t>
      </w:r>
      <w:r w:rsidR="00AD11F6">
        <w:t>(</w:t>
      </w:r>
      <w:r w:rsidR="001D052D">
        <w:t xml:space="preserve">O’Connor et al., 2009, </w:t>
      </w:r>
      <w:r w:rsidR="00AD11F6">
        <w:t>Chen et al., 2012)</w:t>
      </w:r>
      <w:r w:rsidR="00E50F8E">
        <w:t>.</w:t>
      </w:r>
      <w:r w:rsidR="000240E3">
        <w:t xml:space="preserve">Indeed, </w:t>
      </w:r>
      <w:r w:rsidR="00E50F8E">
        <w:t>this trend has been observed in real world shifts by zooplankton communities towards the poles since pre-industrial times</w:t>
      </w:r>
      <w:r w:rsidR="001D052D">
        <w:t xml:space="preserve"> (</w:t>
      </w:r>
      <w:proofErr w:type="spellStart"/>
      <w:r w:rsidR="001D052D">
        <w:t>Jonkers</w:t>
      </w:r>
      <w:proofErr w:type="spellEnd"/>
      <w:r w:rsidR="001D052D">
        <w:t xml:space="preserve"> et al., 2019). These trends observed in the model output as such are likely predictive of </w:t>
      </w:r>
      <w:r w:rsidR="00B12BE5">
        <w:t xml:space="preserve">future </w:t>
      </w:r>
      <w:r w:rsidR="001D052D">
        <w:t xml:space="preserve">real-world </w:t>
      </w:r>
      <w:r w:rsidR="00B12BE5">
        <w:t>changes.</w:t>
      </w:r>
    </w:p>
    <w:p w14:paraId="55369E1E" w14:textId="7A078386" w:rsidR="00002AB4" w:rsidRPr="00EC62E2" w:rsidRDefault="0020367F">
      <w:r>
        <w:rPr>
          <w:rFonts w:cstheme="minorHAnsi"/>
        </w:rPr>
        <w:lastRenderedPageBreak/>
        <w:t xml:space="preserve">High iron and phosphate nutrient flux </w:t>
      </w:r>
      <w:r w:rsidR="00300852">
        <w:rPr>
          <w:rFonts w:cstheme="minorHAnsi"/>
        </w:rPr>
        <w:t xml:space="preserve">occurs </w:t>
      </w:r>
      <w:r>
        <w:rPr>
          <w:rFonts w:cstheme="minorHAnsi"/>
        </w:rPr>
        <w:t xml:space="preserve">in the high latitudes </w:t>
      </w:r>
      <w:r w:rsidR="00300852">
        <w:rPr>
          <w:rFonts w:cstheme="minorHAnsi"/>
        </w:rPr>
        <w:t>in both scenarios</w:t>
      </w:r>
      <w:r>
        <w:rPr>
          <w:rFonts w:cstheme="minorHAnsi"/>
        </w:rPr>
        <w:t xml:space="preserve">. </w:t>
      </w:r>
      <w:r w:rsidR="001A44DE">
        <w:rPr>
          <w:rFonts w:cstheme="minorHAnsi"/>
        </w:rPr>
        <w:t>In response, i</w:t>
      </w:r>
      <w:r>
        <w:rPr>
          <w:rFonts w:cstheme="minorHAnsi"/>
        </w:rPr>
        <w:t>ncrease</w:t>
      </w:r>
      <w:r w:rsidR="001A44DE">
        <w:rPr>
          <w:rFonts w:cstheme="minorHAnsi"/>
        </w:rPr>
        <w:t>d</w:t>
      </w:r>
      <w:r>
        <w:rPr>
          <w:rFonts w:cstheme="minorHAnsi"/>
        </w:rPr>
        <w:t xml:space="preserve"> cell diameter and standard deviation</w:t>
      </w:r>
      <w:r w:rsidR="00B12BE5">
        <w:rPr>
          <w:rFonts w:cstheme="minorHAnsi"/>
        </w:rPr>
        <w:t xml:space="preserve"> relative to the tropics are predicted</w:t>
      </w:r>
      <w:r w:rsidR="001A44DE">
        <w:rPr>
          <w:rFonts w:cstheme="minorHAnsi"/>
        </w:rPr>
        <w:t>, reflecting different plankton community structure</w:t>
      </w:r>
      <w:r w:rsidR="00B12BE5">
        <w:rPr>
          <w:rFonts w:cstheme="minorHAnsi"/>
        </w:rPr>
        <w:t>. D</w:t>
      </w:r>
      <w:r>
        <w:rPr>
          <w:rFonts w:cstheme="minorHAnsi"/>
        </w:rPr>
        <w:t xml:space="preserve">ecreased high latitude surface nutrient levels </w:t>
      </w:r>
      <w:r w:rsidR="00B12BE5">
        <w:rPr>
          <w:rFonts w:cstheme="minorHAnsi"/>
        </w:rPr>
        <w:t xml:space="preserve">however </w:t>
      </w:r>
      <w:r>
        <w:rPr>
          <w:rFonts w:cstheme="minorHAnsi"/>
        </w:rPr>
        <w:t>are predicted by the RCP scenario</w:t>
      </w:r>
      <w:r w:rsidR="001A44DE">
        <w:rPr>
          <w:rFonts w:cstheme="minorHAnsi"/>
        </w:rPr>
        <w:t xml:space="preserve"> relative to the control</w:t>
      </w:r>
      <w:r>
        <w:rPr>
          <w:rFonts w:cstheme="minorHAnsi"/>
        </w:rPr>
        <w:t xml:space="preserve">. </w:t>
      </w:r>
      <w:r w:rsidR="001A44DE">
        <w:rPr>
          <w:rFonts w:cstheme="minorHAnsi"/>
        </w:rPr>
        <w:t xml:space="preserve">As such, in isolation, nutrient availability would predict greater </w:t>
      </w:r>
      <w:r w:rsidR="00312DD2">
        <w:rPr>
          <w:rFonts w:cstheme="minorHAnsi"/>
        </w:rPr>
        <w:t xml:space="preserve">total biomass, </w:t>
      </w:r>
      <w:r w:rsidR="001A44DE">
        <w:rPr>
          <w:rFonts w:cstheme="minorHAnsi"/>
        </w:rPr>
        <w:t>cell size and standard deviation</w:t>
      </w:r>
      <w:r>
        <w:rPr>
          <w:rFonts w:cstheme="minorHAnsi"/>
        </w:rPr>
        <w:t xml:space="preserve"> </w:t>
      </w:r>
      <w:r w:rsidR="001A44DE">
        <w:rPr>
          <w:rFonts w:cstheme="minorHAnsi"/>
        </w:rPr>
        <w:t>in the control; lower surface nutrients</w:t>
      </w:r>
      <w:r w:rsidR="00B12BE5">
        <w:rPr>
          <w:rFonts w:cstheme="minorHAnsi"/>
        </w:rPr>
        <w:t xml:space="preserve"> in the RCP 8.5 scenario</w:t>
      </w:r>
      <w:r w:rsidR="001A44DE">
        <w:rPr>
          <w:rFonts w:cstheme="minorHAnsi"/>
        </w:rPr>
        <w:t xml:space="preserve"> should result in smaller phytoplankton populations as smaller phytoplankton classes are more efficient in nutrient uptake. </w:t>
      </w:r>
      <w:r w:rsidR="00312DD2">
        <w:rPr>
          <w:rFonts w:cstheme="minorHAnsi"/>
        </w:rPr>
        <w:t xml:space="preserve">This is only observed in the high latitudes. This indicates </w:t>
      </w:r>
      <w:r w:rsidR="00002AB4">
        <w:rPr>
          <w:rFonts w:cstheme="minorHAnsi"/>
        </w:rPr>
        <w:t xml:space="preserve">that </w:t>
      </w:r>
      <w:r w:rsidR="00312DD2">
        <w:rPr>
          <w:rFonts w:cstheme="minorHAnsi"/>
        </w:rPr>
        <w:t xml:space="preserve">a combination of increased zooplankton </w:t>
      </w:r>
      <w:proofErr w:type="gramStart"/>
      <w:r w:rsidR="00312DD2">
        <w:rPr>
          <w:rFonts w:cstheme="minorHAnsi"/>
        </w:rPr>
        <w:t>grazing</w:t>
      </w:r>
      <w:proofErr w:type="gramEnd"/>
      <w:r w:rsidR="00312DD2">
        <w:rPr>
          <w:rFonts w:cstheme="minorHAnsi"/>
        </w:rPr>
        <w:t xml:space="preserve"> and slightly higher nutrient limitation explains why Southern Ocean biomass is lower, yet mean cell size and standard deviation is higher. Significantly lower </w:t>
      </w:r>
      <w:r w:rsidR="00300852">
        <w:t>phosphate flux in northern</w:t>
      </w:r>
      <w:r w:rsidR="00B12BE5">
        <w:t xml:space="preserve"> relative to</w:t>
      </w:r>
      <w:r w:rsidR="00300852">
        <w:t xml:space="preserve"> southern high latitudes </w:t>
      </w:r>
      <w:r w:rsidR="001A44DE">
        <w:t>though</w:t>
      </w:r>
      <w:r w:rsidR="00B12BE5">
        <w:t xml:space="preserve"> </w:t>
      </w:r>
      <w:r w:rsidR="008040E7">
        <w:t xml:space="preserve">indicates nutrient limitation is the important differentiating factor </w:t>
      </w:r>
      <w:r w:rsidR="00002AB4">
        <w:t xml:space="preserve">in decreased mean cell size in these regions. Lower phosphate and iron levels compared to the control scenario indicate nutrient limitations on cell size in phytoplankton as greater nutrient stress results in a greater competitive advantage for smaller plankton capable of higher nutrient uptake and assimilation efficiency. </w:t>
      </w:r>
    </w:p>
    <w:p w14:paraId="6C4C9815" w14:textId="0160679F" w:rsidR="008040E7" w:rsidRPr="00FE3FE5" w:rsidRDefault="00B12BE5" w:rsidP="005C4833">
      <w:r>
        <w:rPr>
          <w:rFonts w:cstheme="minorHAnsi"/>
        </w:rPr>
        <w:t>T</w:t>
      </w:r>
      <w:r w:rsidR="005C4833">
        <w:rPr>
          <w:rFonts w:cstheme="minorHAnsi"/>
        </w:rPr>
        <w:t>he model predicts relative decreased mixed layer depth at high latitudes</w:t>
      </w:r>
      <w:r>
        <w:rPr>
          <w:rFonts w:cstheme="minorHAnsi"/>
        </w:rPr>
        <w:t xml:space="preserve"> in the RCP 8.5 scenario</w:t>
      </w:r>
      <w:r w:rsidR="005C4833">
        <w:rPr>
          <w:rFonts w:cstheme="minorHAnsi"/>
        </w:rPr>
        <w:t xml:space="preserve">, though not at the equator. </w:t>
      </w:r>
      <w:r>
        <w:rPr>
          <w:rFonts w:cstheme="minorHAnsi"/>
        </w:rPr>
        <w:t xml:space="preserve">This would drive elevated photosynthetic, heterotrophic respiration and universal planktonic growth rates due to irradiance and higher temperature. </w:t>
      </w:r>
      <w:r w:rsidR="005C4833">
        <w:rPr>
          <w:rFonts w:cstheme="minorHAnsi"/>
        </w:rPr>
        <w:t>This would</w:t>
      </w:r>
      <w:r w:rsidR="008040E7">
        <w:rPr>
          <w:rFonts w:cstheme="minorHAnsi"/>
        </w:rPr>
        <w:t xml:space="preserve"> as such represent a driver towards</w:t>
      </w:r>
      <w:r w:rsidR="005C4833">
        <w:rPr>
          <w:rFonts w:cstheme="minorHAnsi"/>
        </w:rPr>
        <w:t xml:space="preserve"> </w:t>
      </w:r>
      <w:r>
        <w:rPr>
          <w:rFonts w:cstheme="minorHAnsi"/>
        </w:rPr>
        <w:t>greater</w:t>
      </w:r>
      <w:r w:rsidR="005C4833">
        <w:rPr>
          <w:rFonts w:cstheme="minorHAnsi"/>
        </w:rPr>
        <w:t xml:space="preserve"> total chlorophyll and carbon plankton biomass</w:t>
      </w:r>
      <w:r w:rsidR="008040E7">
        <w:rPr>
          <w:rFonts w:cstheme="minorHAnsi"/>
        </w:rPr>
        <w:t xml:space="preserve">. In combination with greater nutrient availability, </w:t>
      </w:r>
      <w:r w:rsidR="00EC62E2">
        <w:rPr>
          <w:rFonts w:cstheme="minorHAnsi"/>
        </w:rPr>
        <w:t xml:space="preserve">in particular elevated surface iron, </w:t>
      </w:r>
      <w:r w:rsidR="008040E7">
        <w:rPr>
          <w:rFonts w:cstheme="minorHAnsi"/>
        </w:rPr>
        <w:t xml:space="preserve">this may explain </w:t>
      </w:r>
      <w:r w:rsidR="008040E7">
        <w:t xml:space="preserve">abnormal differences observed in North Atlantic plankton community composition in comparison to </w:t>
      </w:r>
      <w:r w:rsidR="00EC62E2">
        <w:t>close-by high latitude regions</w:t>
      </w:r>
      <w:r w:rsidR="008040E7">
        <w:t xml:space="preserve">. </w:t>
      </w:r>
      <w:r w:rsidR="00EC62E2">
        <w:t>Like these re</w:t>
      </w:r>
      <w:r w:rsidR="008040E7">
        <w:t>gion</w:t>
      </w:r>
      <w:r w:rsidR="00EC62E2">
        <w:t>s,</w:t>
      </w:r>
      <w:r w:rsidR="008040E7">
        <w:t xml:space="preserve"> high standard deviation and decreased mean cell size</w:t>
      </w:r>
      <w:r w:rsidR="00EC62E2">
        <w:t xml:space="preserve"> is seen, but </w:t>
      </w:r>
      <w:r w:rsidR="008040E7">
        <w:t>carbon biomass sees a sharp decrease in this region compared to nearby latitudes, whereas chlorophyll biomass does not. This is the case for both the RCP</w:t>
      </w:r>
      <w:r w:rsidR="00EC62E2">
        <w:t xml:space="preserve"> </w:t>
      </w:r>
      <w:r w:rsidR="008040E7">
        <w:t>8.5 and control scenarios</w:t>
      </w:r>
      <w:r w:rsidR="00002AB4">
        <w:t xml:space="preserve">, and in fact more pronounced changes, along these lines </w:t>
      </w:r>
      <w:proofErr w:type="gramStart"/>
      <w:r w:rsidR="00002AB4">
        <w:t>as a result of</w:t>
      </w:r>
      <w:proofErr w:type="gramEnd"/>
      <w:r w:rsidR="00002AB4">
        <w:t xml:space="preserve"> global warming are predicted in the north Atlantic (Barton et al., 2016)</w:t>
      </w:r>
      <w:r w:rsidR="00EC62E2">
        <w:t xml:space="preserve">. </w:t>
      </w:r>
      <w:r w:rsidR="00002AB4">
        <w:t>The model predicts a</w:t>
      </w:r>
      <w:r w:rsidR="008040E7">
        <w:t xml:space="preserve"> sharp increase in mixed layer depth</w:t>
      </w:r>
      <w:r w:rsidR="00EC62E2">
        <w:t xml:space="preserve"> in this region may here r</w:t>
      </w:r>
      <w:r w:rsidR="008040E7">
        <w:t xml:space="preserve">esult in a plankton community which is not </w:t>
      </w:r>
      <w:r w:rsidR="00EC62E2">
        <w:t>highly nutrient-</w:t>
      </w:r>
      <w:proofErr w:type="gramStart"/>
      <w:r w:rsidR="00EC62E2">
        <w:t>l</w:t>
      </w:r>
      <w:r w:rsidR="008040E7">
        <w:t>imited</w:t>
      </w:r>
      <w:r w:rsidR="00EC62E2">
        <w:t xml:space="preserve">, </w:t>
      </w:r>
      <w:r w:rsidR="008040E7">
        <w:t>but</w:t>
      </w:r>
      <w:proofErr w:type="gramEnd"/>
      <w:r w:rsidR="008040E7">
        <w:t xml:space="preserve"> is limited by decreased temperature and irradiation. The effect of these limitations may be a decreased phytoplankton cell size as a response to a higher need for photosynthetic efficiency, acting in concert with </w:t>
      </w:r>
      <w:r w:rsidR="00EC62E2">
        <w:t xml:space="preserve">temperature pressure on </w:t>
      </w:r>
      <w:r w:rsidR="008040E7">
        <w:t>zooplankton populations</w:t>
      </w:r>
      <w:r w:rsidR="00EC62E2">
        <w:t>. Zooplankton populations in this case may be</w:t>
      </w:r>
      <w:r w:rsidR="008040E7">
        <w:t xml:space="preserve"> decreased</w:t>
      </w:r>
      <w:r w:rsidR="00EC62E2">
        <w:t>,</w:t>
      </w:r>
      <w:r w:rsidR="008040E7">
        <w:t xml:space="preserve"> but still large enough to exert influence on phytoplankton cell size standard deviation. </w:t>
      </w:r>
    </w:p>
    <w:p w14:paraId="3D6BB895" w14:textId="6A73DD8E" w:rsidR="00002AB4" w:rsidRDefault="006A45C0" w:rsidP="00EB6470">
      <w:r>
        <w:t xml:space="preserve">As noted by </w:t>
      </w:r>
      <w:r w:rsidR="00002AB4">
        <w:t>the authors</w:t>
      </w:r>
      <w:r>
        <w:t xml:space="preserve">, </w:t>
      </w:r>
      <w:r w:rsidR="00786132">
        <w:t xml:space="preserve">surface phosphate </w:t>
      </w:r>
      <w:r>
        <w:t>in several regions is underestimated by the model</w:t>
      </w:r>
      <w:r w:rsidR="00786132">
        <w:t>, largely due to an underestimation of upwelling</w:t>
      </w:r>
      <w:r>
        <w:t>. In the northern high latitudes, this may translate to exaggerat</w:t>
      </w:r>
      <w:r w:rsidR="00786132">
        <w:t>ed prediction</w:t>
      </w:r>
      <w:r>
        <w:t xml:space="preserve"> of phosphate limitation. </w:t>
      </w:r>
      <w:r w:rsidR="00786132">
        <w:t>With a decrease in this limitation, the northern high latitudes in the RCP</w:t>
      </w:r>
      <w:r w:rsidR="00D34B42">
        <w:t xml:space="preserve"> </w:t>
      </w:r>
      <w:r w:rsidR="00786132">
        <w:t xml:space="preserve">8.5 scenario </w:t>
      </w:r>
      <w:r w:rsidR="00D34B42">
        <w:t xml:space="preserve">may </w:t>
      </w:r>
      <w:r w:rsidR="00786132">
        <w:t>follow trends seen in the Southern Ocean, with increased zooplankton biomass, phytoplankton cell size and standard deviation, and POC export flux. Lower total plankton biomass</w:t>
      </w:r>
      <w:r w:rsidR="00D34B42">
        <w:t xml:space="preserve"> relative to the control would still be expected, as this underestimation also limits control populations.</w:t>
      </w:r>
      <w:r w:rsidR="00786132">
        <w:t xml:space="preserve">  </w:t>
      </w:r>
    </w:p>
    <w:p w14:paraId="4617869F" w14:textId="63A1AC65" w:rsidR="00C3435F" w:rsidRDefault="00EB6470">
      <w:r>
        <w:t>Another limitation of this model is it’s use of a fixed</w:t>
      </w:r>
      <w:r w:rsidR="00D34B42">
        <w:t xml:space="preserve"> oceanic phosphate</w:t>
      </w:r>
      <w:r>
        <w:t xml:space="preserve"> inventory, assuming remineralization of all organic phosphorus</w:t>
      </w:r>
      <w:r w:rsidR="00D34B42">
        <w:t xml:space="preserve"> with no additional input</w:t>
      </w:r>
      <w:r>
        <w:t xml:space="preserve">. </w:t>
      </w:r>
      <w:proofErr w:type="gramStart"/>
      <w:r w:rsidR="00D34B42">
        <w:t>Therefore</w:t>
      </w:r>
      <w:proofErr w:type="gramEnd"/>
      <w:r w:rsidR="00D34B42">
        <w:t xml:space="preserve"> this model does not account for the fact that </w:t>
      </w:r>
      <w:r>
        <w:t>atmospheric CO</w:t>
      </w:r>
      <w:r w:rsidRPr="005C4833">
        <w:rPr>
          <w:vertAlign w:val="subscript"/>
        </w:rPr>
        <w:t>2</w:t>
      </w:r>
      <w:r>
        <w:t xml:space="preserve"> is projected to drive both an increase in oceanic phosphate levels through enhanced weathering and</w:t>
      </w:r>
      <w:r w:rsidR="00A2704A">
        <w:t xml:space="preserve"> a decrease due to</w:t>
      </w:r>
      <w:r>
        <w:t xml:space="preserve"> organic carbon burial (Baroni et al., 2020</w:t>
      </w:r>
      <w:r w:rsidR="00D34B42">
        <w:t>)</w:t>
      </w:r>
      <w:r>
        <w:t xml:space="preserve">. There are also further </w:t>
      </w:r>
      <w:r w:rsidR="00D34B42">
        <w:t>model limitations in</w:t>
      </w:r>
      <w:r>
        <w:t xml:space="preserve"> nutrient cycling</w:t>
      </w:r>
      <w:r w:rsidR="00D34B42">
        <w:t xml:space="preserve"> configuration</w:t>
      </w:r>
      <w:r>
        <w:t>. Changes in iron inventory through atmospheric iron deposition are included in the model</w:t>
      </w:r>
      <w:r w:rsidR="00D34B42">
        <w:t>, however</w:t>
      </w:r>
      <w:r>
        <w:t xml:space="preserve"> the full complexity of processes involved in the iron cycle, which is affected for example by vegetation cover </w:t>
      </w:r>
      <w:r>
        <w:lastRenderedPageBreak/>
        <w:t>(Baroni et al., 2020)</w:t>
      </w:r>
      <w:r w:rsidR="00D34B42">
        <w:t xml:space="preserve"> is not included. The fixed inventory of iron is also in opposition to projected increase in iron inputs (</w:t>
      </w:r>
      <w:r w:rsidR="003371CE">
        <w:t>Maher et al., 2010</w:t>
      </w:r>
      <w:r w:rsidR="00D34B42">
        <w:t>)</w:t>
      </w:r>
    </w:p>
    <w:p w14:paraId="4A1D8E05" w14:textId="230EE3A4" w:rsidR="00C3435F" w:rsidRDefault="00C3435F">
      <w:r>
        <w:t xml:space="preserve">Decreased </w:t>
      </w:r>
      <w:r w:rsidR="00987BCE">
        <w:t xml:space="preserve">global </w:t>
      </w:r>
      <w:r>
        <w:t xml:space="preserve">surface phosphate, with lower phosphate flux due to increased stratification between 2010 and 2100 is in line with </w:t>
      </w:r>
      <w:r w:rsidR="003B1F03">
        <w:t xml:space="preserve">projections by </w:t>
      </w:r>
      <w:r>
        <w:t>other models</w:t>
      </w:r>
      <w:r w:rsidR="00B01EA9">
        <w:t xml:space="preserve">. </w:t>
      </w:r>
      <w:r w:rsidR="003B1F03">
        <w:t>(Fu et al., 2016, Moore et al., 2018).</w:t>
      </w:r>
      <w:r w:rsidR="008D5492">
        <w:t xml:space="preserve"> Though surface iron level predictions by </w:t>
      </w:r>
      <w:proofErr w:type="spellStart"/>
      <w:r w:rsidR="00B01EA9" w:rsidRPr="00971131">
        <w:rPr>
          <w:rFonts w:cstheme="minorHAnsi"/>
        </w:rPr>
        <w:t>EcoGENIE</w:t>
      </w:r>
      <w:proofErr w:type="spellEnd"/>
      <w:r w:rsidR="008D5492">
        <w:t xml:space="preserve"> may be simplified, these other models likewise predict increased iron flux through to 2100AD. </w:t>
      </w:r>
      <w:r w:rsidR="00B01EA9">
        <w:t>P</w:t>
      </w:r>
      <w:r w:rsidR="008D5492">
        <w:t xml:space="preserve">hosphate limitation appears to be a </w:t>
      </w:r>
      <w:r w:rsidR="00B01EA9">
        <w:t>very</w:t>
      </w:r>
      <w:r w:rsidR="008D5492">
        <w:t xml:space="preserve"> important factor in determining future plankton community composition. </w:t>
      </w:r>
      <w:proofErr w:type="spellStart"/>
      <w:r w:rsidR="00B01EA9" w:rsidRPr="00971131">
        <w:rPr>
          <w:rFonts w:cstheme="minorHAnsi"/>
        </w:rPr>
        <w:t>EcoGENIE</w:t>
      </w:r>
      <w:proofErr w:type="spellEnd"/>
      <w:r w:rsidR="008D5492">
        <w:t xml:space="preserve"> may in this regard be more limited than other models in areas where it underestimates phosphate upwelling.  </w:t>
      </w:r>
    </w:p>
    <w:p w14:paraId="5865845B" w14:textId="52A2507D" w:rsidR="008D5492" w:rsidRPr="0068079B" w:rsidRDefault="008D5492">
      <w:r>
        <w:t xml:space="preserve">Overall, </w:t>
      </w:r>
      <w:r w:rsidR="0068079B">
        <w:t xml:space="preserve">large-scale changes in phytoplankton and zooplankton community structure resulting from </w:t>
      </w:r>
      <w:r w:rsidR="00B01EA9">
        <w:t xml:space="preserve">elevated </w:t>
      </w:r>
      <w:r w:rsidR="0068079B">
        <w:t>projected increased atmospheric CO</w:t>
      </w:r>
      <w:r w:rsidR="0068079B">
        <w:rPr>
          <w:vertAlign w:val="subscript"/>
        </w:rPr>
        <w:t>2</w:t>
      </w:r>
      <w:r w:rsidR="0068079B">
        <w:t xml:space="preserve"> levels are seen, in line with other models and current understanding of plankton community dynamics. In some areas, p</w:t>
      </w:r>
      <w:r>
        <w:t>redi</w:t>
      </w:r>
      <w:r w:rsidR="0068079B">
        <w:t>c</w:t>
      </w:r>
      <w:r>
        <w:t xml:space="preserve">tive power in comparison with other models is limited in nutrient flux. However, the model clearly provides clear general predictions of the responses of global plankton communities to </w:t>
      </w:r>
      <w:r w:rsidR="0068079B">
        <w:t>increasing atmospheric CO</w:t>
      </w:r>
      <w:r w:rsidR="0068079B">
        <w:rPr>
          <w:vertAlign w:val="subscript"/>
        </w:rPr>
        <w:t xml:space="preserve">2 </w:t>
      </w:r>
      <w:r w:rsidR="0068079B">
        <w:t xml:space="preserve">through the twenty-first century which provide us with a basis for understanding how oceanic primary productivity will change over the next 80 years. </w:t>
      </w:r>
    </w:p>
    <w:p w14:paraId="06080EC1" w14:textId="7E2AABEB" w:rsidR="00C3435F" w:rsidRDefault="00C3435F"/>
    <w:p w14:paraId="46126436" w14:textId="3D447E5A" w:rsidR="00C3435F" w:rsidRDefault="00C3435F"/>
    <w:p w14:paraId="07B0066F" w14:textId="06F38B99" w:rsidR="00784BEE" w:rsidRDefault="00784BEE"/>
    <w:p w14:paraId="483F13B2" w14:textId="77777777" w:rsidR="00784BEE" w:rsidRDefault="00784BEE"/>
    <w:p w14:paraId="63E3812C" w14:textId="06CDD66A" w:rsidR="009A6347" w:rsidRPr="00211BC6" w:rsidRDefault="00B71684">
      <w:pPr>
        <w:rPr>
          <w:b/>
          <w:bCs/>
          <w:sz w:val="36"/>
          <w:szCs w:val="36"/>
        </w:rPr>
      </w:pPr>
      <w:r w:rsidRPr="00211BC6">
        <w:rPr>
          <w:b/>
          <w:bCs/>
          <w:sz w:val="36"/>
          <w:szCs w:val="36"/>
        </w:rPr>
        <w:t xml:space="preserve">References </w:t>
      </w:r>
    </w:p>
    <w:p w14:paraId="21A75722" w14:textId="2BC676CA" w:rsidR="00B71684" w:rsidRDefault="00B71684"/>
    <w:p w14:paraId="78A5D962" w14:textId="77777777" w:rsidR="00B01EA9" w:rsidRPr="00B01EA9" w:rsidRDefault="00B01EA9">
      <w:pPr>
        <w:rPr>
          <w:rFonts w:ascii="Arial" w:hAnsi="Arial" w:cs="Arial"/>
          <w:sz w:val="20"/>
          <w:szCs w:val="20"/>
        </w:rPr>
      </w:pPr>
    </w:p>
    <w:p w14:paraId="0D918136" w14:textId="77777777" w:rsidR="00B01EA9" w:rsidRPr="00B01EA9" w:rsidRDefault="00B01EA9">
      <w:pPr>
        <w:rPr>
          <w:rFonts w:ascii="Arial" w:hAnsi="Arial" w:cs="Arial"/>
          <w:sz w:val="20"/>
          <w:szCs w:val="20"/>
        </w:rPr>
      </w:pPr>
      <w:r w:rsidRPr="00B01EA9">
        <w:rPr>
          <w:rFonts w:ascii="Arial" w:hAnsi="Arial" w:cs="Arial"/>
          <w:sz w:val="20"/>
          <w:szCs w:val="20"/>
        </w:rPr>
        <w:t>Acevedo-</w:t>
      </w:r>
      <w:proofErr w:type="spellStart"/>
      <w:r w:rsidRPr="00B01EA9">
        <w:rPr>
          <w:rFonts w:ascii="Arial" w:hAnsi="Arial" w:cs="Arial"/>
          <w:sz w:val="20"/>
          <w:szCs w:val="20"/>
        </w:rPr>
        <w:t>Trejos</w:t>
      </w:r>
      <w:proofErr w:type="spellEnd"/>
      <w:r w:rsidRPr="00B01EA9">
        <w:rPr>
          <w:rFonts w:ascii="Arial" w:hAnsi="Arial" w:cs="Arial"/>
          <w:sz w:val="20"/>
          <w:szCs w:val="20"/>
        </w:rPr>
        <w:t>, E., Brandt, G., Bruggeman, J., &amp; Merico, A. (2015). Mechanisms shaping size structure and functional diversity of phytoplankton communities in the ocean. Scientific reports, 5(1), 1-8.</w:t>
      </w:r>
    </w:p>
    <w:p w14:paraId="2216AACB" w14:textId="77777777" w:rsidR="00B01EA9" w:rsidRPr="00B01EA9" w:rsidRDefault="00B01EA9">
      <w:pPr>
        <w:rPr>
          <w:rFonts w:ascii="Arial" w:hAnsi="Arial" w:cs="Arial"/>
          <w:sz w:val="20"/>
          <w:szCs w:val="20"/>
        </w:rPr>
      </w:pPr>
      <w:r w:rsidRPr="00B01EA9">
        <w:rPr>
          <w:rFonts w:ascii="Arial" w:hAnsi="Arial" w:cs="Arial"/>
          <w:sz w:val="20"/>
          <w:szCs w:val="20"/>
          <w:shd w:val="clear" w:color="auto" w:fill="FFFFFF"/>
        </w:rPr>
        <w:t>Barton, A.D., Irwin, A.J., Finkel, Z.V. and Stock, C.A., 2016. Anthropogenic climate change drives shift and shuffle in North Atlantic phytoplankton communities. </w:t>
      </w:r>
      <w:r w:rsidRPr="00B01EA9">
        <w:rPr>
          <w:rFonts w:ascii="Arial" w:hAnsi="Arial" w:cs="Arial"/>
          <w:i/>
          <w:iCs/>
          <w:sz w:val="20"/>
          <w:szCs w:val="20"/>
          <w:shd w:val="clear" w:color="auto" w:fill="FFFFFF"/>
        </w:rPr>
        <w:t>Proceedings of the National Academy of Sciences</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113</w:t>
      </w:r>
      <w:r w:rsidRPr="00B01EA9">
        <w:rPr>
          <w:rFonts w:ascii="Arial" w:hAnsi="Arial" w:cs="Arial"/>
          <w:sz w:val="20"/>
          <w:szCs w:val="20"/>
          <w:shd w:val="clear" w:color="auto" w:fill="FFFFFF"/>
        </w:rPr>
        <w:t>(11), pp.2964-2969.</w:t>
      </w:r>
    </w:p>
    <w:p w14:paraId="5AA2EDBC" w14:textId="77777777" w:rsidR="00B01EA9" w:rsidRPr="00B01EA9" w:rsidRDefault="00B01EA9">
      <w:pPr>
        <w:rPr>
          <w:rFonts w:ascii="Arial" w:hAnsi="Arial" w:cs="Arial"/>
          <w:sz w:val="20"/>
          <w:szCs w:val="20"/>
        </w:rPr>
      </w:pPr>
      <w:proofErr w:type="spellStart"/>
      <w:r w:rsidRPr="00B01EA9">
        <w:rPr>
          <w:rFonts w:ascii="Arial" w:hAnsi="Arial" w:cs="Arial"/>
          <w:sz w:val="20"/>
          <w:szCs w:val="20"/>
          <w:shd w:val="clear" w:color="auto" w:fill="FFFFFF"/>
        </w:rPr>
        <w:t>Behrenfeld</w:t>
      </w:r>
      <w:proofErr w:type="spellEnd"/>
      <w:r w:rsidRPr="00B01EA9">
        <w:rPr>
          <w:rFonts w:ascii="Arial" w:hAnsi="Arial" w:cs="Arial"/>
          <w:sz w:val="20"/>
          <w:szCs w:val="20"/>
          <w:shd w:val="clear" w:color="auto" w:fill="FFFFFF"/>
        </w:rPr>
        <w:t xml:space="preserve">, M.J., O’Malley, R.T., Siegel, D.A., McClain, C.R., Sarmiento, J.L., Feldman, G.C., Milligan, A.J., </w:t>
      </w:r>
      <w:proofErr w:type="spellStart"/>
      <w:r w:rsidRPr="00B01EA9">
        <w:rPr>
          <w:rFonts w:ascii="Arial" w:hAnsi="Arial" w:cs="Arial"/>
          <w:sz w:val="20"/>
          <w:szCs w:val="20"/>
          <w:shd w:val="clear" w:color="auto" w:fill="FFFFFF"/>
        </w:rPr>
        <w:t>Falkowski</w:t>
      </w:r>
      <w:proofErr w:type="spellEnd"/>
      <w:r w:rsidRPr="00B01EA9">
        <w:rPr>
          <w:rFonts w:ascii="Arial" w:hAnsi="Arial" w:cs="Arial"/>
          <w:sz w:val="20"/>
          <w:szCs w:val="20"/>
          <w:shd w:val="clear" w:color="auto" w:fill="FFFFFF"/>
        </w:rPr>
        <w:t xml:space="preserve">, P.G., </w:t>
      </w:r>
      <w:proofErr w:type="spellStart"/>
      <w:r w:rsidRPr="00B01EA9">
        <w:rPr>
          <w:rFonts w:ascii="Arial" w:hAnsi="Arial" w:cs="Arial"/>
          <w:sz w:val="20"/>
          <w:szCs w:val="20"/>
          <w:shd w:val="clear" w:color="auto" w:fill="FFFFFF"/>
        </w:rPr>
        <w:t>Letelier</w:t>
      </w:r>
      <w:proofErr w:type="spellEnd"/>
      <w:r w:rsidRPr="00B01EA9">
        <w:rPr>
          <w:rFonts w:ascii="Arial" w:hAnsi="Arial" w:cs="Arial"/>
          <w:sz w:val="20"/>
          <w:szCs w:val="20"/>
          <w:shd w:val="clear" w:color="auto" w:fill="FFFFFF"/>
        </w:rPr>
        <w:t>, R.M. and Boss, E.S., 2006. Climate-driven trends in contemporary ocean productivity. </w:t>
      </w:r>
      <w:r w:rsidRPr="00B01EA9">
        <w:rPr>
          <w:rFonts w:ascii="Arial" w:hAnsi="Arial" w:cs="Arial"/>
          <w:i/>
          <w:iCs/>
          <w:sz w:val="20"/>
          <w:szCs w:val="20"/>
          <w:shd w:val="clear" w:color="auto" w:fill="FFFFFF"/>
        </w:rPr>
        <w:t>Nature</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444</w:t>
      </w:r>
      <w:r w:rsidRPr="00B01EA9">
        <w:rPr>
          <w:rFonts w:ascii="Arial" w:hAnsi="Arial" w:cs="Arial"/>
          <w:sz w:val="20"/>
          <w:szCs w:val="20"/>
          <w:shd w:val="clear" w:color="auto" w:fill="FFFFFF"/>
        </w:rPr>
        <w:t>(7120), pp.752-755.</w:t>
      </w:r>
    </w:p>
    <w:p w14:paraId="378723C8" w14:textId="77777777" w:rsidR="00B01EA9" w:rsidRPr="00B01EA9" w:rsidRDefault="00B01EA9">
      <w:pPr>
        <w:rPr>
          <w:rFonts w:ascii="Arial" w:hAnsi="Arial" w:cs="Arial"/>
          <w:sz w:val="20"/>
          <w:szCs w:val="20"/>
          <w:shd w:val="clear" w:color="auto" w:fill="FFFFFF"/>
        </w:rPr>
      </w:pPr>
      <w:proofErr w:type="spellStart"/>
      <w:r w:rsidRPr="00B01EA9">
        <w:rPr>
          <w:rFonts w:ascii="Arial" w:hAnsi="Arial" w:cs="Arial"/>
          <w:sz w:val="20"/>
          <w:szCs w:val="20"/>
          <w:shd w:val="clear" w:color="auto" w:fill="FFFFFF"/>
        </w:rPr>
        <w:t>Boscolo-Galazzo</w:t>
      </w:r>
      <w:proofErr w:type="spellEnd"/>
      <w:r w:rsidRPr="00B01EA9">
        <w:rPr>
          <w:rFonts w:ascii="Arial" w:hAnsi="Arial" w:cs="Arial"/>
          <w:sz w:val="20"/>
          <w:szCs w:val="20"/>
          <w:shd w:val="clear" w:color="auto" w:fill="FFFFFF"/>
        </w:rPr>
        <w:t xml:space="preserve">, F., Crichton, K.A., Barker, S. and Pearson, P.N., 2018. Temperature dependency of metabolic rates in the upper ocean: A positive feedback to global climate </w:t>
      </w:r>
      <w:proofErr w:type="gramStart"/>
      <w:r w:rsidRPr="00B01EA9">
        <w:rPr>
          <w:rFonts w:ascii="Arial" w:hAnsi="Arial" w:cs="Arial"/>
          <w:sz w:val="20"/>
          <w:szCs w:val="20"/>
          <w:shd w:val="clear" w:color="auto" w:fill="FFFFFF"/>
        </w:rPr>
        <w:t>change?.</w:t>
      </w:r>
      <w:proofErr w:type="gramEnd"/>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Global and Planetary Change</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170</w:t>
      </w:r>
      <w:r w:rsidRPr="00B01EA9">
        <w:rPr>
          <w:rFonts w:ascii="Arial" w:hAnsi="Arial" w:cs="Arial"/>
          <w:sz w:val="20"/>
          <w:szCs w:val="20"/>
          <w:shd w:val="clear" w:color="auto" w:fill="FFFFFF"/>
        </w:rPr>
        <w:t>, pp.201-212.</w:t>
      </w:r>
    </w:p>
    <w:p w14:paraId="56748B5E" w14:textId="77777777" w:rsidR="00B01EA9" w:rsidRPr="00B01EA9" w:rsidRDefault="00B01EA9" w:rsidP="0097262B">
      <w:pPr>
        <w:rPr>
          <w:rFonts w:ascii="Arial" w:hAnsi="Arial" w:cs="Arial"/>
          <w:b/>
          <w:bCs/>
          <w:sz w:val="20"/>
          <w:szCs w:val="20"/>
        </w:rPr>
      </w:pPr>
      <w:r w:rsidRPr="00B01EA9">
        <w:rPr>
          <w:rFonts w:ascii="Arial" w:hAnsi="Arial" w:cs="Arial"/>
          <w:sz w:val="20"/>
          <w:szCs w:val="20"/>
          <w:shd w:val="clear" w:color="auto" w:fill="FFFFFF"/>
        </w:rPr>
        <w:t xml:space="preserve">Boyd, P.W. and </w:t>
      </w:r>
      <w:proofErr w:type="spellStart"/>
      <w:r w:rsidRPr="00B01EA9">
        <w:rPr>
          <w:rFonts w:ascii="Arial" w:hAnsi="Arial" w:cs="Arial"/>
          <w:sz w:val="20"/>
          <w:szCs w:val="20"/>
          <w:shd w:val="clear" w:color="auto" w:fill="FFFFFF"/>
        </w:rPr>
        <w:t>Doney</w:t>
      </w:r>
      <w:proofErr w:type="spellEnd"/>
      <w:r w:rsidRPr="00B01EA9">
        <w:rPr>
          <w:rFonts w:ascii="Arial" w:hAnsi="Arial" w:cs="Arial"/>
          <w:sz w:val="20"/>
          <w:szCs w:val="20"/>
          <w:shd w:val="clear" w:color="auto" w:fill="FFFFFF"/>
        </w:rPr>
        <w:t>, S.C., 2002. Modelling regional responses by marine pelagic ecosystems to global climate change. </w:t>
      </w:r>
      <w:r w:rsidRPr="00B01EA9">
        <w:rPr>
          <w:rFonts w:ascii="Arial" w:hAnsi="Arial" w:cs="Arial"/>
          <w:i/>
          <w:iCs/>
          <w:sz w:val="20"/>
          <w:szCs w:val="20"/>
          <w:shd w:val="clear" w:color="auto" w:fill="FFFFFF"/>
        </w:rPr>
        <w:t>Geophysical Research Letters</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29</w:t>
      </w:r>
      <w:r w:rsidRPr="00B01EA9">
        <w:rPr>
          <w:rFonts w:ascii="Arial" w:hAnsi="Arial" w:cs="Arial"/>
          <w:sz w:val="20"/>
          <w:szCs w:val="20"/>
          <w:shd w:val="clear" w:color="auto" w:fill="FFFFFF"/>
        </w:rPr>
        <w:t>(16), pp.53-1.</w:t>
      </w:r>
    </w:p>
    <w:p w14:paraId="50137B93" w14:textId="77777777" w:rsidR="00B01EA9" w:rsidRPr="00B01EA9" w:rsidRDefault="00B01EA9" w:rsidP="0097262B">
      <w:pPr>
        <w:rPr>
          <w:rFonts w:ascii="Arial" w:hAnsi="Arial" w:cs="Arial"/>
          <w:b/>
          <w:bCs/>
          <w:sz w:val="20"/>
          <w:szCs w:val="20"/>
        </w:rPr>
      </w:pPr>
      <w:r w:rsidRPr="00B01EA9">
        <w:rPr>
          <w:rFonts w:ascii="Arial" w:hAnsi="Arial" w:cs="Arial"/>
          <w:sz w:val="20"/>
          <w:szCs w:val="20"/>
          <w:shd w:val="clear" w:color="auto" w:fill="FFFFFF"/>
        </w:rPr>
        <w:t xml:space="preserve">Chen, </w:t>
      </w:r>
      <w:proofErr w:type="gramStart"/>
      <w:r w:rsidRPr="00B01EA9">
        <w:rPr>
          <w:rFonts w:ascii="Arial" w:hAnsi="Arial" w:cs="Arial"/>
          <w:sz w:val="20"/>
          <w:szCs w:val="20"/>
          <w:shd w:val="clear" w:color="auto" w:fill="FFFFFF"/>
        </w:rPr>
        <w:t>B.</w:t>
      </w:r>
      <w:proofErr w:type="gramEnd"/>
      <w:r w:rsidRPr="00B01EA9">
        <w:rPr>
          <w:rFonts w:ascii="Arial" w:hAnsi="Arial" w:cs="Arial"/>
          <w:sz w:val="20"/>
          <w:szCs w:val="20"/>
          <w:shd w:val="clear" w:color="auto" w:fill="FFFFFF"/>
        </w:rPr>
        <w:t xml:space="preserve"> and Laws, E.A., 2017. Is there a difference of temperature sensitivity between marine phytoplankton and </w:t>
      </w:r>
      <w:proofErr w:type="gramStart"/>
      <w:r w:rsidRPr="00B01EA9">
        <w:rPr>
          <w:rFonts w:ascii="Arial" w:hAnsi="Arial" w:cs="Arial"/>
          <w:sz w:val="20"/>
          <w:szCs w:val="20"/>
          <w:shd w:val="clear" w:color="auto" w:fill="FFFFFF"/>
        </w:rPr>
        <w:t>heterotrophs?.</w:t>
      </w:r>
      <w:proofErr w:type="gramEnd"/>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Limnology and Oceanography</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62</w:t>
      </w:r>
      <w:r w:rsidRPr="00B01EA9">
        <w:rPr>
          <w:rFonts w:ascii="Arial" w:hAnsi="Arial" w:cs="Arial"/>
          <w:sz w:val="20"/>
          <w:szCs w:val="20"/>
          <w:shd w:val="clear" w:color="auto" w:fill="FFFFFF"/>
        </w:rPr>
        <w:t>(2), pp.806-817.</w:t>
      </w:r>
    </w:p>
    <w:p w14:paraId="16789BDC" w14:textId="77777777" w:rsidR="00B01EA9" w:rsidRPr="00B01EA9" w:rsidRDefault="00B01EA9">
      <w:pPr>
        <w:rPr>
          <w:rFonts w:ascii="Arial" w:hAnsi="Arial" w:cs="Arial"/>
          <w:sz w:val="20"/>
          <w:szCs w:val="20"/>
          <w:shd w:val="clear" w:color="auto" w:fill="FFFFFF"/>
        </w:rPr>
      </w:pPr>
      <w:r w:rsidRPr="00B01EA9">
        <w:rPr>
          <w:rFonts w:ascii="Arial" w:hAnsi="Arial" w:cs="Arial"/>
          <w:sz w:val="20"/>
          <w:szCs w:val="20"/>
          <w:shd w:val="clear" w:color="auto" w:fill="FFFFFF"/>
        </w:rPr>
        <w:t xml:space="preserve">Chen, B., Landry, M.R., Huang, B. and Liu, H., 2012. Does warming enhance the effect of microzooplankton grazing on marine phytoplankton in the </w:t>
      </w:r>
      <w:proofErr w:type="gramStart"/>
      <w:r w:rsidRPr="00B01EA9">
        <w:rPr>
          <w:rFonts w:ascii="Arial" w:hAnsi="Arial" w:cs="Arial"/>
          <w:sz w:val="20"/>
          <w:szCs w:val="20"/>
          <w:shd w:val="clear" w:color="auto" w:fill="FFFFFF"/>
        </w:rPr>
        <w:t>ocean?.</w:t>
      </w:r>
      <w:proofErr w:type="gramEnd"/>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Limnology and oceanography</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57</w:t>
      </w:r>
      <w:r w:rsidRPr="00B01EA9">
        <w:rPr>
          <w:rFonts w:ascii="Arial" w:hAnsi="Arial" w:cs="Arial"/>
          <w:sz w:val="20"/>
          <w:szCs w:val="20"/>
          <w:shd w:val="clear" w:color="auto" w:fill="FFFFFF"/>
        </w:rPr>
        <w:t>(2), pp.519-526.</w:t>
      </w:r>
    </w:p>
    <w:p w14:paraId="2BFFF827" w14:textId="77777777" w:rsidR="00B01EA9" w:rsidRPr="00B01EA9" w:rsidRDefault="00B01EA9" w:rsidP="0097262B">
      <w:pPr>
        <w:rPr>
          <w:rFonts w:ascii="Arial" w:hAnsi="Arial" w:cs="Arial"/>
          <w:b/>
          <w:bCs/>
          <w:sz w:val="20"/>
          <w:szCs w:val="20"/>
        </w:rPr>
      </w:pPr>
      <w:r w:rsidRPr="00B01EA9">
        <w:rPr>
          <w:rFonts w:ascii="Arial" w:hAnsi="Arial" w:cs="Arial"/>
          <w:sz w:val="20"/>
          <w:szCs w:val="20"/>
          <w:shd w:val="clear" w:color="auto" w:fill="FFFFFF"/>
        </w:rPr>
        <w:lastRenderedPageBreak/>
        <w:t xml:space="preserve">Compton, J., Mallinson, D., Glenn, C.R., </w:t>
      </w:r>
      <w:proofErr w:type="spellStart"/>
      <w:r w:rsidRPr="00B01EA9">
        <w:rPr>
          <w:rFonts w:ascii="Arial" w:hAnsi="Arial" w:cs="Arial"/>
          <w:sz w:val="20"/>
          <w:szCs w:val="20"/>
          <w:shd w:val="clear" w:color="auto" w:fill="FFFFFF"/>
        </w:rPr>
        <w:t>Filippelli</w:t>
      </w:r>
      <w:proofErr w:type="spellEnd"/>
      <w:r w:rsidRPr="00B01EA9">
        <w:rPr>
          <w:rFonts w:ascii="Arial" w:hAnsi="Arial" w:cs="Arial"/>
          <w:sz w:val="20"/>
          <w:szCs w:val="20"/>
          <w:shd w:val="clear" w:color="auto" w:fill="FFFFFF"/>
        </w:rPr>
        <w:t xml:space="preserve">, G., </w:t>
      </w:r>
      <w:proofErr w:type="spellStart"/>
      <w:r w:rsidRPr="00B01EA9">
        <w:rPr>
          <w:rFonts w:ascii="Arial" w:hAnsi="Arial" w:cs="Arial"/>
          <w:sz w:val="20"/>
          <w:szCs w:val="20"/>
          <w:shd w:val="clear" w:color="auto" w:fill="FFFFFF"/>
        </w:rPr>
        <w:t>Föllmi</w:t>
      </w:r>
      <w:proofErr w:type="spellEnd"/>
      <w:r w:rsidRPr="00B01EA9">
        <w:rPr>
          <w:rFonts w:ascii="Arial" w:hAnsi="Arial" w:cs="Arial"/>
          <w:sz w:val="20"/>
          <w:szCs w:val="20"/>
          <w:shd w:val="clear" w:color="auto" w:fill="FFFFFF"/>
        </w:rPr>
        <w:t xml:space="preserve">, K., Shields, G. and </w:t>
      </w:r>
      <w:proofErr w:type="spellStart"/>
      <w:r w:rsidRPr="00B01EA9">
        <w:rPr>
          <w:rFonts w:ascii="Arial" w:hAnsi="Arial" w:cs="Arial"/>
          <w:sz w:val="20"/>
          <w:szCs w:val="20"/>
          <w:shd w:val="clear" w:color="auto" w:fill="FFFFFF"/>
        </w:rPr>
        <w:t>Zanin</w:t>
      </w:r>
      <w:proofErr w:type="spellEnd"/>
      <w:r w:rsidRPr="00B01EA9">
        <w:rPr>
          <w:rFonts w:ascii="Arial" w:hAnsi="Arial" w:cs="Arial"/>
          <w:sz w:val="20"/>
          <w:szCs w:val="20"/>
          <w:shd w:val="clear" w:color="auto" w:fill="FFFFFF"/>
        </w:rPr>
        <w:t>, Y., 2000. Variations in the global phosphorus cycle.</w:t>
      </w:r>
    </w:p>
    <w:p w14:paraId="15DFB09C" w14:textId="77777777" w:rsidR="00B01EA9" w:rsidRPr="00B01EA9" w:rsidRDefault="00B01EA9">
      <w:pPr>
        <w:rPr>
          <w:rFonts w:ascii="Arial" w:hAnsi="Arial" w:cs="Arial"/>
          <w:sz w:val="20"/>
          <w:szCs w:val="20"/>
          <w:shd w:val="clear" w:color="auto" w:fill="FFFFFF"/>
        </w:rPr>
      </w:pPr>
      <w:proofErr w:type="spellStart"/>
      <w:r w:rsidRPr="00B01EA9">
        <w:rPr>
          <w:rFonts w:ascii="Arial" w:hAnsi="Arial" w:cs="Arial"/>
          <w:sz w:val="20"/>
          <w:szCs w:val="20"/>
          <w:shd w:val="clear" w:color="auto" w:fill="FFFFFF"/>
        </w:rPr>
        <w:t>Deppeler</w:t>
      </w:r>
      <w:proofErr w:type="spellEnd"/>
      <w:r w:rsidRPr="00B01EA9">
        <w:rPr>
          <w:rFonts w:ascii="Arial" w:hAnsi="Arial" w:cs="Arial"/>
          <w:sz w:val="20"/>
          <w:szCs w:val="20"/>
          <w:shd w:val="clear" w:color="auto" w:fill="FFFFFF"/>
        </w:rPr>
        <w:t>, S.L. and Davidson, A.T., 2017. Southern Ocean phytoplankton in a changing climate. </w:t>
      </w:r>
      <w:r w:rsidRPr="00B01EA9">
        <w:rPr>
          <w:rFonts w:ascii="Arial" w:hAnsi="Arial" w:cs="Arial"/>
          <w:i/>
          <w:iCs/>
          <w:sz w:val="20"/>
          <w:szCs w:val="20"/>
          <w:shd w:val="clear" w:color="auto" w:fill="FFFFFF"/>
        </w:rPr>
        <w:t>Frontiers in Marine Science</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4</w:t>
      </w:r>
      <w:r w:rsidRPr="00B01EA9">
        <w:rPr>
          <w:rFonts w:ascii="Arial" w:hAnsi="Arial" w:cs="Arial"/>
          <w:sz w:val="20"/>
          <w:szCs w:val="20"/>
          <w:shd w:val="clear" w:color="auto" w:fill="FFFFFF"/>
        </w:rPr>
        <w:t>, p.40.</w:t>
      </w:r>
    </w:p>
    <w:p w14:paraId="41870C3D" w14:textId="77777777" w:rsidR="00B01EA9" w:rsidRPr="00B01EA9" w:rsidRDefault="00B01EA9">
      <w:pPr>
        <w:rPr>
          <w:rFonts w:ascii="Arial" w:hAnsi="Arial" w:cs="Arial"/>
          <w:sz w:val="20"/>
          <w:szCs w:val="20"/>
          <w:shd w:val="clear" w:color="auto" w:fill="FFFFFF"/>
        </w:rPr>
      </w:pPr>
      <w:r w:rsidRPr="00B01EA9">
        <w:rPr>
          <w:rFonts w:ascii="Arial" w:hAnsi="Arial" w:cs="Arial"/>
          <w:sz w:val="20"/>
          <w:szCs w:val="20"/>
          <w:shd w:val="clear" w:color="auto" w:fill="FFFFFF"/>
        </w:rPr>
        <w:t xml:space="preserve">Fu, W., </w:t>
      </w:r>
      <w:proofErr w:type="spellStart"/>
      <w:r w:rsidRPr="00B01EA9">
        <w:rPr>
          <w:rFonts w:ascii="Arial" w:hAnsi="Arial" w:cs="Arial"/>
          <w:sz w:val="20"/>
          <w:szCs w:val="20"/>
          <w:shd w:val="clear" w:color="auto" w:fill="FFFFFF"/>
        </w:rPr>
        <w:t>Randerson</w:t>
      </w:r>
      <w:proofErr w:type="spellEnd"/>
      <w:r w:rsidRPr="00B01EA9">
        <w:rPr>
          <w:rFonts w:ascii="Arial" w:hAnsi="Arial" w:cs="Arial"/>
          <w:sz w:val="20"/>
          <w:szCs w:val="20"/>
          <w:shd w:val="clear" w:color="auto" w:fill="FFFFFF"/>
        </w:rPr>
        <w:t>, J.T. and Moore, J.K., 2016. Climate change impacts on net primary production (NPP) and export production (EP) regulated by increasing stratification and phytoplankton community structure in the CMIP5 models. </w:t>
      </w:r>
      <w:proofErr w:type="spellStart"/>
      <w:r w:rsidRPr="00B01EA9">
        <w:rPr>
          <w:rFonts w:ascii="Arial" w:hAnsi="Arial" w:cs="Arial"/>
          <w:i/>
          <w:iCs/>
          <w:sz w:val="20"/>
          <w:szCs w:val="20"/>
          <w:shd w:val="clear" w:color="auto" w:fill="FFFFFF"/>
        </w:rPr>
        <w:t>Biogeosciences</w:t>
      </w:r>
      <w:proofErr w:type="spellEnd"/>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13</w:t>
      </w:r>
      <w:r w:rsidRPr="00B01EA9">
        <w:rPr>
          <w:rFonts w:ascii="Arial" w:hAnsi="Arial" w:cs="Arial"/>
          <w:sz w:val="20"/>
          <w:szCs w:val="20"/>
          <w:shd w:val="clear" w:color="auto" w:fill="FFFFFF"/>
        </w:rPr>
        <w:t>(18), pp.5151-5170.</w:t>
      </w:r>
    </w:p>
    <w:p w14:paraId="74ED6982" w14:textId="77777777" w:rsidR="00B01EA9" w:rsidRPr="00B01EA9" w:rsidRDefault="00B01EA9">
      <w:pPr>
        <w:rPr>
          <w:rFonts w:ascii="Arial" w:hAnsi="Arial" w:cs="Arial"/>
          <w:sz w:val="20"/>
          <w:szCs w:val="20"/>
          <w:shd w:val="clear" w:color="auto" w:fill="FFFFFF"/>
        </w:rPr>
      </w:pPr>
      <w:r w:rsidRPr="00B01EA9">
        <w:rPr>
          <w:rFonts w:ascii="Arial" w:hAnsi="Arial" w:cs="Arial"/>
          <w:sz w:val="20"/>
          <w:szCs w:val="20"/>
          <w:shd w:val="clear" w:color="auto" w:fill="FFFFFF"/>
        </w:rPr>
        <w:t xml:space="preserve">Gasol, J.M., Del Giorgio, </w:t>
      </w:r>
      <w:proofErr w:type="gramStart"/>
      <w:r w:rsidRPr="00B01EA9">
        <w:rPr>
          <w:rFonts w:ascii="Arial" w:hAnsi="Arial" w:cs="Arial"/>
          <w:sz w:val="20"/>
          <w:szCs w:val="20"/>
          <w:shd w:val="clear" w:color="auto" w:fill="FFFFFF"/>
        </w:rPr>
        <w:t>P.A.</w:t>
      </w:r>
      <w:proofErr w:type="gramEnd"/>
      <w:r w:rsidRPr="00B01EA9">
        <w:rPr>
          <w:rFonts w:ascii="Arial" w:hAnsi="Arial" w:cs="Arial"/>
          <w:sz w:val="20"/>
          <w:szCs w:val="20"/>
          <w:shd w:val="clear" w:color="auto" w:fill="FFFFFF"/>
        </w:rPr>
        <w:t xml:space="preserve"> and Duarte, C.M., 1997. Biomass distribution in marine planktonic communities. </w:t>
      </w:r>
      <w:r w:rsidRPr="00B01EA9">
        <w:rPr>
          <w:rFonts w:ascii="Arial" w:hAnsi="Arial" w:cs="Arial"/>
          <w:i/>
          <w:iCs/>
          <w:sz w:val="20"/>
          <w:szCs w:val="20"/>
          <w:shd w:val="clear" w:color="auto" w:fill="FFFFFF"/>
        </w:rPr>
        <w:t>Limnology and Oceanography</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42</w:t>
      </w:r>
      <w:r w:rsidRPr="00B01EA9">
        <w:rPr>
          <w:rFonts w:ascii="Arial" w:hAnsi="Arial" w:cs="Arial"/>
          <w:sz w:val="20"/>
          <w:szCs w:val="20"/>
          <w:shd w:val="clear" w:color="auto" w:fill="FFFFFF"/>
        </w:rPr>
        <w:t>(6), pp.1353-1363.</w:t>
      </w:r>
    </w:p>
    <w:p w14:paraId="52F588E7" w14:textId="77777777" w:rsidR="00B01EA9" w:rsidRPr="00B01EA9" w:rsidRDefault="00B01EA9">
      <w:pPr>
        <w:rPr>
          <w:rFonts w:ascii="Arial" w:hAnsi="Arial" w:cs="Arial"/>
          <w:sz w:val="20"/>
          <w:szCs w:val="20"/>
        </w:rPr>
      </w:pPr>
      <w:r w:rsidRPr="00B01EA9">
        <w:rPr>
          <w:rFonts w:ascii="Arial" w:hAnsi="Arial" w:cs="Arial"/>
          <w:sz w:val="20"/>
          <w:szCs w:val="20"/>
          <w:shd w:val="clear" w:color="auto" w:fill="FFFFFF"/>
        </w:rPr>
        <w:t>Horner, T.J., Williams, H.M., Hein, J.R., Saito, M.A., Burton, K.W., Halliday, A.N. and Nielsen, S.G., 2015. Persistence of deeply sourced iron in the Pacific Ocean. </w:t>
      </w:r>
      <w:r w:rsidRPr="00B01EA9">
        <w:rPr>
          <w:rFonts w:ascii="Arial" w:hAnsi="Arial" w:cs="Arial"/>
          <w:i/>
          <w:iCs/>
          <w:sz w:val="20"/>
          <w:szCs w:val="20"/>
          <w:shd w:val="clear" w:color="auto" w:fill="FFFFFF"/>
        </w:rPr>
        <w:t>Proceedings of the National Academy of Sciences</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112</w:t>
      </w:r>
      <w:r w:rsidRPr="00B01EA9">
        <w:rPr>
          <w:rFonts w:ascii="Arial" w:hAnsi="Arial" w:cs="Arial"/>
          <w:sz w:val="20"/>
          <w:szCs w:val="20"/>
          <w:shd w:val="clear" w:color="auto" w:fill="FFFFFF"/>
        </w:rPr>
        <w:t>(5), pp.1292-1297.</w:t>
      </w:r>
    </w:p>
    <w:p w14:paraId="3091D651" w14:textId="77777777" w:rsidR="00B01EA9" w:rsidRPr="00B01EA9" w:rsidRDefault="00B01EA9">
      <w:pPr>
        <w:rPr>
          <w:rFonts w:ascii="Arial" w:hAnsi="Arial" w:cs="Arial"/>
          <w:sz w:val="20"/>
          <w:szCs w:val="20"/>
          <w:shd w:val="clear" w:color="auto" w:fill="FFFFFF"/>
        </w:rPr>
      </w:pPr>
      <w:proofErr w:type="spellStart"/>
      <w:r w:rsidRPr="00B01EA9">
        <w:rPr>
          <w:rFonts w:ascii="Arial" w:hAnsi="Arial" w:cs="Arial"/>
          <w:sz w:val="20"/>
          <w:szCs w:val="20"/>
          <w:shd w:val="clear" w:color="auto" w:fill="FFFFFF"/>
        </w:rPr>
        <w:t>Jonkers</w:t>
      </w:r>
      <w:proofErr w:type="spellEnd"/>
      <w:r w:rsidRPr="00B01EA9">
        <w:rPr>
          <w:rFonts w:ascii="Arial" w:hAnsi="Arial" w:cs="Arial"/>
          <w:sz w:val="20"/>
          <w:szCs w:val="20"/>
          <w:shd w:val="clear" w:color="auto" w:fill="FFFFFF"/>
        </w:rPr>
        <w:t>, L., Hillebrand, H. and Kucera, M., 2019. Global change drives modern plankton communities away from the pre-industrial state. </w:t>
      </w:r>
      <w:r w:rsidRPr="00B01EA9">
        <w:rPr>
          <w:rFonts w:ascii="Arial" w:hAnsi="Arial" w:cs="Arial"/>
          <w:i/>
          <w:iCs/>
          <w:sz w:val="20"/>
          <w:szCs w:val="20"/>
          <w:shd w:val="clear" w:color="auto" w:fill="FFFFFF"/>
        </w:rPr>
        <w:t>Nature</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570</w:t>
      </w:r>
      <w:r w:rsidRPr="00B01EA9">
        <w:rPr>
          <w:rFonts w:ascii="Arial" w:hAnsi="Arial" w:cs="Arial"/>
          <w:sz w:val="20"/>
          <w:szCs w:val="20"/>
          <w:shd w:val="clear" w:color="auto" w:fill="FFFFFF"/>
        </w:rPr>
        <w:t>(7761), pp.372-375.</w:t>
      </w:r>
    </w:p>
    <w:p w14:paraId="65D7B771" w14:textId="77777777" w:rsidR="00B01EA9" w:rsidRPr="00B01EA9" w:rsidRDefault="00B01EA9">
      <w:pPr>
        <w:rPr>
          <w:rFonts w:ascii="Arial" w:hAnsi="Arial" w:cs="Arial"/>
          <w:sz w:val="20"/>
          <w:szCs w:val="20"/>
          <w:shd w:val="clear" w:color="auto" w:fill="FFFFFF"/>
        </w:rPr>
      </w:pPr>
      <w:proofErr w:type="spellStart"/>
      <w:r w:rsidRPr="00B01EA9">
        <w:rPr>
          <w:rFonts w:ascii="Arial" w:hAnsi="Arial" w:cs="Arial"/>
          <w:sz w:val="20"/>
          <w:szCs w:val="20"/>
          <w:shd w:val="clear" w:color="auto" w:fill="FFFFFF"/>
        </w:rPr>
        <w:t>Krumhardt</w:t>
      </w:r>
      <w:proofErr w:type="spellEnd"/>
      <w:r w:rsidRPr="00B01EA9">
        <w:rPr>
          <w:rFonts w:ascii="Arial" w:hAnsi="Arial" w:cs="Arial"/>
          <w:sz w:val="20"/>
          <w:szCs w:val="20"/>
          <w:shd w:val="clear" w:color="auto" w:fill="FFFFFF"/>
        </w:rPr>
        <w:t xml:space="preserve">, K.M., </w:t>
      </w:r>
      <w:proofErr w:type="spellStart"/>
      <w:r w:rsidRPr="00B01EA9">
        <w:rPr>
          <w:rFonts w:ascii="Arial" w:hAnsi="Arial" w:cs="Arial"/>
          <w:sz w:val="20"/>
          <w:szCs w:val="20"/>
          <w:shd w:val="clear" w:color="auto" w:fill="FFFFFF"/>
        </w:rPr>
        <w:t>Lovenduski</w:t>
      </w:r>
      <w:proofErr w:type="spellEnd"/>
      <w:r w:rsidRPr="00B01EA9">
        <w:rPr>
          <w:rFonts w:ascii="Arial" w:hAnsi="Arial" w:cs="Arial"/>
          <w:sz w:val="20"/>
          <w:szCs w:val="20"/>
          <w:shd w:val="clear" w:color="auto" w:fill="FFFFFF"/>
        </w:rPr>
        <w:t>, N.S., Long, M.C. and Lindsay, K., 2017. Avoidable impacts of ocean warming on marine primary production: Insights from the CESM ensembles. </w:t>
      </w:r>
      <w:r w:rsidRPr="00B01EA9">
        <w:rPr>
          <w:rFonts w:ascii="Arial" w:hAnsi="Arial" w:cs="Arial"/>
          <w:i/>
          <w:iCs/>
          <w:sz w:val="20"/>
          <w:szCs w:val="20"/>
          <w:shd w:val="clear" w:color="auto" w:fill="FFFFFF"/>
        </w:rPr>
        <w:t>Global Biogeochemical Cycles</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31</w:t>
      </w:r>
      <w:r w:rsidRPr="00B01EA9">
        <w:rPr>
          <w:rFonts w:ascii="Arial" w:hAnsi="Arial" w:cs="Arial"/>
          <w:sz w:val="20"/>
          <w:szCs w:val="20"/>
          <w:shd w:val="clear" w:color="auto" w:fill="FFFFFF"/>
        </w:rPr>
        <w:t>(1), pp.114-133.</w:t>
      </w:r>
    </w:p>
    <w:p w14:paraId="1FA557F9" w14:textId="77777777" w:rsidR="00B01EA9" w:rsidRPr="00B01EA9" w:rsidRDefault="00B01EA9">
      <w:pPr>
        <w:rPr>
          <w:rFonts w:ascii="Arial" w:hAnsi="Arial" w:cs="Arial"/>
          <w:sz w:val="20"/>
          <w:szCs w:val="20"/>
        </w:rPr>
      </w:pPr>
      <w:r w:rsidRPr="00B01EA9">
        <w:rPr>
          <w:rFonts w:ascii="Arial" w:hAnsi="Arial" w:cs="Arial"/>
          <w:sz w:val="20"/>
          <w:szCs w:val="20"/>
          <w:shd w:val="clear" w:color="auto" w:fill="FFFFFF"/>
        </w:rPr>
        <w:t xml:space="preserve">Maher, B.A., Prospero, J.M., Mackie, D., </w:t>
      </w:r>
      <w:proofErr w:type="spellStart"/>
      <w:r w:rsidRPr="00B01EA9">
        <w:rPr>
          <w:rFonts w:ascii="Arial" w:hAnsi="Arial" w:cs="Arial"/>
          <w:sz w:val="20"/>
          <w:szCs w:val="20"/>
          <w:shd w:val="clear" w:color="auto" w:fill="FFFFFF"/>
        </w:rPr>
        <w:t>Gaiero</w:t>
      </w:r>
      <w:proofErr w:type="spellEnd"/>
      <w:r w:rsidRPr="00B01EA9">
        <w:rPr>
          <w:rFonts w:ascii="Arial" w:hAnsi="Arial" w:cs="Arial"/>
          <w:sz w:val="20"/>
          <w:szCs w:val="20"/>
          <w:shd w:val="clear" w:color="auto" w:fill="FFFFFF"/>
        </w:rPr>
        <w:t xml:space="preserve">, D., Hesse, P.P. and </w:t>
      </w:r>
      <w:proofErr w:type="spellStart"/>
      <w:r w:rsidRPr="00B01EA9">
        <w:rPr>
          <w:rFonts w:ascii="Arial" w:hAnsi="Arial" w:cs="Arial"/>
          <w:sz w:val="20"/>
          <w:szCs w:val="20"/>
          <w:shd w:val="clear" w:color="auto" w:fill="FFFFFF"/>
        </w:rPr>
        <w:t>Balkanski</w:t>
      </w:r>
      <w:proofErr w:type="spellEnd"/>
      <w:r w:rsidRPr="00B01EA9">
        <w:rPr>
          <w:rFonts w:ascii="Arial" w:hAnsi="Arial" w:cs="Arial"/>
          <w:sz w:val="20"/>
          <w:szCs w:val="20"/>
          <w:shd w:val="clear" w:color="auto" w:fill="FFFFFF"/>
        </w:rPr>
        <w:t xml:space="preserve">, Y., 2010. Global connections between aeolian dust, </w:t>
      </w:r>
      <w:proofErr w:type="gramStart"/>
      <w:r w:rsidRPr="00B01EA9">
        <w:rPr>
          <w:rFonts w:ascii="Arial" w:hAnsi="Arial" w:cs="Arial"/>
          <w:sz w:val="20"/>
          <w:szCs w:val="20"/>
          <w:shd w:val="clear" w:color="auto" w:fill="FFFFFF"/>
        </w:rPr>
        <w:t>climate</w:t>
      </w:r>
      <w:proofErr w:type="gramEnd"/>
      <w:r w:rsidRPr="00B01EA9">
        <w:rPr>
          <w:rFonts w:ascii="Arial" w:hAnsi="Arial" w:cs="Arial"/>
          <w:sz w:val="20"/>
          <w:szCs w:val="20"/>
          <w:shd w:val="clear" w:color="auto" w:fill="FFFFFF"/>
        </w:rPr>
        <w:t xml:space="preserve"> and ocean biogeochemistry at the present day and at the last glacial maximum. </w:t>
      </w:r>
      <w:r w:rsidRPr="00B01EA9">
        <w:rPr>
          <w:rFonts w:ascii="Arial" w:hAnsi="Arial" w:cs="Arial"/>
          <w:i/>
          <w:iCs/>
          <w:sz w:val="20"/>
          <w:szCs w:val="20"/>
          <w:shd w:val="clear" w:color="auto" w:fill="FFFFFF"/>
        </w:rPr>
        <w:t>Earth-Science Reviews</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99</w:t>
      </w:r>
      <w:r w:rsidRPr="00B01EA9">
        <w:rPr>
          <w:rFonts w:ascii="Arial" w:hAnsi="Arial" w:cs="Arial"/>
          <w:sz w:val="20"/>
          <w:szCs w:val="20"/>
          <w:shd w:val="clear" w:color="auto" w:fill="FFFFFF"/>
        </w:rPr>
        <w:t>(1-2), pp.61-97.</w:t>
      </w:r>
    </w:p>
    <w:p w14:paraId="252CB0D8" w14:textId="77777777" w:rsidR="00B01EA9" w:rsidRPr="00B01EA9" w:rsidRDefault="00B01EA9" w:rsidP="0097262B">
      <w:pPr>
        <w:rPr>
          <w:rFonts w:ascii="Arial" w:hAnsi="Arial" w:cs="Arial"/>
          <w:sz w:val="20"/>
          <w:szCs w:val="20"/>
          <w:shd w:val="clear" w:color="auto" w:fill="FFFFFF"/>
        </w:rPr>
      </w:pPr>
      <w:r w:rsidRPr="00B01EA9">
        <w:rPr>
          <w:rFonts w:ascii="Arial" w:hAnsi="Arial" w:cs="Arial"/>
          <w:sz w:val="20"/>
          <w:szCs w:val="20"/>
          <w:shd w:val="clear" w:color="auto" w:fill="FFFFFF"/>
        </w:rPr>
        <w:t xml:space="preserve">Mojica, K.D., van de Poll, W.H., Kehoe, M., Huisman, J., Timmermans, K.R., </w:t>
      </w:r>
      <w:proofErr w:type="spellStart"/>
      <w:r w:rsidRPr="00B01EA9">
        <w:rPr>
          <w:rFonts w:ascii="Arial" w:hAnsi="Arial" w:cs="Arial"/>
          <w:sz w:val="20"/>
          <w:szCs w:val="20"/>
          <w:shd w:val="clear" w:color="auto" w:fill="FFFFFF"/>
        </w:rPr>
        <w:t>Buma</w:t>
      </w:r>
      <w:proofErr w:type="spellEnd"/>
      <w:r w:rsidRPr="00B01EA9">
        <w:rPr>
          <w:rFonts w:ascii="Arial" w:hAnsi="Arial" w:cs="Arial"/>
          <w:sz w:val="20"/>
          <w:szCs w:val="20"/>
          <w:shd w:val="clear" w:color="auto" w:fill="FFFFFF"/>
        </w:rPr>
        <w:t xml:space="preserve">, A.G., van der </w:t>
      </w:r>
      <w:proofErr w:type="spellStart"/>
      <w:r w:rsidRPr="00B01EA9">
        <w:rPr>
          <w:rFonts w:ascii="Arial" w:hAnsi="Arial" w:cs="Arial"/>
          <w:sz w:val="20"/>
          <w:szCs w:val="20"/>
          <w:shd w:val="clear" w:color="auto" w:fill="FFFFFF"/>
        </w:rPr>
        <w:t>Woerd</w:t>
      </w:r>
      <w:proofErr w:type="spellEnd"/>
      <w:r w:rsidRPr="00B01EA9">
        <w:rPr>
          <w:rFonts w:ascii="Arial" w:hAnsi="Arial" w:cs="Arial"/>
          <w:sz w:val="20"/>
          <w:szCs w:val="20"/>
          <w:shd w:val="clear" w:color="auto" w:fill="FFFFFF"/>
        </w:rPr>
        <w:t>, H.J., Hahn</w:t>
      </w:r>
      <w:r w:rsidRPr="00B01EA9">
        <w:rPr>
          <w:rFonts w:ascii="Cambria Math" w:hAnsi="Cambria Math" w:cs="Cambria Math"/>
          <w:sz w:val="20"/>
          <w:szCs w:val="20"/>
          <w:shd w:val="clear" w:color="auto" w:fill="FFFFFF"/>
        </w:rPr>
        <w:t>‐</w:t>
      </w:r>
      <w:proofErr w:type="spellStart"/>
      <w:r w:rsidRPr="00B01EA9">
        <w:rPr>
          <w:rFonts w:ascii="Arial" w:hAnsi="Arial" w:cs="Arial"/>
          <w:sz w:val="20"/>
          <w:szCs w:val="20"/>
          <w:shd w:val="clear" w:color="auto" w:fill="FFFFFF"/>
        </w:rPr>
        <w:t>Woernle</w:t>
      </w:r>
      <w:proofErr w:type="spellEnd"/>
      <w:r w:rsidRPr="00B01EA9">
        <w:rPr>
          <w:rFonts w:ascii="Arial" w:hAnsi="Arial" w:cs="Arial"/>
          <w:sz w:val="20"/>
          <w:szCs w:val="20"/>
          <w:shd w:val="clear" w:color="auto" w:fill="FFFFFF"/>
        </w:rPr>
        <w:t xml:space="preserve">, L., Dijkstra, H.A. and </w:t>
      </w:r>
      <w:proofErr w:type="spellStart"/>
      <w:r w:rsidRPr="00B01EA9">
        <w:rPr>
          <w:rFonts w:ascii="Arial" w:hAnsi="Arial" w:cs="Arial"/>
          <w:sz w:val="20"/>
          <w:szCs w:val="20"/>
          <w:shd w:val="clear" w:color="auto" w:fill="FFFFFF"/>
        </w:rPr>
        <w:t>Brussaard</w:t>
      </w:r>
      <w:proofErr w:type="spellEnd"/>
      <w:r w:rsidRPr="00B01EA9">
        <w:rPr>
          <w:rFonts w:ascii="Arial" w:hAnsi="Arial" w:cs="Arial"/>
          <w:sz w:val="20"/>
          <w:szCs w:val="20"/>
          <w:shd w:val="clear" w:color="auto" w:fill="FFFFFF"/>
        </w:rPr>
        <w:t>, C.P., 2015. Phytoplankton community structure in relation to vertical stratification along a north</w:t>
      </w:r>
      <w:r w:rsidRPr="00B01EA9">
        <w:rPr>
          <w:rFonts w:ascii="Cambria Math" w:hAnsi="Cambria Math" w:cs="Cambria Math"/>
          <w:sz w:val="20"/>
          <w:szCs w:val="20"/>
          <w:shd w:val="clear" w:color="auto" w:fill="FFFFFF"/>
        </w:rPr>
        <w:t>‐</w:t>
      </w:r>
      <w:r w:rsidRPr="00B01EA9">
        <w:rPr>
          <w:rFonts w:ascii="Arial" w:hAnsi="Arial" w:cs="Arial"/>
          <w:sz w:val="20"/>
          <w:szCs w:val="20"/>
          <w:shd w:val="clear" w:color="auto" w:fill="FFFFFF"/>
        </w:rPr>
        <w:t xml:space="preserve">south gradient in the N </w:t>
      </w:r>
      <w:proofErr w:type="spellStart"/>
      <w:r w:rsidRPr="00B01EA9">
        <w:rPr>
          <w:rFonts w:ascii="Arial" w:hAnsi="Arial" w:cs="Arial"/>
          <w:sz w:val="20"/>
          <w:szCs w:val="20"/>
          <w:shd w:val="clear" w:color="auto" w:fill="FFFFFF"/>
        </w:rPr>
        <w:t>ortheast</w:t>
      </w:r>
      <w:proofErr w:type="spellEnd"/>
      <w:r w:rsidRPr="00B01EA9">
        <w:rPr>
          <w:rFonts w:ascii="Arial" w:hAnsi="Arial" w:cs="Arial"/>
          <w:sz w:val="20"/>
          <w:szCs w:val="20"/>
          <w:shd w:val="clear" w:color="auto" w:fill="FFFFFF"/>
        </w:rPr>
        <w:t xml:space="preserve"> Atlantic O </w:t>
      </w:r>
      <w:proofErr w:type="spellStart"/>
      <w:r w:rsidRPr="00B01EA9">
        <w:rPr>
          <w:rFonts w:ascii="Arial" w:hAnsi="Arial" w:cs="Arial"/>
          <w:sz w:val="20"/>
          <w:szCs w:val="20"/>
          <w:shd w:val="clear" w:color="auto" w:fill="FFFFFF"/>
        </w:rPr>
        <w:t>cean</w:t>
      </w:r>
      <w:proofErr w:type="spellEnd"/>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Limnology and Oceanography</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60</w:t>
      </w:r>
      <w:r w:rsidRPr="00B01EA9">
        <w:rPr>
          <w:rFonts w:ascii="Arial" w:hAnsi="Arial" w:cs="Arial"/>
          <w:sz w:val="20"/>
          <w:szCs w:val="20"/>
          <w:shd w:val="clear" w:color="auto" w:fill="FFFFFF"/>
        </w:rPr>
        <w:t>(5), pp.1498-1521.</w:t>
      </w:r>
    </w:p>
    <w:p w14:paraId="3E890996" w14:textId="77777777" w:rsidR="00B01EA9" w:rsidRPr="00B01EA9" w:rsidRDefault="00B01EA9">
      <w:pPr>
        <w:rPr>
          <w:rFonts w:ascii="Arial" w:hAnsi="Arial" w:cs="Arial"/>
          <w:sz w:val="20"/>
          <w:szCs w:val="20"/>
          <w:shd w:val="clear" w:color="auto" w:fill="FFFFFF"/>
        </w:rPr>
      </w:pPr>
      <w:r w:rsidRPr="00B01EA9">
        <w:rPr>
          <w:rFonts w:ascii="Arial" w:hAnsi="Arial" w:cs="Arial"/>
          <w:sz w:val="20"/>
          <w:szCs w:val="20"/>
          <w:shd w:val="clear" w:color="auto" w:fill="FFFFFF"/>
        </w:rPr>
        <w:t xml:space="preserve">Moore, J.K., Fu, W., </w:t>
      </w:r>
      <w:proofErr w:type="spellStart"/>
      <w:r w:rsidRPr="00B01EA9">
        <w:rPr>
          <w:rFonts w:ascii="Arial" w:hAnsi="Arial" w:cs="Arial"/>
          <w:sz w:val="20"/>
          <w:szCs w:val="20"/>
          <w:shd w:val="clear" w:color="auto" w:fill="FFFFFF"/>
        </w:rPr>
        <w:t>Primeau</w:t>
      </w:r>
      <w:proofErr w:type="spellEnd"/>
      <w:r w:rsidRPr="00B01EA9">
        <w:rPr>
          <w:rFonts w:ascii="Arial" w:hAnsi="Arial" w:cs="Arial"/>
          <w:sz w:val="20"/>
          <w:szCs w:val="20"/>
          <w:shd w:val="clear" w:color="auto" w:fill="FFFFFF"/>
        </w:rPr>
        <w:t xml:space="preserve">, F., Britten, G.L., Lindsay, K., Long, M., </w:t>
      </w:r>
      <w:proofErr w:type="spellStart"/>
      <w:r w:rsidRPr="00B01EA9">
        <w:rPr>
          <w:rFonts w:ascii="Arial" w:hAnsi="Arial" w:cs="Arial"/>
          <w:sz w:val="20"/>
          <w:szCs w:val="20"/>
          <w:shd w:val="clear" w:color="auto" w:fill="FFFFFF"/>
        </w:rPr>
        <w:t>Doney</w:t>
      </w:r>
      <w:proofErr w:type="spellEnd"/>
      <w:r w:rsidRPr="00B01EA9">
        <w:rPr>
          <w:rFonts w:ascii="Arial" w:hAnsi="Arial" w:cs="Arial"/>
          <w:sz w:val="20"/>
          <w:szCs w:val="20"/>
          <w:shd w:val="clear" w:color="auto" w:fill="FFFFFF"/>
        </w:rPr>
        <w:t xml:space="preserve">, S.C., </w:t>
      </w:r>
      <w:proofErr w:type="spellStart"/>
      <w:r w:rsidRPr="00B01EA9">
        <w:rPr>
          <w:rFonts w:ascii="Arial" w:hAnsi="Arial" w:cs="Arial"/>
          <w:sz w:val="20"/>
          <w:szCs w:val="20"/>
          <w:shd w:val="clear" w:color="auto" w:fill="FFFFFF"/>
        </w:rPr>
        <w:t>Mahowald</w:t>
      </w:r>
      <w:proofErr w:type="spellEnd"/>
      <w:r w:rsidRPr="00B01EA9">
        <w:rPr>
          <w:rFonts w:ascii="Arial" w:hAnsi="Arial" w:cs="Arial"/>
          <w:sz w:val="20"/>
          <w:szCs w:val="20"/>
          <w:shd w:val="clear" w:color="auto" w:fill="FFFFFF"/>
        </w:rPr>
        <w:t xml:space="preserve">, N., Hoffman, F. and </w:t>
      </w:r>
      <w:proofErr w:type="spellStart"/>
      <w:r w:rsidRPr="00B01EA9">
        <w:rPr>
          <w:rFonts w:ascii="Arial" w:hAnsi="Arial" w:cs="Arial"/>
          <w:sz w:val="20"/>
          <w:szCs w:val="20"/>
          <w:shd w:val="clear" w:color="auto" w:fill="FFFFFF"/>
        </w:rPr>
        <w:t>Randerson</w:t>
      </w:r>
      <w:proofErr w:type="spellEnd"/>
      <w:r w:rsidRPr="00B01EA9">
        <w:rPr>
          <w:rFonts w:ascii="Arial" w:hAnsi="Arial" w:cs="Arial"/>
          <w:sz w:val="20"/>
          <w:szCs w:val="20"/>
          <w:shd w:val="clear" w:color="auto" w:fill="FFFFFF"/>
        </w:rPr>
        <w:t>, J.T., 2018. Sustained climate warming drives declining marine biological productivity. </w:t>
      </w:r>
      <w:r w:rsidRPr="00B01EA9">
        <w:rPr>
          <w:rFonts w:ascii="Arial" w:hAnsi="Arial" w:cs="Arial"/>
          <w:i/>
          <w:iCs/>
          <w:sz w:val="20"/>
          <w:szCs w:val="20"/>
          <w:shd w:val="clear" w:color="auto" w:fill="FFFFFF"/>
        </w:rPr>
        <w:t>Science</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359</w:t>
      </w:r>
      <w:r w:rsidRPr="00B01EA9">
        <w:rPr>
          <w:rFonts w:ascii="Arial" w:hAnsi="Arial" w:cs="Arial"/>
          <w:sz w:val="20"/>
          <w:szCs w:val="20"/>
          <w:shd w:val="clear" w:color="auto" w:fill="FFFFFF"/>
        </w:rPr>
        <w:t>(6380), pp.1139-1143.</w:t>
      </w:r>
    </w:p>
    <w:p w14:paraId="2A41A565" w14:textId="77777777" w:rsidR="00B01EA9" w:rsidRPr="00B01EA9" w:rsidRDefault="00B01EA9">
      <w:pPr>
        <w:rPr>
          <w:rFonts w:ascii="Arial" w:hAnsi="Arial" w:cs="Arial"/>
          <w:sz w:val="20"/>
          <w:szCs w:val="20"/>
        </w:rPr>
      </w:pPr>
      <w:r w:rsidRPr="00B01EA9">
        <w:rPr>
          <w:rFonts w:ascii="Arial" w:hAnsi="Arial" w:cs="Arial"/>
          <w:sz w:val="20"/>
          <w:szCs w:val="20"/>
          <w:shd w:val="clear" w:color="auto" w:fill="FFFFFF"/>
        </w:rPr>
        <w:t xml:space="preserve">Moss, R.H., Edmonds, J.A., Hibbard, K.A., Manning, M.R., Rose, S.K., Van Vuuren, D.P., Carter, T.R., </w:t>
      </w:r>
      <w:proofErr w:type="spellStart"/>
      <w:r w:rsidRPr="00B01EA9">
        <w:rPr>
          <w:rFonts w:ascii="Arial" w:hAnsi="Arial" w:cs="Arial"/>
          <w:sz w:val="20"/>
          <w:szCs w:val="20"/>
          <w:shd w:val="clear" w:color="auto" w:fill="FFFFFF"/>
        </w:rPr>
        <w:t>Emori</w:t>
      </w:r>
      <w:proofErr w:type="spellEnd"/>
      <w:r w:rsidRPr="00B01EA9">
        <w:rPr>
          <w:rFonts w:ascii="Arial" w:hAnsi="Arial" w:cs="Arial"/>
          <w:sz w:val="20"/>
          <w:szCs w:val="20"/>
          <w:shd w:val="clear" w:color="auto" w:fill="FFFFFF"/>
        </w:rPr>
        <w:t xml:space="preserve">, S., </w:t>
      </w:r>
      <w:proofErr w:type="spellStart"/>
      <w:r w:rsidRPr="00B01EA9">
        <w:rPr>
          <w:rFonts w:ascii="Arial" w:hAnsi="Arial" w:cs="Arial"/>
          <w:sz w:val="20"/>
          <w:szCs w:val="20"/>
          <w:shd w:val="clear" w:color="auto" w:fill="FFFFFF"/>
        </w:rPr>
        <w:t>Kainuma</w:t>
      </w:r>
      <w:proofErr w:type="spellEnd"/>
      <w:r w:rsidRPr="00B01EA9">
        <w:rPr>
          <w:rFonts w:ascii="Arial" w:hAnsi="Arial" w:cs="Arial"/>
          <w:sz w:val="20"/>
          <w:szCs w:val="20"/>
          <w:shd w:val="clear" w:color="auto" w:fill="FFFFFF"/>
        </w:rPr>
        <w:t xml:space="preserve">, M., </w:t>
      </w:r>
      <w:proofErr w:type="spellStart"/>
      <w:r w:rsidRPr="00B01EA9">
        <w:rPr>
          <w:rFonts w:ascii="Arial" w:hAnsi="Arial" w:cs="Arial"/>
          <w:sz w:val="20"/>
          <w:szCs w:val="20"/>
          <w:shd w:val="clear" w:color="auto" w:fill="FFFFFF"/>
        </w:rPr>
        <w:t>Kram</w:t>
      </w:r>
      <w:proofErr w:type="spellEnd"/>
      <w:r w:rsidRPr="00B01EA9">
        <w:rPr>
          <w:rFonts w:ascii="Arial" w:hAnsi="Arial" w:cs="Arial"/>
          <w:sz w:val="20"/>
          <w:szCs w:val="20"/>
          <w:shd w:val="clear" w:color="auto" w:fill="FFFFFF"/>
        </w:rPr>
        <w:t xml:space="preserve">, T. and </w:t>
      </w:r>
      <w:proofErr w:type="spellStart"/>
      <w:r w:rsidRPr="00B01EA9">
        <w:rPr>
          <w:rFonts w:ascii="Arial" w:hAnsi="Arial" w:cs="Arial"/>
          <w:sz w:val="20"/>
          <w:szCs w:val="20"/>
          <w:shd w:val="clear" w:color="auto" w:fill="FFFFFF"/>
        </w:rPr>
        <w:t>Meehl</w:t>
      </w:r>
      <w:proofErr w:type="spellEnd"/>
      <w:r w:rsidRPr="00B01EA9">
        <w:rPr>
          <w:rFonts w:ascii="Arial" w:hAnsi="Arial" w:cs="Arial"/>
          <w:sz w:val="20"/>
          <w:szCs w:val="20"/>
          <w:shd w:val="clear" w:color="auto" w:fill="FFFFFF"/>
        </w:rPr>
        <w:t>, G.A., 2010. The next generation of scenarios for climate change research and assessment. </w:t>
      </w:r>
      <w:r w:rsidRPr="00B01EA9">
        <w:rPr>
          <w:rFonts w:ascii="Arial" w:hAnsi="Arial" w:cs="Arial"/>
          <w:i/>
          <w:iCs/>
          <w:sz w:val="20"/>
          <w:szCs w:val="20"/>
          <w:shd w:val="clear" w:color="auto" w:fill="FFFFFF"/>
        </w:rPr>
        <w:t>Nature</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463</w:t>
      </w:r>
      <w:r w:rsidRPr="00B01EA9">
        <w:rPr>
          <w:rFonts w:ascii="Arial" w:hAnsi="Arial" w:cs="Arial"/>
          <w:sz w:val="20"/>
          <w:szCs w:val="20"/>
          <w:shd w:val="clear" w:color="auto" w:fill="FFFFFF"/>
        </w:rPr>
        <w:t>(7282), pp.747-756.</w:t>
      </w:r>
    </w:p>
    <w:p w14:paraId="3372EEBB" w14:textId="77777777" w:rsidR="00B01EA9" w:rsidRPr="00B01EA9" w:rsidRDefault="00B01EA9">
      <w:pPr>
        <w:rPr>
          <w:rFonts w:ascii="Arial" w:hAnsi="Arial" w:cs="Arial"/>
          <w:sz w:val="20"/>
          <w:szCs w:val="20"/>
          <w:shd w:val="clear" w:color="auto" w:fill="FFFFFF"/>
        </w:rPr>
      </w:pPr>
      <w:r w:rsidRPr="00B01EA9">
        <w:rPr>
          <w:rFonts w:ascii="Arial" w:hAnsi="Arial" w:cs="Arial"/>
          <w:sz w:val="20"/>
          <w:szCs w:val="20"/>
          <w:shd w:val="clear" w:color="auto" w:fill="FFFFFF"/>
        </w:rPr>
        <w:t xml:space="preserve">O'Connor, M.I., </w:t>
      </w:r>
      <w:proofErr w:type="spellStart"/>
      <w:r w:rsidRPr="00B01EA9">
        <w:rPr>
          <w:rFonts w:ascii="Arial" w:hAnsi="Arial" w:cs="Arial"/>
          <w:sz w:val="20"/>
          <w:szCs w:val="20"/>
          <w:shd w:val="clear" w:color="auto" w:fill="FFFFFF"/>
        </w:rPr>
        <w:t>Piehler</w:t>
      </w:r>
      <w:proofErr w:type="spellEnd"/>
      <w:r w:rsidRPr="00B01EA9">
        <w:rPr>
          <w:rFonts w:ascii="Arial" w:hAnsi="Arial" w:cs="Arial"/>
          <w:sz w:val="20"/>
          <w:szCs w:val="20"/>
          <w:shd w:val="clear" w:color="auto" w:fill="FFFFFF"/>
        </w:rPr>
        <w:t xml:space="preserve">, M.F., Leech, D.M., Anton, </w:t>
      </w:r>
      <w:proofErr w:type="gramStart"/>
      <w:r w:rsidRPr="00B01EA9">
        <w:rPr>
          <w:rFonts w:ascii="Arial" w:hAnsi="Arial" w:cs="Arial"/>
          <w:sz w:val="20"/>
          <w:szCs w:val="20"/>
          <w:shd w:val="clear" w:color="auto" w:fill="FFFFFF"/>
        </w:rPr>
        <w:t>A.</w:t>
      </w:r>
      <w:proofErr w:type="gramEnd"/>
      <w:r w:rsidRPr="00B01EA9">
        <w:rPr>
          <w:rFonts w:ascii="Arial" w:hAnsi="Arial" w:cs="Arial"/>
          <w:sz w:val="20"/>
          <w:szCs w:val="20"/>
          <w:shd w:val="clear" w:color="auto" w:fill="FFFFFF"/>
        </w:rPr>
        <w:t xml:space="preserve"> and Bruno, J.F., 2009. Warming and resource availability shift food web structure and metabolism. </w:t>
      </w:r>
      <w:proofErr w:type="spellStart"/>
      <w:r w:rsidRPr="00B01EA9">
        <w:rPr>
          <w:rFonts w:ascii="Arial" w:hAnsi="Arial" w:cs="Arial"/>
          <w:i/>
          <w:iCs/>
          <w:sz w:val="20"/>
          <w:szCs w:val="20"/>
          <w:shd w:val="clear" w:color="auto" w:fill="FFFFFF"/>
        </w:rPr>
        <w:t>PLoS</w:t>
      </w:r>
      <w:proofErr w:type="spellEnd"/>
      <w:r w:rsidRPr="00B01EA9">
        <w:rPr>
          <w:rFonts w:ascii="Arial" w:hAnsi="Arial" w:cs="Arial"/>
          <w:i/>
          <w:iCs/>
          <w:sz w:val="20"/>
          <w:szCs w:val="20"/>
          <w:shd w:val="clear" w:color="auto" w:fill="FFFFFF"/>
        </w:rPr>
        <w:t xml:space="preserve"> </w:t>
      </w:r>
      <w:proofErr w:type="spellStart"/>
      <w:r w:rsidRPr="00B01EA9">
        <w:rPr>
          <w:rFonts w:ascii="Arial" w:hAnsi="Arial" w:cs="Arial"/>
          <w:i/>
          <w:iCs/>
          <w:sz w:val="20"/>
          <w:szCs w:val="20"/>
          <w:shd w:val="clear" w:color="auto" w:fill="FFFFFF"/>
        </w:rPr>
        <w:t>Biol</w:t>
      </w:r>
      <w:proofErr w:type="spellEnd"/>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7</w:t>
      </w:r>
      <w:r w:rsidRPr="00B01EA9">
        <w:rPr>
          <w:rFonts w:ascii="Arial" w:hAnsi="Arial" w:cs="Arial"/>
          <w:sz w:val="20"/>
          <w:szCs w:val="20"/>
          <w:shd w:val="clear" w:color="auto" w:fill="FFFFFF"/>
        </w:rPr>
        <w:t>(8), p.e1000178.</w:t>
      </w:r>
    </w:p>
    <w:p w14:paraId="5B3D4A02" w14:textId="77777777" w:rsidR="00B01EA9" w:rsidRPr="00B01EA9" w:rsidRDefault="00B01EA9" w:rsidP="0097262B">
      <w:pPr>
        <w:rPr>
          <w:rFonts w:ascii="Arial" w:hAnsi="Arial" w:cs="Arial"/>
          <w:sz w:val="20"/>
          <w:szCs w:val="20"/>
          <w:shd w:val="clear" w:color="auto" w:fill="FFFFFF"/>
        </w:rPr>
      </w:pPr>
      <w:r w:rsidRPr="00B01EA9">
        <w:rPr>
          <w:rFonts w:ascii="Arial" w:hAnsi="Arial" w:cs="Arial"/>
          <w:sz w:val="20"/>
          <w:szCs w:val="20"/>
          <w:shd w:val="clear" w:color="auto" w:fill="FFFFFF"/>
        </w:rPr>
        <w:t>Padfield, D., Yvon</w:t>
      </w:r>
      <w:r w:rsidRPr="00B01EA9">
        <w:rPr>
          <w:rFonts w:ascii="Cambria Math" w:hAnsi="Cambria Math" w:cs="Cambria Math"/>
          <w:sz w:val="20"/>
          <w:szCs w:val="20"/>
          <w:shd w:val="clear" w:color="auto" w:fill="FFFFFF"/>
        </w:rPr>
        <w:t>‐</w:t>
      </w:r>
      <w:r w:rsidRPr="00B01EA9">
        <w:rPr>
          <w:rFonts w:ascii="Arial" w:hAnsi="Arial" w:cs="Arial"/>
          <w:sz w:val="20"/>
          <w:szCs w:val="20"/>
          <w:shd w:val="clear" w:color="auto" w:fill="FFFFFF"/>
        </w:rPr>
        <w:t>Durocher, G., Buckling, A., Jennings, S. and Yvon</w:t>
      </w:r>
      <w:r w:rsidRPr="00B01EA9">
        <w:rPr>
          <w:rFonts w:ascii="Cambria Math" w:hAnsi="Cambria Math" w:cs="Cambria Math"/>
          <w:sz w:val="20"/>
          <w:szCs w:val="20"/>
          <w:shd w:val="clear" w:color="auto" w:fill="FFFFFF"/>
        </w:rPr>
        <w:t>‐</w:t>
      </w:r>
      <w:r w:rsidRPr="00B01EA9">
        <w:rPr>
          <w:rFonts w:ascii="Arial" w:hAnsi="Arial" w:cs="Arial"/>
          <w:sz w:val="20"/>
          <w:szCs w:val="20"/>
          <w:shd w:val="clear" w:color="auto" w:fill="FFFFFF"/>
        </w:rPr>
        <w:t>Durocher, G., 2016. Rapid evolution of metabolic traits explains thermal adaptation in phytoplankton. </w:t>
      </w:r>
      <w:r w:rsidRPr="00B01EA9">
        <w:rPr>
          <w:rFonts w:ascii="Arial" w:hAnsi="Arial" w:cs="Arial"/>
          <w:i/>
          <w:iCs/>
          <w:sz w:val="20"/>
          <w:szCs w:val="20"/>
          <w:shd w:val="clear" w:color="auto" w:fill="FFFFFF"/>
        </w:rPr>
        <w:t>Ecology letters</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19</w:t>
      </w:r>
      <w:r w:rsidRPr="00B01EA9">
        <w:rPr>
          <w:rFonts w:ascii="Arial" w:hAnsi="Arial" w:cs="Arial"/>
          <w:sz w:val="20"/>
          <w:szCs w:val="20"/>
          <w:shd w:val="clear" w:color="auto" w:fill="FFFFFF"/>
        </w:rPr>
        <w:t>(2), pp.133-142.</w:t>
      </w:r>
    </w:p>
    <w:p w14:paraId="594D12E8" w14:textId="77777777" w:rsidR="00B01EA9" w:rsidRPr="00B01EA9" w:rsidRDefault="00B01EA9" w:rsidP="0097262B">
      <w:pPr>
        <w:rPr>
          <w:rFonts w:ascii="Arial" w:hAnsi="Arial" w:cs="Arial"/>
          <w:b/>
          <w:bCs/>
          <w:sz w:val="20"/>
          <w:szCs w:val="20"/>
        </w:rPr>
      </w:pPr>
      <w:proofErr w:type="spellStart"/>
      <w:r w:rsidRPr="00B01EA9">
        <w:rPr>
          <w:rFonts w:ascii="Arial" w:hAnsi="Arial" w:cs="Arial"/>
          <w:sz w:val="20"/>
          <w:szCs w:val="20"/>
          <w:shd w:val="clear" w:color="auto" w:fill="FFFFFF"/>
        </w:rPr>
        <w:t>Regaudie</w:t>
      </w:r>
      <w:proofErr w:type="spellEnd"/>
      <w:r w:rsidRPr="00B01EA9">
        <w:rPr>
          <w:rFonts w:ascii="Cambria Math" w:hAnsi="Cambria Math" w:cs="Cambria Math"/>
          <w:sz w:val="20"/>
          <w:szCs w:val="20"/>
          <w:shd w:val="clear" w:color="auto" w:fill="FFFFFF"/>
        </w:rPr>
        <w:t>‐</w:t>
      </w:r>
      <w:r w:rsidRPr="00B01EA9">
        <w:rPr>
          <w:rFonts w:ascii="Arial" w:hAnsi="Arial" w:cs="Arial"/>
          <w:sz w:val="20"/>
          <w:szCs w:val="20"/>
          <w:shd w:val="clear" w:color="auto" w:fill="FFFFFF"/>
        </w:rPr>
        <w:t>de</w:t>
      </w:r>
      <w:r w:rsidRPr="00B01EA9">
        <w:rPr>
          <w:rFonts w:ascii="Cambria Math" w:hAnsi="Cambria Math" w:cs="Cambria Math"/>
          <w:sz w:val="20"/>
          <w:szCs w:val="20"/>
          <w:shd w:val="clear" w:color="auto" w:fill="FFFFFF"/>
        </w:rPr>
        <w:t>‐</w:t>
      </w:r>
      <w:proofErr w:type="spellStart"/>
      <w:r w:rsidRPr="00B01EA9">
        <w:rPr>
          <w:rFonts w:ascii="Arial" w:hAnsi="Arial" w:cs="Arial"/>
          <w:sz w:val="20"/>
          <w:szCs w:val="20"/>
          <w:shd w:val="clear" w:color="auto" w:fill="FFFFFF"/>
        </w:rPr>
        <w:t>Gioux</w:t>
      </w:r>
      <w:proofErr w:type="spellEnd"/>
      <w:r w:rsidRPr="00B01EA9">
        <w:rPr>
          <w:rFonts w:ascii="Arial" w:hAnsi="Arial" w:cs="Arial"/>
          <w:sz w:val="20"/>
          <w:szCs w:val="20"/>
          <w:shd w:val="clear" w:color="auto" w:fill="FFFFFF"/>
        </w:rPr>
        <w:t>, A. and Duarte, C.M., 2012. Temperature dependence of planktonic metabolism in the ocean. </w:t>
      </w:r>
      <w:r w:rsidRPr="00B01EA9">
        <w:rPr>
          <w:rFonts w:ascii="Arial" w:hAnsi="Arial" w:cs="Arial"/>
          <w:i/>
          <w:iCs/>
          <w:sz w:val="20"/>
          <w:szCs w:val="20"/>
          <w:shd w:val="clear" w:color="auto" w:fill="FFFFFF"/>
        </w:rPr>
        <w:t>Global Biogeochemical Cycles</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26</w:t>
      </w:r>
      <w:r w:rsidRPr="00B01EA9">
        <w:rPr>
          <w:rFonts w:ascii="Arial" w:hAnsi="Arial" w:cs="Arial"/>
          <w:sz w:val="20"/>
          <w:szCs w:val="20"/>
          <w:shd w:val="clear" w:color="auto" w:fill="FFFFFF"/>
        </w:rPr>
        <w:t>(1).</w:t>
      </w:r>
    </w:p>
    <w:p w14:paraId="7CDB227F" w14:textId="77777777" w:rsidR="00B01EA9" w:rsidRPr="00B01EA9" w:rsidRDefault="00B01EA9">
      <w:pPr>
        <w:rPr>
          <w:rFonts w:ascii="Arial" w:hAnsi="Arial" w:cs="Arial"/>
          <w:sz w:val="20"/>
          <w:szCs w:val="20"/>
        </w:rPr>
      </w:pPr>
      <w:proofErr w:type="spellStart"/>
      <w:r w:rsidRPr="00B01EA9">
        <w:rPr>
          <w:rFonts w:ascii="Arial" w:hAnsi="Arial" w:cs="Arial"/>
          <w:sz w:val="20"/>
          <w:szCs w:val="20"/>
          <w:shd w:val="clear" w:color="auto" w:fill="FFFFFF"/>
        </w:rPr>
        <w:t>Ruvalcaba</w:t>
      </w:r>
      <w:proofErr w:type="spellEnd"/>
      <w:r w:rsidRPr="00B01EA9">
        <w:rPr>
          <w:rFonts w:ascii="Arial" w:hAnsi="Arial" w:cs="Arial"/>
          <w:sz w:val="20"/>
          <w:szCs w:val="20"/>
          <w:shd w:val="clear" w:color="auto" w:fill="FFFFFF"/>
        </w:rPr>
        <w:t xml:space="preserve"> Baroni, I., </w:t>
      </w:r>
      <w:proofErr w:type="spellStart"/>
      <w:r w:rsidRPr="00B01EA9">
        <w:rPr>
          <w:rFonts w:ascii="Arial" w:hAnsi="Arial" w:cs="Arial"/>
          <w:sz w:val="20"/>
          <w:szCs w:val="20"/>
          <w:shd w:val="clear" w:color="auto" w:fill="FFFFFF"/>
        </w:rPr>
        <w:t>Palastanga</w:t>
      </w:r>
      <w:proofErr w:type="spellEnd"/>
      <w:r w:rsidRPr="00B01EA9">
        <w:rPr>
          <w:rFonts w:ascii="Arial" w:hAnsi="Arial" w:cs="Arial"/>
          <w:sz w:val="20"/>
          <w:szCs w:val="20"/>
          <w:shd w:val="clear" w:color="auto" w:fill="FFFFFF"/>
        </w:rPr>
        <w:t xml:space="preserve">, V. and </w:t>
      </w:r>
      <w:proofErr w:type="spellStart"/>
      <w:r w:rsidRPr="00B01EA9">
        <w:rPr>
          <w:rFonts w:ascii="Arial" w:hAnsi="Arial" w:cs="Arial"/>
          <w:sz w:val="20"/>
          <w:szCs w:val="20"/>
          <w:shd w:val="clear" w:color="auto" w:fill="FFFFFF"/>
        </w:rPr>
        <w:t>Slomp</w:t>
      </w:r>
      <w:proofErr w:type="spellEnd"/>
      <w:r w:rsidRPr="00B01EA9">
        <w:rPr>
          <w:rFonts w:ascii="Arial" w:hAnsi="Arial" w:cs="Arial"/>
          <w:sz w:val="20"/>
          <w:szCs w:val="20"/>
          <w:shd w:val="clear" w:color="auto" w:fill="FFFFFF"/>
        </w:rPr>
        <w:t>, C.P., 2020. Enhanced organic carbon burial in sediments of oxygen minimum zones upon ocean deoxygenation. </w:t>
      </w:r>
      <w:r w:rsidRPr="00B01EA9">
        <w:rPr>
          <w:rFonts w:ascii="Arial" w:hAnsi="Arial" w:cs="Arial"/>
          <w:i/>
          <w:iCs/>
          <w:sz w:val="20"/>
          <w:szCs w:val="20"/>
          <w:shd w:val="clear" w:color="auto" w:fill="FFFFFF"/>
        </w:rPr>
        <w:t>Frontiers in Marine Science</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6</w:t>
      </w:r>
      <w:r w:rsidRPr="00B01EA9">
        <w:rPr>
          <w:rFonts w:ascii="Arial" w:hAnsi="Arial" w:cs="Arial"/>
          <w:sz w:val="20"/>
          <w:szCs w:val="20"/>
          <w:shd w:val="clear" w:color="auto" w:fill="FFFFFF"/>
        </w:rPr>
        <w:t>, p.839.</w:t>
      </w:r>
    </w:p>
    <w:p w14:paraId="7DC768A1" w14:textId="77777777" w:rsidR="00B01EA9" w:rsidRPr="00B01EA9" w:rsidRDefault="00B01EA9" w:rsidP="0097262B">
      <w:pPr>
        <w:rPr>
          <w:rFonts w:ascii="Arial" w:hAnsi="Arial" w:cs="Arial"/>
          <w:sz w:val="20"/>
          <w:szCs w:val="20"/>
          <w:shd w:val="clear" w:color="auto" w:fill="FFFFFF"/>
        </w:rPr>
      </w:pPr>
      <w:r w:rsidRPr="00B01EA9">
        <w:rPr>
          <w:rFonts w:ascii="Arial" w:hAnsi="Arial" w:cs="Arial"/>
          <w:sz w:val="20"/>
          <w:szCs w:val="20"/>
          <w:shd w:val="clear" w:color="auto" w:fill="FFFFFF"/>
        </w:rPr>
        <w:t xml:space="preserve">Schofield, O., Brown, M., Kohut, J., Nardelli, S., Saba, G., Waite, N. and </w:t>
      </w:r>
      <w:proofErr w:type="spellStart"/>
      <w:r w:rsidRPr="00B01EA9">
        <w:rPr>
          <w:rFonts w:ascii="Arial" w:hAnsi="Arial" w:cs="Arial"/>
          <w:sz w:val="20"/>
          <w:szCs w:val="20"/>
          <w:shd w:val="clear" w:color="auto" w:fill="FFFFFF"/>
        </w:rPr>
        <w:t>Ducklow</w:t>
      </w:r>
      <w:proofErr w:type="spellEnd"/>
      <w:r w:rsidRPr="00B01EA9">
        <w:rPr>
          <w:rFonts w:ascii="Arial" w:hAnsi="Arial" w:cs="Arial"/>
          <w:sz w:val="20"/>
          <w:szCs w:val="20"/>
          <w:shd w:val="clear" w:color="auto" w:fill="FFFFFF"/>
        </w:rPr>
        <w:t>, H., 2018. Changes in the upper ocean mixed layer and phytoplankton productivity along the West Antarctic Peninsula. </w:t>
      </w:r>
      <w:r w:rsidRPr="00B01EA9">
        <w:rPr>
          <w:rFonts w:ascii="Arial" w:hAnsi="Arial" w:cs="Arial"/>
          <w:i/>
          <w:iCs/>
          <w:sz w:val="20"/>
          <w:szCs w:val="20"/>
          <w:shd w:val="clear" w:color="auto" w:fill="FFFFFF"/>
        </w:rPr>
        <w:t>Philosophical Transactions of the Royal Society A: Mathematical, Physical and Engineering Sciences</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376</w:t>
      </w:r>
      <w:r w:rsidRPr="00B01EA9">
        <w:rPr>
          <w:rFonts w:ascii="Arial" w:hAnsi="Arial" w:cs="Arial"/>
          <w:sz w:val="20"/>
          <w:szCs w:val="20"/>
          <w:shd w:val="clear" w:color="auto" w:fill="FFFFFF"/>
        </w:rPr>
        <w:t>(2122), p.20170173.</w:t>
      </w:r>
    </w:p>
    <w:p w14:paraId="6605EA7D" w14:textId="77777777" w:rsidR="00B01EA9" w:rsidRPr="00B01EA9" w:rsidRDefault="00B01EA9" w:rsidP="0097262B">
      <w:pPr>
        <w:rPr>
          <w:rFonts w:ascii="Arial" w:hAnsi="Arial" w:cs="Arial"/>
          <w:b/>
          <w:bCs/>
          <w:sz w:val="20"/>
          <w:szCs w:val="20"/>
        </w:rPr>
      </w:pPr>
      <w:proofErr w:type="spellStart"/>
      <w:r w:rsidRPr="00B01EA9">
        <w:rPr>
          <w:rFonts w:ascii="Arial" w:hAnsi="Arial" w:cs="Arial"/>
          <w:sz w:val="20"/>
          <w:szCs w:val="20"/>
          <w:shd w:val="clear" w:color="auto" w:fill="FFFFFF"/>
        </w:rPr>
        <w:lastRenderedPageBreak/>
        <w:t>Trombetta</w:t>
      </w:r>
      <w:proofErr w:type="spellEnd"/>
      <w:r w:rsidRPr="00B01EA9">
        <w:rPr>
          <w:rFonts w:ascii="Arial" w:hAnsi="Arial" w:cs="Arial"/>
          <w:sz w:val="20"/>
          <w:szCs w:val="20"/>
          <w:shd w:val="clear" w:color="auto" w:fill="FFFFFF"/>
        </w:rPr>
        <w:t xml:space="preserve">, T., </w:t>
      </w:r>
      <w:proofErr w:type="spellStart"/>
      <w:r w:rsidRPr="00B01EA9">
        <w:rPr>
          <w:rFonts w:ascii="Arial" w:hAnsi="Arial" w:cs="Arial"/>
          <w:sz w:val="20"/>
          <w:szCs w:val="20"/>
          <w:shd w:val="clear" w:color="auto" w:fill="FFFFFF"/>
        </w:rPr>
        <w:t>Vidussi</w:t>
      </w:r>
      <w:proofErr w:type="spellEnd"/>
      <w:r w:rsidRPr="00B01EA9">
        <w:rPr>
          <w:rFonts w:ascii="Arial" w:hAnsi="Arial" w:cs="Arial"/>
          <w:sz w:val="20"/>
          <w:szCs w:val="20"/>
          <w:shd w:val="clear" w:color="auto" w:fill="FFFFFF"/>
        </w:rPr>
        <w:t xml:space="preserve">, F., Mas, S., </w:t>
      </w:r>
      <w:proofErr w:type="spellStart"/>
      <w:r w:rsidRPr="00B01EA9">
        <w:rPr>
          <w:rFonts w:ascii="Arial" w:hAnsi="Arial" w:cs="Arial"/>
          <w:sz w:val="20"/>
          <w:szCs w:val="20"/>
          <w:shd w:val="clear" w:color="auto" w:fill="FFFFFF"/>
        </w:rPr>
        <w:t>Parin</w:t>
      </w:r>
      <w:proofErr w:type="spellEnd"/>
      <w:r w:rsidRPr="00B01EA9">
        <w:rPr>
          <w:rFonts w:ascii="Arial" w:hAnsi="Arial" w:cs="Arial"/>
          <w:sz w:val="20"/>
          <w:szCs w:val="20"/>
          <w:shd w:val="clear" w:color="auto" w:fill="FFFFFF"/>
        </w:rPr>
        <w:t xml:space="preserve">, D., </w:t>
      </w:r>
      <w:proofErr w:type="spellStart"/>
      <w:r w:rsidRPr="00B01EA9">
        <w:rPr>
          <w:rFonts w:ascii="Arial" w:hAnsi="Arial" w:cs="Arial"/>
          <w:sz w:val="20"/>
          <w:szCs w:val="20"/>
          <w:shd w:val="clear" w:color="auto" w:fill="FFFFFF"/>
        </w:rPr>
        <w:t>Simier</w:t>
      </w:r>
      <w:proofErr w:type="spellEnd"/>
      <w:r w:rsidRPr="00B01EA9">
        <w:rPr>
          <w:rFonts w:ascii="Arial" w:hAnsi="Arial" w:cs="Arial"/>
          <w:sz w:val="20"/>
          <w:szCs w:val="20"/>
          <w:shd w:val="clear" w:color="auto" w:fill="FFFFFF"/>
        </w:rPr>
        <w:t xml:space="preserve">, M. and </w:t>
      </w:r>
      <w:proofErr w:type="spellStart"/>
      <w:r w:rsidRPr="00B01EA9">
        <w:rPr>
          <w:rFonts w:ascii="Arial" w:hAnsi="Arial" w:cs="Arial"/>
          <w:sz w:val="20"/>
          <w:szCs w:val="20"/>
          <w:shd w:val="clear" w:color="auto" w:fill="FFFFFF"/>
        </w:rPr>
        <w:t>Mostajir</w:t>
      </w:r>
      <w:proofErr w:type="spellEnd"/>
      <w:r w:rsidRPr="00B01EA9">
        <w:rPr>
          <w:rFonts w:ascii="Arial" w:hAnsi="Arial" w:cs="Arial"/>
          <w:sz w:val="20"/>
          <w:szCs w:val="20"/>
          <w:shd w:val="clear" w:color="auto" w:fill="FFFFFF"/>
        </w:rPr>
        <w:t>, B., 2019. Water temperature drives phytoplankton blooms in coastal waters. </w:t>
      </w:r>
      <w:proofErr w:type="spellStart"/>
      <w:r w:rsidRPr="00B01EA9">
        <w:rPr>
          <w:rFonts w:ascii="Arial" w:hAnsi="Arial" w:cs="Arial"/>
          <w:i/>
          <w:iCs/>
          <w:sz w:val="20"/>
          <w:szCs w:val="20"/>
          <w:shd w:val="clear" w:color="auto" w:fill="FFFFFF"/>
        </w:rPr>
        <w:t>PloS</w:t>
      </w:r>
      <w:proofErr w:type="spellEnd"/>
      <w:r w:rsidRPr="00B01EA9">
        <w:rPr>
          <w:rFonts w:ascii="Arial" w:hAnsi="Arial" w:cs="Arial"/>
          <w:i/>
          <w:iCs/>
          <w:sz w:val="20"/>
          <w:szCs w:val="20"/>
          <w:shd w:val="clear" w:color="auto" w:fill="FFFFFF"/>
        </w:rPr>
        <w:t xml:space="preserve"> one</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14</w:t>
      </w:r>
      <w:r w:rsidRPr="00B01EA9">
        <w:rPr>
          <w:rFonts w:ascii="Arial" w:hAnsi="Arial" w:cs="Arial"/>
          <w:sz w:val="20"/>
          <w:szCs w:val="20"/>
          <w:shd w:val="clear" w:color="auto" w:fill="FFFFFF"/>
        </w:rPr>
        <w:t>(4), p.e0214933.</w:t>
      </w:r>
    </w:p>
    <w:p w14:paraId="0C019CF2" w14:textId="77777777" w:rsidR="00B01EA9" w:rsidRPr="00B01EA9" w:rsidRDefault="00B01EA9">
      <w:pPr>
        <w:rPr>
          <w:rFonts w:ascii="Arial" w:hAnsi="Arial" w:cs="Arial"/>
          <w:sz w:val="20"/>
          <w:szCs w:val="20"/>
          <w:shd w:val="clear" w:color="auto" w:fill="FFFFFF"/>
        </w:rPr>
      </w:pPr>
      <w:proofErr w:type="spellStart"/>
      <w:r w:rsidRPr="00B01EA9">
        <w:rPr>
          <w:rFonts w:ascii="Arial" w:hAnsi="Arial" w:cs="Arial"/>
          <w:sz w:val="20"/>
          <w:szCs w:val="20"/>
          <w:shd w:val="clear" w:color="auto" w:fill="FFFFFF"/>
        </w:rPr>
        <w:t>Tsiola</w:t>
      </w:r>
      <w:proofErr w:type="spellEnd"/>
      <w:r w:rsidRPr="00B01EA9">
        <w:rPr>
          <w:rFonts w:ascii="Arial" w:hAnsi="Arial" w:cs="Arial"/>
          <w:sz w:val="20"/>
          <w:szCs w:val="20"/>
          <w:shd w:val="clear" w:color="auto" w:fill="FFFFFF"/>
        </w:rPr>
        <w:t xml:space="preserve">, A., Pitta, P., </w:t>
      </w:r>
      <w:proofErr w:type="spellStart"/>
      <w:r w:rsidRPr="00B01EA9">
        <w:rPr>
          <w:rFonts w:ascii="Arial" w:hAnsi="Arial" w:cs="Arial"/>
          <w:sz w:val="20"/>
          <w:szCs w:val="20"/>
          <w:shd w:val="clear" w:color="auto" w:fill="FFFFFF"/>
        </w:rPr>
        <w:t>Fodelianakis</w:t>
      </w:r>
      <w:proofErr w:type="spellEnd"/>
      <w:r w:rsidRPr="00B01EA9">
        <w:rPr>
          <w:rFonts w:ascii="Arial" w:hAnsi="Arial" w:cs="Arial"/>
          <w:sz w:val="20"/>
          <w:szCs w:val="20"/>
          <w:shd w:val="clear" w:color="auto" w:fill="FFFFFF"/>
        </w:rPr>
        <w:t xml:space="preserve">, S., Pete, R., </w:t>
      </w:r>
      <w:proofErr w:type="spellStart"/>
      <w:r w:rsidRPr="00B01EA9">
        <w:rPr>
          <w:rFonts w:ascii="Arial" w:hAnsi="Arial" w:cs="Arial"/>
          <w:sz w:val="20"/>
          <w:szCs w:val="20"/>
          <w:shd w:val="clear" w:color="auto" w:fill="FFFFFF"/>
        </w:rPr>
        <w:t>Magiopoulos</w:t>
      </w:r>
      <w:proofErr w:type="spellEnd"/>
      <w:r w:rsidRPr="00B01EA9">
        <w:rPr>
          <w:rFonts w:ascii="Arial" w:hAnsi="Arial" w:cs="Arial"/>
          <w:sz w:val="20"/>
          <w:szCs w:val="20"/>
          <w:shd w:val="clear" w:color="auto" w:fill="FFFFFF"/>
        </w:rPr>
        <w:t xml:space="preserve">, I., Mara, P., </w:t>
      </w:r>
      <w:proofErr w:type="spellStart"/>
      <w:r w:rsidRPr="00B01EA9">
        <w:rPr>
          <w:rFonts w:ascii="Arial" w:hAnsi="Arial" w:cs="Arial"/>
          <w:sz w:val="20"/>
          <w:szCs w:val="20"/>
          <w:shd w:val="clear" w:color="auto" w:fill="FFFFFF"/>
        </w:rPr>
        <w:t>Psarra</w:t>
      </w:r>
      <w:proofErr w:type="spellEnd"/>
      <w:r w:rsidRPr="00B01EA9">
        <w:rPr>
          <w:rFonts w:ascii="Arial" w:hAnsi="Arial" w:cs="Arial"/>
          <w:sz w:val="20"/>
          <w:szCs w:val="20"/>
          <w:shd w:val="clear" w:color="auto" w:fill="FFFFFF"/>
        </w:rPr>
        <w:t xml:space="preserve">, S., Tanaka, T. and </w:t>
      </w:r>
      <w:proofErr w:type="spellStart"/>
      <w:r w:rsidRPr="00B01EA9">
        <w:rPr>
          <w:rFonts w:ascii="Arial" w:hAnsi="Arial" w:cs="Arial"/>
          <w:sz w:val="20"/>
          <w:szCs w:val="20"/>
          <w:shd w:val="clear" w:color="auto" w:fill="FFFFFF"/>
        </w:rPr>
        <w:t>Mostajir</w:t>
      </w:r>
      <w:proofErr w:type="spellEnd"/>
      <w:r w:rsidRPr="00B01EA9">
        <w:rPr>
          <w:rFonts w:ascii="Arial" w:hAnsi="Arial" w:cs="Arial"/>
          <w:sz w:val="20"/>
          <w:szCs w:val="20"/>
          <w:shd w:val="clear" w:color="auto" w:fill="FFFFFF"/>
        </w:rPr>
        <w:t xml:space="preserve">, B., 2016. Nutrient limitation in surface waters of the oligotrophic Eastern Mediterranean Sea: </w:t>
      </w:r>
      <w:proofErr w:type="gramStart"/>
      <w:r w:rsidRPr="00B01EA9">
        <w:rPr>
          <w:rFonts w:ascii="Arial" w:hAnsi="Arial" w:cs="Arial"/>
          <w:sz w:val="20"/>
          <w:szCs w:val="20"/>
          <w:shd w:val="clear" w:color="auto" w:fill="FFFFFF"/>
        </w:rPr>
        <w:t>an</w:t>
      </w:r>
      <w:proofErr w:type="gramEnd"/>
      <w:r w:rsidRPr="00B01EA9">
        <w:rPr>
          <w:rFonts w:ascii="Arial" w:hAnsi="Arial" w:cs="Arial"/>
          <w:sz w:val="20"/>
          <w:szCs w:val="20"/>
          <w:shd w:val="clear" w:color="auto" w:fill="FFFFFF"/>
        </w:rPr>
        <w:t xml:space="preserve"> Enrichment Microcosm Experiment. </w:t>
      </w:r>
      <w:r w:rsidRPr="00B01EA9">
        <w:rPr>
          <w:rFonts w:ascii="Arial" w:hAnsi="Arial" w:cs="Arial"/>
          <w:i/>
          <w:iCs/>
          <w:sz w:val="20"/>
          <w:szCs w:val="20"/>
          <w:shd w:val="clear" w:color="auto" w:fill="FFFFFF"/>
        </w:rPr>
        <w:t>Microbial ecology</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71</w:t>
      </w:r>
      <w:r w:rsidRPr="00B01EA9">
        <w:rPr>
          <w:rFonts w:ascii="Arial" w:hAnsi="Arial" w:cs="Arial"/>
          <w:sz w:val="20"/>
          <w:szCs w:val="20"/>
          <w:shd w:val="clear" w:color="auto" w:fill="FFFFFF"/>
        </w:rPr>
        <w:t>(3), pp.575-588.</w:t>
      </w:r>
    </w:p>
    <w:p w14:paraId="34EEBA18" w14:textId="0D4DA96A" w:rsidR="00B01EA9" w:rsidRDefault="00B01EA9">
      <w:pPr>
        <w:rPr>
          <w:rFonts w:ascii="Arial" w:hAnsi="Arial" w:cs="Arial"/>
          <w:sz w:val="20"/>
          <w:szCs w:val="20"/>
          <w:shd w:val="clear" w:color="auto" w:fill="FFFFFF"/>
        </w:rPr>
      </w:pPr>
      <w:r w:rsidRPr="00B01EA9">
        <w:rPr>
          <w:rFonts w:ascii="Arial" w:hAnsi="Arial" w:cs="Arial"/>
          <w:sz w:val="20"/>
          <w:szCs w:val="20"/>
          <w:shd w:val="clear" w:color="auto" w:fill="FFFFFF"/>
        </w:rPr>
        <w:t xml:space="preserve">Wilson, J.D., Monteiro, F.M., Schmidt, D.N., Ward, B.A. and </w:t>
      </w:r>
      <w:proofErr w:type="spellStart"/>
      <w:r w:rsidRPr="00B01EA9">
        <w:rPr>
          <w:rFonts w:ascii="Arial" w:hAnsi="Arial" w:cs="Arial"/>
          <w:sz w:val="20"/>
          <w:szCs w:val="20"/>
          <w:shd w:val="clear" w:color="auto" w:fill="FFFFFF"/>
        </w:rPr>
        <w:t>Ridgwell</w:t>
      </w:r>
      <w:proofErr w:type="spellEnd"/>
      <w:r w:rsidRPr="00B01EA9">
        <w:rPr>
          <w:rFonts w:ascii="Arial" w:hAnsi="Arial" w:cs="Arial"/>
          <w:sz w:val="20"/>
          <w:szCs w:val="20"/>
          <w:shd w:val="clear" w:color="auto" w:fill="FFFFFF"/>
        </w:rPr>
        <w:t xml:space="preserve">, A., 2018. Linking marine plankton ecosystems and climate: a new </w:t>
      </w:r>
      <w:proofErr w:type="spellStart"/>
      <w:r w:rsidRPr="00B01EA9">
        <w:rPr>
          <w:rFonts w:ascii="Arial" w:hAnsi="Arial" w:cs="Arial"/>
          <w:sz w:val="20"/>
          <w:szCs w:val="20"/>
          <w:shd w:val="clear" w:color="auto" w:fill="FFFFFF"/>
        </w:rPr>
        <w:t>modeling</w:t>
      </w:r>
      <w:proofErr w:type="spellEnd"/>
      <w:r w:rsidRPr="00B01EA9">
        <w:rPr>
          <w:rFonts w:ascii="Arial" w:hAnsi="Arial" w:cs="Arial"/>
          <w:sz w:val="20"/>
          <w:szCs w:val="20"/>
          <w:shd w:val="clear" w:color="auto" w:fill="FFFFFF"/>
        </w:rPr>
        <w:t xml:space="preserve"> approach to the warm early Eocene climate. </w:t>
      </w:r>
      <w:proofErr w:type="spellStart"/>
      <w:r w:rsidRPr="00B01EA9">
        <w:rPr>
          <w:rFonts w:ascii="Arial" w:hAnsi="Arial" w:cs="Arial"/>
          <w:i/>
          <w:iCs/>
          <w:sz w:val="20"/>
          <w:szCs w:val="20"/>
          <w:shd w:val="clear" w:color="auto" w:fill="FFFFFF"/>
        </w:rPr>
        <w:t>Paleoceanography</w:t>
      </w:r>
      <w:proofErr w:type="spellEnd"/>
      <w:r w:rsidRPr="00B01EA9">
        <w:rPr>
          <w:rFonts w:ascii="Arial" w:hAnsi="Arial" w:cs="Arial"/>
          <w:i/>
          <w:iCs/>
          <w:sz w:val="20"/>
          <w:szCs w:val="20"/>
          <w:shd w:val="clear" w:color="auto" w:fill="FFFFFF"/>
        </w:rPr>
        <w:t xml:space="preserve"> and Paleoclimatology</w:t>
      </w:r>
      <w:r w:rsidRPr="00B01EA9">
        <w:rPr>
          <w:rFonts w:ascii="Arial" w:hAnsi="Arial" w:cs="Arial"/>
          <w:sz w:val="20"/>
          <w:szCs w:val="20"/>
          <w:shd w:val="clear" w:color="auto" w:fill="FFFFFF"/>
        </w:rPr>
        <w:t>, </w:t>
      </w:r>
      <w:r w:rsidRPr="00B01EA9">
        <w:rPr>
          <w:rFonts w:ascii="Arial" w:hAnsi="Arial" w:cs="Arial"/>
          <w:i/>
          <w:iCs/>
          <w:sz w:val="20"/>
          <w:szCs w:val="20"/>
          <w:shd w:val="clear" w:color="auto" w:fill="FFFFFF"/>
        </w:rPr>
        <w:t>33</w:t>
      </w:r>
      <w:r w:rsidRPr="00B01EA9">
        <w:rPr>
          <w:rFonts w:ascii="Arial" w:hAnsi="Arial" w:cs="Arial"/>
          <w:sz w:val="20"/>
          <w:szCs w:val="20"/>
          <w:shd w:val="clear" w:color="auto" w:fill="FFFFFF"/>
        </w:rPr>
        <w:t>(12), pp.1439-1452.</w:t>
      </w:r>
    </w:p>
    <w:p w14:paraId="7768F330" w14:textId="104674AC" w:rsidR="00FE3FE5" w:rsidRDefault="00FE3FE5">
      <w:pPr>
        <w:rPr>
          <w:rFonts w:ascii="Arial" w:hAnsi="Arial" w:cs="Arial"/>
          <w:sz w:val="20"/>
          <w:szCs w:val="20"/>
          <w:shd w:val="clear" w:color="auto" w:fill="FFFFFF"/>
        </w:rPr>
      </w:pPr>
    </w:p>
    <w:p w14:paraId="79F6A440" w14:textId="06082D2E" w:rsidR="00FE3FE5" w:rsidRDefault="00FE3FE5">
      <w:pPr>
        <w:rPr>
          <w:rFonts w:ascii="Arial" w:hAnsi="Arial" w:cs="Arial"/>
          <w:sz w:val="20"/>
          <w:szCs w:val="20"/>
          <w:shd w:val="clear" w:color="auto" w:fill="FFFFFF"/>
        </w:rPr>
      </w:pPr>
    </w:p>
    <w:p w14:paraId="02B9EFFE" w14:textId="3238922E" w:rsidR="00FE3FE5" w:rsidRDefault="00FE3FE5">
      <w:pPr>
        <w:rPr>
          <w:rFonts w:ascii="Arial" w:hAnsi="Arial" w:cs="Arial"/>
          <w:sz w:val="20"/>
          <w:szCs w:val="20"/>
          <w:shd w:val="clear" w:color="auto" w:fill="FFFFFF"/>
        </w:rPr>
      </w:pPr>
    </w:p>
    <w:p w14:paraId="3F4CBD50" w14:textId="7E07854B" w:rsidR="00FE3FE5" w:rsidRDefault="00FE3FE5">
      <w:pPr>
        <w:rPr>
          <w:rFonts w:ascii="Arial" w:hAnsi="Arial" w:cs="Arial"/>
          <w:sz w:val="20"/>
          <w:szCs w:val="20"/>
          <w:shd w:val="clear" w:color="auto" w:fill="FFFFFF"/>
        </w:rPr>
      </w:pPr>
    </w:p>
    <w:p w14:paraId="01918948" w14:textId="474C4C86" w:rsidR="00FE3FE5" w:rsidRDefault="00FE3FE5">
      <w:pPr>
        <w:rPr>
          <w:rFonts w:ascii="Arial" w:hAnsi="Arial" w:cs="Arial"/>
          <w:sz w:val="20"/>
          <w:szCs w:val="20"/>
          <w:shd w:val="clear" w:color="auto" w:fill="FFFFFF"/>
        </w:rPr>
      </w:pPr>
    </w:p>
    <w:p w14:paraId="55208174" w14:textId="45D18525" w:rsidR="00FE3FE5" w:rsidRPr="00B01EA9" w:rsidRDefault="00FE3FE5">
      <w:pPr>
        <w:rPr>
          <w:rFonts w:ascii="Arial" w:hAnsi="Arial" w:cs="Arial"/>
          <w:sz w:val="20"/>
          <w:szCs w:val="20"/>
          <w:shd w:val="clear" w:color="auto" w:fill="FFFFFF"/>
        </w:rPr>
      </w:pPr>
      <w:r>
        <w:rPr>
          <w:rFonts w:ascii="Arial" w:hAnsi="Arial" w:cs="Arial"/>
          <w:sz w:val="20"/>
          <w:szCs w:val="20"/>
          <w:shd w:val="clear" w:color="auto" w:fill="FFFFFF"/>
        </w:rPr>
        <w:t>WORD COUNT: 2499 excluding figure legends, reference list.</w:t>
      </w:r>
    </w:p>
    <w:sectPr w:rsidR="00FE3FE5" w:rsidRPr="00B01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0182F"/>
    <w:multiLevelType w:val="hybridMultilevel"/>
    <w:tmpl w:val="2814FB14"/>
    <w:lvl w:ilvl="0" w:tplc="C9069406">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1" w15:restartNumberingAfterBreak="0">
    <w:nsid w:val="692925B2"/>
    <w:multiLevelType w:val="hybridMultilevel"/>
    <w:tmpl w:val="C3E6D214"/>
    <w:lvl w:ilvl="0" w:tplc="D2862012">
      <w:start w:val="2500"/>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2" w15:restartNumberingAfterBreak="0">
    <w:nsid w:val="6AD664E9"/>
    <w:multiLevelType w:val="hybridMultilevel"/>
    <w:tmpl w:val="8ED29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750D7E"/>
    <w:multiLevelType w:val="hybridMultilevel"/>
    <w:tmpl w:val="4CF47D2A"/>
    <w:lvl w:ilvl="0" w:tplc="15F0E3EA">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0B"/>
    <w:rsid w:val="00002AB4"/>
    <w:rsid w:val="000240E3"/>
    <w:rsid w:val="00061C01"/>
    <w:rsid w:val="0007780B"/>
    <w:rsid w:val="000807DB"/>
    <w:rsid w:val="000B3871"/>
    <w:rsid w:val="000B3CC8"/>
    <w:rsid w:val="000C1251"/>
    <w:rsid w:val="000D3B83"/>
    <w:rsid w:val="000E63D8"/>
    <w:rsid w:val="000F3070"/>
    <w:rsid w:val="000F638B"/>
    <w:rsid w:val="001258D2"/>
    <w:rsid w:val="0013089B"/>
    <w:rsid w:val="001357EE"/>
    <w:rsid w:val="00136496"/>
    <w:rsid w:val="001832CF"/>
    <w:rsid w:val="001A0105"/>
    <w:rsid w:val="001A44DE"/>
    <w:rsid w:val="001B0A94"/>
    <w:rsid w:val="001C683B"/>
    <w:rsid w:val="001C70B7"/>
    <w:rsid w:val="001D052D"/>
    <w:rsid w:val="001E2EB7"/>
    <w:rsid w:val="001E6970"/>
    <w:rsid w:val="001E6E62"/>
    <w:rsid w:val="001F6DAB"/>
    <w:rsid w:val="0020367F"/>
    <w:rsid w:val="00211BC6"/>
    <w:rsid w:val="00230BE0"/>
    <w:rsid w:val="00245C8D"/>
    <w:rsid w:val="002570B0"/>
    <w:rsid w:val="00291924"/>
    <w:rsid w:val="0029410B"/>
    <w:rsid w:val="002A6038"/>
    <w:rsid w:val="002D5AFF"/>
    <w:rsid w:val="002E6678"/>
    <w:rsid w:val="00300852"/>
    <w:rsid w:val="00312DD2"/>
    <w:rsid w:val="00335D4B"/>
    <w:rsid w:val="003371CE"/>
    <w:rsid w:val="003424DB"/>
    <w:rsid w:val="00345F6C"/>
    <w:rsid w:val="0036609E"/>
    <w:rsid w:val="00373543"/>
    <w:rsid w:val="00395538"/>
    <w:rsid w:val="00396AC6"/>
    <w:rsid w:val="003A69DC"/>
    <w:rsid w:val="003B1F03"/>
    <w:rsid w:val="003C34D1"/>
    <w:rsid w:val="003E6C23"/>
    <w:rsid w:val="00413AD9"/>
    <w:rsid w:val="00414A8E"/>
    <w:rsid w:val="00455F23"/>
    <w:rsid w:val="004B0F74"/>
    <w:rsid w:val="004D3B56"/>
    <w:rsid w:val="004E30BD"/>
    <w:rsid w:val="00503A95"/>
    <w:rsid w:val="00555F88"/>
    <w:rsid w:val="005650AE"/>
    <w:rsid w:val="005707E1"/>
    <w:rsid w:val="00592F29"/>
    <w:rsid w:val="005A4664"/>
    <w:rsid w:val="005B7979"/>
    <w:rsid w:val="005C4576"/>
    <w:rsid w:val="005C4833"/>
    <w:rsid w:val="005F0070"/>
    <w:rsid w:val="00604B01"/>
    <w:rsid w:val="00633361"/>
    <w:rsid w:val="006365C8"/>
    <w:rsid w:val="0068079B"/>
    <w:rsid w:val="006865B8"/>
    <w:rsid w:val="006944E4"/>
    <w:rsid w:val="006A0271"/>
    <w:rsid w:val="006A45C0"/>
    <w:rsid w:val="006D2993"/>
    <w:rsid w:val="00704884"/>
    <w:rsid w:val="0074532D"/>
    <w:rsid w:val="00784BEE"/>
    <w:rsid w:val="00786132"/>
    <w:rsid w:val="00793EF0"/>
    <w:rsid w:val="007C4993"/>
    <w:rsid w:val="007F39B3"/>
    <w:rsid w:val="008028A8"/>
    <w:rsid w:val="008040E7"/>
    <w:rsid w:val="0084154C"/>
    <w:rsid w:val="008422A3"/>
    <w:rsid w:val="00853BF6"/>
    <w:rsid w:val="0088540C"/>
    <w:rsid w:val="00894FF2"/>
    <w:rsid w:val="008A2840"/>
    <w:rsid w:val="008A2C05"/>
    <w:rsid w:val="008B03F8"/>
    <w:rsid w:val="008C5BC8"/>
    <w:rsid w:val="008D5492"/>
    <w:rsid w:val="008E2B13"/>
    <w:rsid w:val="008E4A5C"/>
    <w:rsid w:val="009176AA"/>
    <w:rsid w:val="00917D02"/>
    <w:rsid w:val="00921188"/>
    <w:rsid w:val="009220B7"/>
    <w:rsid w:val="00932A93"/>
    <w:rsid w:val="00945D3D"/>
    <w:rsid w:val="009701E1"/>
    <w:rsid w:val="00971131"/>
    <w:rsid w:val="0097262B"/>
    <w:rsid w:val="00985D28"/>
    <w:rsid w:val="00987BCE"/>
    <w:rsid w:val="009A6347"/>
    <w:rsid w:val="009A66F4"/>
    <w:rsid w:val="009D0A5E"/>
    <w:rsid w:val="009E19C5"/>
    <w:rsid w:val="00A1262B"/>
    <w:rsid w:val="00A2704A"/>
    <w:rsid w:val="00A35A41"/>
    <w:rsid w:val="00A50533"/>
    <w:rsid w:val="00A64CD8"/>
    <w:rsid w:val="00A85DB8"/>
    <w:rsid w:val="00AA03FE"/>
    <w:rsid w:val="00AA1A54"/>
    <w:rsid w:val="00AD11F6"/>
    <w:rsid w:val="00AF0A4D"/>
    <w:rsid w:val="00B01EA9"/>
    <w:rsid w:val="00B12BE5"/>
    <w:rsid w:val="00B367B3"/>
    <w:rsid w:val="00B53722"/>
    <w:rsid w:val="00B54EA1"/>
    <w:rsid w:val="00B60483"/>
    <w:rsid w:val="00B6713A"/>
    <w:rsid w:val="00B71684"/>
    <w:rsid w:val="00B81E50"/>
    <w:rsid w:val="00BA5D19"/>
    <w:rsid w:val="00BB06EB"/>
    <w:rsid w:val="00BC77AA"/>
    <w:rsid w:val="00BE56EE"/>
    <w:rsid w:val="00C237EE"/>
    <w:rsid w:val="00C267A6"/>
    <w:rsid w:val="00C3435F"/>
    <w:rsid w:val="00C80615"/>
    <w:rsid w:val="00C95607"/>
    <w:rsid w:val="00CA0B4A"/>
    <w:rsid w:val="00CD349B"/>
    <w:rsid w:val="00CD3805"/>
    <w:rsid w:val="00D1417A"/>
    <w:rsid w:val="00D2387E"/>
    <w:rsid w:val="00D3453C"/>
    <w:rsid w:val="00D34B42"/>
    <w:rsid w:val="00D4058B"/>
    <w:rsid w:val="00D725CF"/>
    <w:rsid w:val="00D751A5"/>
    <w:rsid w:val="00D76ED9"/>
    <w:rsid w:val="00D80110"/>
    <w:rsid w:val="00D96190"/>
    <w:rsid w:val="00DC3E92"/>
    <w:rsid w:val="00DC6B16"/>
    <w:rsid w:val="00DE1900"/>
    <w:rsid w:val="00DF7B7C"/>
    <w:rsid w:val="00E14A91"/>
    <w:rsid w:val="00E2232E"/>
    <w:rsid w:val="00E46566"/>
    <w:rsid w:val="00E50F8E"/>
    <w:rsid w:val="00E8318F"/>
    <w:rsid w:val="00EB6470"/>
    <w:rsid w:val="00EC24C6"/>
    <w:rsid w:val="00EC62E2"/>
    <w:rsid w:val="00ED18F2"/>
    <w:rsid w:val="00F33773"/>
    <w:rsid w:val="00F435FA"/>
    <w:rsid w:val="00F67686"/>
    <w:rsid w:val="00F87759"/>
    <w:rsid w:val="00FA0B0F"/>
    <w:rsid w:val="00FA3E18"/>
    <w:rsid w:val="00FD0403"/>
    <w:rsid w:val="00FE17E1"/>
    <w:rsid w:val="00FE3FE5"/>
    <w:rsid w:val="00FE614E"/>
    <w:rsid w:val="00FF06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08E4"/>
  <w15:chartTrackingRefBased/>
  <w15:docId w15:val="{2F8BC620-7AA4-4B12-85BC-90BE693E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TotalTime>
  <Pages>13</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Bignall</dc:creator>
  <cp:keywords/>
  <dc:description/>
  <cp:lastModifiedBy>Sam Bignall</cp:lastModifiedBy>
  <cp:revision>29</cp:revision>
  <dcterms:created xsi:type="dcterms:W3CDTF">2021-04-08T23:22:00Z</dcterms:created>
  <dcterms:modified xsi:type="dcterms:W3CDTF">2021-04-12T08:02:00Z</dcterms:modified>
</cp:coreProperties>
</file>