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6.xml" ContentType="application/xml"/>
  <Override PartName="/customXml/item7.xml" ContentType="application/xml"/>
  <Override PartName="/customXml/item8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1.0 -->
  <w:body>
    <w:p w:rsidR="00572B9E" w:rsidRPr="00E04530" w:rsidP="00572B9E" w14:paraId="0352AB56" w14:textId="15CE101D">
      <w:pPr>
        <w:pStyle w:val="BayerBodyTextFull"/>
        <w:pageBreakBefore w:val="0"/>
        <w:rPr>
          <w:b/>
          <w:lang w:val="de-DE"/>
        </w:rPr>
      </w:pPr>
      <w:bookmarkStart w:id="0" w:name="_Toc68684329"/>
      <w:bookmarkStart w:id="1" w:name="_Toc53910770"/>
      <w:bookmarkStart w:id="2" w:name="_Toc53820456"/>
      <w:bookmarkStart w:id="3" w:name="_Ref35744917"/>
      <w:bookmarkStart w:id="4" w:name="_Ref35744886"/>
      <w:bookmarkStart w:id="5" w:name="_Ref35744875"/>
      <w:bookmarkStart w:id="6" w:name="_Ref35744861"/>
      <w:bookmarkStart w:id="7" w:name="_Ref35744844"/>
      <w:r w:rsidRPr="00E04530">
        <w:rPr>
          <w:b/>
          <w:lang w:val="de-DE"/>
        </w:rPr>
        <w:t xml:space="preserve">Table </w:t>
      </w:r>
      <w:r w:rsidRPr="00E04530">
        <w:rPr>
          <w:b/>
          <w:lang w:val="de-DE"/>
        </w:rPr>
        <w:t>of</w:t>
      </w:r>
      <w:r w:rsidRPr="00E04530">
        <w:rPr>
          <w:b/>
          <w:lang w:val="de-DE"/>
        </w:rPr>
        <w:t xml:space="preserve"> </w:t>
      </w:r>
      <w:r w:rsidRPr="00E04530">
        <w:rPr>
          <w:b/>
          <w:lang w:val="de-DE"/>
        </w:rPr>
        <w:t>contents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6EDC0B92" w14:textId="69565B9B">
      <w:pPr>
        <w:pStyle w:val="TOC1"/>
        <w:rPr>
          <w:rFonts w:asciiTheme="minorHAnsi" w:hAnsiTheme="minorHAnsi"/>
          <w:noProof/>
          <w:sz w:val="22"/>
        </w:rPr>
      </w:pPr>
      <w:r w:rsidRPr="00B61F8E">
        <w:rPr>
          <w:b/>
          <w:bCs/>
          <w:noProof/>
          <w:lang w:val="de-DE"/>
        </w:rPr>
        <w:fldChar w:fldCharType="begin"/>
      </w:r>
      <w:r w:rsidRPr="00B61F8E">
        <w:rPr>
          <w:b/>
          <w:bCs/>
          <w:noProof/>
          <w:lang w:val="de-DE"/>
        </w:rPr>
        <w:instrText>TOC \o "1-9" \h</w:instrText>
      </w:r>
      <w:r w:rsidRPr="00B61F8E">
        <w:rPr>
          <w:b/>
          <w:bCs/>
          <w:noProof/>
          <w:lang w:val="de-DE"/>
        </w:rPr>
        <w:fldChar w:fldCharType="separate"/>
      </w:r>
      <w:hyperlink w:anchor="_Toc256000000" w:history="1">
        <w:r>
          <w:rPr>
            <w:rStyle w:val="Hyperlink"/>
          </w:rPr>
          <w:t>1. PiCSR Tables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rPr>
          <w:rFonts w:asciiTheme="minorHAnsi" w:hAnsiTheme="minorHAnsi"/>
          <w:noProof/>
          <w:sz w:val="22"/>
        </w:rPr>
      </w:pPr>
      <w:hyperlink w:anchor="_Toc256000001" w:history="1">
        <w:r>
          <w:rPr>
            <w:rStyle w:val="Hyperlink"/>
          </w:rPr>
          <w:t>2. Demographics and baseline characteristics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rPr>
          <w:rFonts w:asciiTheme="minorHAnsi" w:hAnsiTheme="minorHAnsi"/>
          <w:noProof/>
          <w:sz w:val="22"/>
        </w:rPr>
      </w:pPr>
      <w:hyperlink w:anchor="_Toc256000002" w:history="1">
        <w:r>
          <w:rPr>
            <w:rStyle w:val="Hyperlink"/>
          </w:rPr>
          <w:t>3. Medical History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3" w:history="1">
        <w:r>
          <w:rPr>
            <w:rStyle w:val="Hyperlink"/>
          </w:rPr>
          <w:t>Table 3 / 1: Medical history: PTs reported for &gt;=1% of subjects in total and their associated SOC - number (%) of subjects (safety analysis set)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5" w:history="1">
        <w:r>
          <w:rPr>
            <w:rStyle w:val="Hyperlink"/>
          </w:rPr>
          <w:t>Table 3 / 2: Medical history: 10 most frequent PTs in each treatment group - number (%) of subjects (safety analysis set)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rPr>
          <w:rFonts w:asciiTheme="minorHAnsi" w:hAnsiTheme="minorHAnsi"/>
          <w:noProof/>
          <w:sz w:val="22"/>
        </w:rPr>
      </w:pPr>
      <w:hyperlink w:anchor="_Toc256000007" w:history="1">
        <w:r>
          <w:rPr>
            <w:rStyle w:val="Hyperlink"/>
          </w:rPr>
          <w:t>4. Prior and Concomitant therapy</w:t>
        </w:r>
        <w:r>
          <w:tab/>
        </w:r>
        <w:r>
          <w:fldChar w:fldCharType="begin"/>
        </w:r>
        <w:r>
          <w:instrText xml:space="preserve"> PAGEREF _Toc256000007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08" w:history="1">
        <w:r>
          <w:rPr>
            <w:rStyle w:val="Hyperlink"/>
          </w:rPr>
          <w:t>Table 4 / 1: Concomitant medication: 10 most frequent ATC subclasses in each treatment group with their associated ATC classes - number (%) of subjects (safety analysis set)</w:t>
        </w:r>
        <w:r>
          <w:tab/>
        </w:r>
        <w:r>
          <w:fldChar w:fldCharType="begin"/>
        </w:r>
        <w:r>
          <w:instrText xml:space="preserve"> PAGEREF _Toc256000008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rPr>
          <w:rFonts w:asciiTheme="minorHAnsi" w:hAnsiTheme="minorHAnsi"/>
          <w:noProof/>
          <w:sz w:val="22"/>
        </w:rPr>
      </w:pPr>
      <w:hyperlink w:anchor="_Toc256000010" w:history="1">
        <w:r>
          <w:rPr>
            <w:rStyle w:val="Hyperlink"/>
          </w:rPr>
          <w:t>5. Efficacy evaluation</w:t>
        </w:r>
        <w:r>
          <w:tab/>
        </w:r>
        <w:r>
          <w:fldChar w:fldCharType="begin"/>
        </w:r>
        <w:r>
          <w:instrText xml:space="preserve"> PAGEREF _Toc256000010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1" w:history="1">
        <w:r>
          <w:rPr>
            <w:rStyle w:val="Hyperlink"/>
          </w:rPr>
          <w:t>Table 5 / 1: Mean change in frequency of moderate to severe HF from baseline to Week 12 (full analysis set)</w:t>
        </w:r>
        <w:r>
          <w:tab/>
        </w:r>
        <w:r>
          <w:fldChar w:fldCharType="begin"/>
        </w:r>
        <w:r>
          <w:instrText xml:space="preserve"> PAGEREF _Toc256000011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3" w:history="1">
        <w:r>
          <w:rPr>
            <w:rStyle w:val="Hyperlink"/>
          </w:rPr>
          <w:t>Table 5 / 2: Mean change in daily severity of moderate to severe HF from baseline to Week 12 (full analysis set)</w:t>
        </w:r>
        <w:r>
          <w:tab/>
        </w:r>
        <w:r>
          <w:fldChar w:fldCharType="begin"/>
        </w:r>
        <w:r>
          <w:instrText xml:space="preserve"> PAGEREF _Toc256000013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5" w:history="1">
        <w:r>
          <w:rPr>
            <w:rStyle w:val="Hyperlink"/>
          </w:rPr>
          <w:t>Table 5 / 3: Mean change in PROMIS SD SF 8b total score from baseline to Week 12 (full analysis set)</w:t>
        </w:r>
        <w:r>
          <w:tab/>
        </w:r>
        <w:r>
          <w:fldChar w:fldCharType="begin"/>
        </w:r>
        <w:r>
          <w:instrText xml:space="preserve"> PAGEREF _Toc256000015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7" w:history="1">
        <w:r>
          <w:rPr>
            <w:rStyle w:val="Hyperlink"/>
          </w:rPr>
          <w:t>Table 5 / 4: Mean change in MENQOL total score from baseline to Week 12 (full analysis set)</w:t>
        </w:r>
        <w:r>
          <w:tab/>
        </w:r>
        <w:r>
          <w:fldChar w:fldCharType="begin"/>
        </w:r>
        <w:r>
          <w:instrText xml:space="preserve"> PAGEREF _Toc256000017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19" w:history="1">
        <w:r>
          <w:rPr>
            <w:rStyle w:val="Hyperlink"/>
          </w:rPr>
          <w:t>Table 5 / 5: Mean change in BDI-II total score from baseline to Week 12/26 (full analysis set)</w:t>
        </w:r>
        <w:r>
          <w:tab/>
        </w:r>
        <w:r>
          <w:fldChar w:fldCharType="begin"/>
        </w:r>
        <w:r>
          <w:instrText xml:space="preserve"> PAGEREF _Toc256000019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TOC1"/>
        <w:rPr>
          <w:rFonts w:asciiTheme="minorHAnsi" w:hAnsiTheme="minorHAnsi"/>
          <w:noProof/>
          <w:sz w:val="22"/>
        </w:rPr>
      </w:pPr>
      <w:hyperlink w:anchor="_Toc256000021" w:history="1">
        <w:r>
          <w:rPr>
            <w:rStyle w:val="Hyperlink"/>
          </w:rPr>
          <w:t>6. Safety evaluation</w:t>
        </w:r>
        <w:r>
          <w:tab/>
        </w:r>
        <w:r>
          <w:fldChar w:fldCharType="begin"/>
        </w:r>
        <w:r>
          <w:instrText xml:space="preserve"> PAGEREF _Toc256000021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2" w:history="1">
        <w:r>
          <w:rPr>
            <w:rStyle w:val="Hyperlink"/>
          </w:rPr>
          <w:t>Table 6 / 1: TEAEs: 5 most frequent primary SOCs in each treatment group with their corresponding 3 most frequent PTs: number (%) of subjects (safety analysis set)</w:t>
        </w:r>
        <w:r>
          <w:tab/>
        </w:r>
        <w:r>
          <w:fldChar w:fldCharType="begin"/>
        </w:r>
        <w:r>
          <w:instrText xml:space="preserve"> PAGEREF _Toc256000022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4" w:history="1">
        <w:r>
          <w:rPr>
            <w:rStyle w:val="Hyperlink"/>
          </w:rPr>
          <w:t>Table 6 / 2: TEAEs: PTs reported for &gt;=2% of subjects in any treatment group: number (%) of subjects (safety analysis set)</w:t>
        </w:r>
        <w:r>
          <w:tab/>
        </w:r>
        <w:r>
          <w:fldChar w:fldCharType="begin"/>
        </w:r>
        <w:r>
          <w:instrText xml:space="preserve"> PAGEREF _Toc256000024 \h </w:instrText>
        </w:r>
        <w:r>
          <w:fldChar w:fldCharType="separate"/>
        </w:r>
        <w:r>
          <w:t>22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6" w:history="1">
        <w:r>
          <w:rPr>
            <w:rStyle w:val="Hyperlink"/>
          </w:rPr>
          <w:t>Table 6 / 3: Study drug-related TEAEs: PTs reported for &gt;=2% of subjects in any treatment group: number (%) of subjects (safety analysis set)</w:t>
        </w:r>
        <w:r>
          <w:tab/>
        </w:r>
        <w:r>
          <w:fldChar w:fldCharType="begin"/>
        </w:r>
        <w:r>
          <w:instrText xml:space="preserve"> PAGEREF _Toc256000026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28" w:history="1">
        <w:r>
          <w:rPr>
            <w:rStyle w:val="Hyperlink"/>
          </w:rPr>
          <w:t>Table 6 / 4: Serious TEAEs: 9 most frequent PTs in each treatment group: number (%) of subjects (safety analysis set)</w:t>
        </w:r>
        <w:r>
          <w:tab/>
        </w:r>
        <w:r>
          <w:fldChar w:fldCharType="begin"/>
        </w:r>
        <w:r>
          <w:instrText xml:space="preserve"> PAGEREF _Toc256000028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0" w:history="1">
        <w:r>
          <w:rPr>
            <w:rStyle w:val="Hyperlink"/>
          </w:rPr>
          <w:t>Table 6 / 5: TEAEs resulting in permanent discontinuation of study drug: PTs reported for &gt;=1% of subjects in any treatment group: number (%) of subjects (safety analysis set)</w:t>
        </w:r>
        <w:r>
          <w:tab/>
        </w:r>
        <w:r>
          <w:fldChar w:fldCharType="begin"/>
        </w:r>
        <w:r>
          <w:instrText xml:space="preserve"> PAGEREF _Toc256000030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2" w:history="1">
        <w:r>
          <w:rPr>
            <w:rStyle w:val="Hyperlink"/>
          </w:rPr>
          <w:t>Table 6 / 6: Study drug-related TEAEs resulting in permanent discontinuation of study drug: PTs reported for &gt;=1% of subjects in any treatment group: number (%) of subjects (safety analysis set)</w:t>
        </w:r>
        <w:r>
          <w:tab/>
        </w:r>
        <w:r>
          <w:fldChar w:fldCharType="begin"/>
        </w:r>
        <w:r>
          <w:instrText xml:space="preserve"> PAGEREF _Toc256000032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TOC9"/>
        <w:rPr>
          <w:rFonts w:asciiTheme="minorHAnsi" w:hAnsiTheme="minorHAnsi"/>
          <w:noProof/>
          <w:sz w:val="22"/>
        </w:rPr>
      </w:pPr>
      <w:hyperlink w:anchor="_Toc256000034" w:history="1">
        <w:r>
          <w:rPr>
            <w:rStyle w:val="Hyperlink"/>
          </w:rPr>
          <w:t>Table 6 / 7: Mean daily sleepiness in total score change from baseline (safety analysis set)</w:t>
        </w:r>
        <w:r>
          <w:tab/>
        </w:r>
        <w:r>
          <w:fldChar w:fldCharType="begin"/>
        </w:r>
        <w:r>
          <w:instrText xml:space="preserve"> PAGEREF _Toc256000034 \h </w:instrText>
        </w:r>
        <w:r>
          <w:fldChar w:fldCharType="separate"/>
        </w:r>
        <w:r>
          <w:t>27</w:t>
        </w:r>
        <w:r>
          <w:fldChar w:fldCharType="end"/>
        </w:r>
      </w:hyperlink>
    </w:p>
    <w:p w:rsidR="00572B9E" w:rsidRPr="0063016D" w:rsidP="00572B9E">
      <w:pPr>
        <w:pStyle w:val="BayerBodyTextFull"/>
        <w:rPr>
          <w:b/>
          <w:bCs/>
          <w:noProof/>
          <w:lang w:val="de-DE"/>
        </w:rPr>
        <w:sectPr w:rsidSect="002E0C06">
          <w:headerReference w:type="default" r:id="rId12"/>
          <w:headerReference w:type="first" r:id="rId13"/>
          <w:endnotePr>
            <w:numFmt w:val="decimal"/>
          </w:endnotePr>
          <w:pgSz w:w="11907" w:h="16840" w:code="9"/>
          <w:pgMar w:top="1418" w:right="1418" w:bottom="1418" w:left="1418" w:header="720" w:footer="57" w:gutter="0"/>
          <w:cols w:space="720"/>
          <w:formProt w:val="0"/>
          <w:titlePg/>
          <w:docGrid w:linePitch="326"/>
        </w:sectPr>
      </w:pPr>
      <w:r w:rsidRPr="00B61F8E">
        <w:rPr>
          <w:b/>
          <w:bCs/>
          <w:noProof/>
          <w:lang w:val="de-DE"/>
        </w:rPr>
        <w:fldChar w:fldCharType="end"/>
      </w:r>
    </w:p>
    <w:p>
      <w:pPr>
        <w:pStyle w:val="Heading1"/>
        <w:pageBreakBefore w:val="0"/>
        <w:spacing w:before="240" w:after="120" w:line="240" w:lineRule="auto"/>
        <w:sectPr w:rsidSect="00650FC8">
          <w:headerReference w:type="default" r:id="rId14"/>
          <w:pgSz w:w="16839" w:h="11907" w:orient="landscape" w:code="9"/>
          <w:pgMar w:top="1418" w:right="1418" w:bottom="1418" w:left="1418" w:header="720" w:footer="57" w:gutter="0"/>
          <w:cols w:space="720"/>
          <w:docGrid w:linePitch="326"/>
        </w:sectPr>
      </w:pPr>
      <w:bookmarkStart w:id="8" w:name="_Toc256000000"/>
      <w:r>
        <w:t>1. PiCSR Tables</w:t>
      </w:r>
      <w:bookmarkEnd w:id="8"/>
    </w:p>
    <w:p>
      <w:pPr>
        <w:pStyle w:val="Heading1"/>
        <w:pageBreakBefore w:val="0"/>
        <w:spacing w:before="240" w:after="120" w:line="240" w:lineRule="auto"/>
      </w:pPr>
      <w:bookmarkStart w:id="9" w:name="_Toc256000001"/>
      <w:r>
        <w:t>2. Demographics and baseline characteristics</w:t>
      </w:r>
      <w:bookmarkEnd w:id="9"/>
    </w:p>
    <w:p>
      <w:pPr>
        <w:pStyle w:val="Heading1"/>
        <w:pageBreakBefore/>
        <w:spacing w:before="240" w:after="120" w:line="240" w:lineRule="auto"/>
        <w:sectPr w:rsidSect="00650FC8">
          <w:headerReference w:type="default" r:id="rId15"/>
          <w:type w:val="nextPage"/>
          <w:pgSz w:w="16839" w:h="11907" w:orient="landscape" w:code="9"/>
          <w:pgMar w:top="1418" w:right="1418" w:bottom="1418" w:left="1418" w:header="720" w:footer="57" w:gutter="0"/>
          <w:cols w:space="720"/>
          <w:vAlign w:val="center"/>
          <w:docGrid w:linePitch="326"/>
        </w:sectPr>
      </w:pPr>
      <w:bookmarkStart w:id="10" w:name="_Toc256000002"/>
      <w:r>
        <w:t>3. Medical History</w:t>
      </w:r>
      <w:bookmarkEnd w:id="10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0"/>
        <w:gridCol w:w="1465"/>
        <w:gridCol w:w="2105"/>
        <w:gridCol w:w="114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9335" w:type="dxa"/>
            <w:gridSpan w:val="4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1" w:name="_Toc256000003"/>
            <w:r>
              <w:t>Table 3 / 1: Medical history: PTs reported for &gt;=1% of subjects in total and their associated SOC - number (%) of subjects (safety analysis set)</w:t>
            </w:r>
            <w:bookmarkEnd w:id="11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62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Primary system organ class </w:t>
              <w:br/>
              <w:t xml:space="preserve">   Preferred term </w:t>
              <w:br/>
              <w:t xml:space="preserve">   MedDRA version 26.1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N=199 (100%)</w:t>
            </w:r>
          </w:p>
        </w:tc>
        <w:tc>
          <w:tcPr>
            <w:tcW w:w="2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N=194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Total </w:t>
              <w:br/>
              <w:t>N=393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medical history finding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 ( 95.0%)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186 ( 95.9%)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375 ( 95.4%)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Surgical and medical procedures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143 ( 71.9%)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139 ( 71.6%)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282 ( 71.8%)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Hysterectomy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 ( 33.7%)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 ( 30.4%)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126 ( 32.1%)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Cholecystectomy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 (  8.4%)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Caesarean section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( 10.1%)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 ( 12.4%)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 ( 11.2%)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Appendicectomy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8.5%)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 (  8.2%)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 (  8.4%)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Hysterosalpingo-oophorectomy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 (  8.0%)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9.3%)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 (  8.7%)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Mammoplasty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7.5%)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6.7%)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 (  7.1%)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Oophorectomy bilateral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 (  4.8%)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Tonsillectomy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 (  6.6%)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Salpingo-oophorectomy bilateral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6.5%)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4.1%)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 5.3%)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Female sterilisation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 (  6.1%)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Salpingo-oophorectomy unilateral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Endometrial ablation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2.8%)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Gastric bypass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Intervertebral disc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2.8%)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Knee arthroplasty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Adhesiolysis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Carpal tunnel decompression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Myomectomy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1.8%)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Varicose vein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Abdominoplasty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Bunion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Meniscus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Spinal fusion surgery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Spinal laminectomy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Urinary bladder suspension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Uterine dilation and curettage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1.8%)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Ankle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Breast cyst excision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Cardiac ablation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Cervical conisation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Cyst removal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Hernia repair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Keratomileusis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Knee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Limb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Loop electrosurgical excision procedure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Nasal septal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Rectocele repair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Rotator cuff repair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Salpingectomy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2.3%)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Shoulder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Splenectomy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Sterilisation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Umbilical hernia repair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Neoplasms benign, malignant and unspecified (incl cysts and polyps)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69 ( 34.7%)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 ( 31.4%)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130 ( 33.1%)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Uterine leiomyoma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 ( 23.6%)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 ( 24.7%)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 ( 24.2%)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Fibroma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Basal cell carcinoma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Benign ovarian tumour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Benign uterine neoplasm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Cervix carcinoma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Fibroadenoma of breast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Reproductive system and breast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 ( 33.2%)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 ( 36.1%)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136 ( 34.6%)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Heavy menstrual bleeding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( 10.1%)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 (  7.9%)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Endometriosis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6.5%)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 (  6.4%)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Ovarian cyst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4.0%)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6.7%)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 5.3%)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Atrophic vulvovaginitis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Cervical dysplasia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Intermenstrual bleeding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Breast cyst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Pelvic 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Adenomyosis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Dysmenorrhoea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Menometrorrhagia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Uterine prolapse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Vaginal haemorrhage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Metabolism and nutrition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 ( 30.7%)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 ( 32.0%)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123 ( 31.3%)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Obesity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 ( 13.6%)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( 10.3%)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 ( 12.0%)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Hypercholesterolaemia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7.5%)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 (  8.2%)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 (  7.9%)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Hyperlipidaemia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5.2%)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 (  6.1%)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Type 2 diabetes mellitus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4.5%)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 (  5.9%)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Dyslipidaemia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Glucose tolerance impaired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2.8%)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Diabetes mellitus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1.8%)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Vitamin D deficiency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Musculoskeletal and connective tissue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 ( 28.1%)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 ( 32.0%)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118 ( 30.0%)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Osteoarthritis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 ( 11.1%)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7.7%)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 (  9.4%)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Back 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4.0%)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7.7%)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 (  5.9%)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Arthralgia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Intervertebral disc protrusion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1.8%)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Osteopenia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Spinal osteoarthritis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4.1%)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Foot deformity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Myalgia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Neck 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Rheumatoid arthritis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Rotator cuff syndrome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Spinal 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Spinal stenosis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Vascular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 ( 28.1%)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58 ( 29.9%)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114 ( 29.0%)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Hypertension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 ( 25.6%)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 ( 26.3%)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 ( 26.0%)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Deep vein thrombosis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Raynaud's phenomenon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Psychiatric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 ( 24.6%)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 ( 24.2%)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96 ( 24.4%)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9.3%)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 (  9.9%)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Insomnia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8.5%)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7.7%)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32 (  8.1%)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Anxiety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6.5%)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 (  6.9%)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Sleep disorder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Nicotine dependence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Immune system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 ( 23.6%)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 ( 31.4%)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 ( 27.5%)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Seasonal allergy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 ( 14.1%)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 ( 14.9%)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 ( 14.5%)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Drug hypersensitivity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 ( 14.4%)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42 ( 10.7%)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Food allergy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Allergy to arthropod sting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Milk allergy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Mite allergy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Multiple allergies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Rubber sensitivity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Gastrointestinal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 ( 23.1%)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 ( 20.1%)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85 ( 21.6%)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Gastrooesophageal reflux disease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8.5%)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8.8%)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34 (  8.7%)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Dyspepsia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4.5%)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3.6%)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Haemorrhoids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Constipation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Irritable bowel syndrome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Hiatus hernia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Intestinal polyp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Umbilical hernia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Infections and infestations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39 ( 19.6%)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 ( 19.6%)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77 ( 19.6%)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COVID-19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4.1%)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(  5.1%)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Papilloma viral infection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Tonsillitis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Urinary tract infection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4.6%)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Appendicitis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Diverticulitis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Fungal infection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Genital herpes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Oral herpes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Nervous system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 ( 17.6%)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46 ( 23.7%)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81 ( 20.6%)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Migraine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 (  8.0%)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( 10.8%)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37 (  9.4%)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Headache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4.6%)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Sciatica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Carpal tunnel syndrome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Migraine without aura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Sinus headache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Transient ischaemic attack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Investigations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32 ( 16.1%)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 ( 14.9%)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 ( 15.5%)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 rating scale score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Glycosylated haemoglobin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Arthroscopy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Alanine aminotransferase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Biopsy breast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cholesterol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2.3%)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Hysteroscopy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Laparoscopy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Mammogram abnormal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Endocrine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 ( 13.1%)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 ( 17.0%)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 ( 15.0%)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Hypothyroidism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 (  9.5%)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( 10.8%)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 ( 10.2%)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Autoimmune thyroiditis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Polycystic ovarian syndrome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Skin and subcutaneous tissue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 ( 11.6%)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8.8%)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 ( 10.2%)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Acne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1.8%)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Psoriasis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Dermatitis atopic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Drug eruption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Lichen sclerosus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Rash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Urticaria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Respiratory, thoracic and mediastinal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9.0%)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 ( 13.4%)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 ( 11.2%)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Asthma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4.5%)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7.7%)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 (  6.1%)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Chronic obstructive pulmonary disease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Sleep apnoea syndrome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Injury, poisoning and procedural complications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8.8%)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31 (  7.9%)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Epicondylitis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Ligament rupture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Ulna fracture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Renal and urinary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 (  6.4%)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Nephrolithiasis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Hypertonic bladder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Mixed incontinence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Stress urinary incontinence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Eye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5.2%)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 (  5.6%)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Dry eye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Glaucoma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Presbyopia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Visual impairment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Pregnancy, puerperium and perinatal conditions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7.7%)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 (  6.9%)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Delivery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Ectopic pregnancy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Abortion spontaneous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and lymphatic system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4.3%)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Anaemia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2.8%)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Hepatobiliary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5.0%)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 (  4.1%)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Cholelithiasis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2.3%)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Hepatic steatosis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Ear and labyrinth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4.5%)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2.8%)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Vertigo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Hypoacusis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Tinnitus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Cardiac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4.0%)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5.2%)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4.6%)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Supraventricular tachycardia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Tachycardia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General disorders and administration site conditions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5.7%)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4.3%)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Fatigue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2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2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9335" w:type="dxa"/>
            <w:gridSpan w:val="4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8.1.5 / 1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1805"/>
        <w:gridCol w:w="244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8930" w:type="dxa"/>
            <w:gridSpan w:val="3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2" w:name="_Toc256000005"/>
            <w:r>
              <w:t>Table 3 / 2: Medical history: 10 most frequent PTs in each treatment group - number (%) of subjects (safety analysis set)</w:t>
            </w:r>
            <w:bookmarkEnd w:id="12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68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Preferred Term </w:t>
              <w:br/>
              <w:t xml:space="preserve">   MedDRA Version 26.1</w:t>
            </w:r>
          </w:p>
        </w:tc>
        <w:tc>
          <w:tcPr>
            <w:tcW w:w="18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N=199 (100%)</w:t>
            </w:r>
          </w:p>
        </w:tc>
        <w:tc>
          <w:tcPr>
            <w:tcW w:w="24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N=194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medical history finding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 ( 95.0%)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186 ( 95.9%)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Hysterectomy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 ( 33.7%)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 ( 30.4%)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Hypertension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 ( 25.6%)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 ( 26.3%)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Uterine leiomyoma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 ( 23.6%)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 ( 24.7%)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Seasonal allergy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 ( 14.1%)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 ( 14.9%)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Obesity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 ( 13.6%)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( 10.3%)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Osteoarthritis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 ( 11.1%)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7.7%)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( 10.6%)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9.3%)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Cholecystectomy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( 10.6%)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Heavy menstrual bleeding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( 10.1%)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Caesarean section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( 10.1%)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 ( 12.4%)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Hypothyroidism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 (  9.5%)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Migraine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 (  8.0%)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Hysterosalpingo-oophorectomy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 (  8.0%)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9.3%)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6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Drug hypersensitivity</w:t>
            </w:r>
          </w:p>
        </w:tc>
        <w:tc>
          <w:tcPr>
            <w:tcW w:w="18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24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 ( 14.4%)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8930" w:type="dxa"/>
            <w:gridSpan w:val="3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8.1.5 / 1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sectPr w:rsidSect="00650FC8">
          <w:headerReference w:type="default" r:id="rId16"/>
          <w:type w:val="nextPage"/>
          <w:pgSz w:w="16839" w:h="11907" w:orient="landscape" w:code="9"/>
          <w:pgMar w:top="1418" w:right="1418" w:bottom="1418" w:left="1418" w:header="720" w:footer="57" w:gutter="0"/>
          <w:cols w:space="720"/>
          <w:vAlign w:val="top"/>
          <w:docGrid w:linePitch="326"/>
        </w:sectPr>
      </w:pPr>
    </w:p>
    <w:p>
      <w:pPr>
        <w:pStyle w:val="Heading1"/>
        <w:pageBreakBefore w:val="0"/>
        <w:spacing w:before="240" w:after="120" w:line="240" w:lineRule="auto"/>
        <w:sectPr w:rsidSect="00650FC8">
          <w:headerReference w:type="default" r:id="rId17"/>
          <w:type w:val="nextPage"/>
          <w:pgSz w:w="16839" w:h="11907" w:orient="landscape" w:code="9"/>
          <w:pgMar w:top="1418" w:right="1418" w:bottom="1418" w:left="1418" w:header="720" w:footer="57" w:gutter="0"/>
          <w:cols w:space="720"/>
          <w:vAlign w:val="center"/>
          <w:docGrid w:linePitch="326"/>
        </w:sectPr>
      </w:pPr>
      <w:bookmarkStart w:id="13" w:name="_Toc256000007"/>
      <w:r>
        <w:t>4. Prior and Concomitant therapy</w:t>
      </w:r>
      <w:bookmarkEnd w:id="13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0"/>
        <w:gridCol w:w="1665"/>
        <w:gridCol w:w="23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8950" w:type="dxa"/>
            <w:gridSpan w:val="3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4" w:name="_Toc256000008"/>
            <w:r>
              <w:t>Table 4 / 1: Concomitant medication: 10 most frequent ATC subclasses in each treatment group with their associated ATC classes - number (%) of subjects (safety analysis set)</w:t>
            </w:r>
            <w:bookmarkEnd w:id="14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98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ATC CLASS </w:t>
              <w:br/>
              <w:t xml:space="preserve">   SUBCLASS </w:t>
              <w:br/>
              <w:t xml:space="preserve">      WHO-DD Version 2023SEP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N=199 (100%)</w:t>
            </w:r>
          </w:p>
        </w:tc>
        <w:tc>
          <w:tcPr>
            <w:tcW w:w="23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N=194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who took at least one concomitant medication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176 ( 88.4%)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 ( 89.2%)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ALIMENTARY TRACT AND METABOLISM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137 ( 68.8%)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134 ( 69.1%)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MINERAL SUPPLEMENTS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79 ( 39.7%)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84 ( 43.3%)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VITAMINS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75 ( 37.7%)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77 ( 39.7%)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DRUGS FOR ACID RELATED DISORDERS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 ( 20.1%)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38 ( 19.6%)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STOMATOLOGICAL PREPARATIONS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40 ( 20.1%)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 ( 18.0%)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CARDIOVASCULAR SYSTEM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97 ( 48.7%)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105 ( 54.1%)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LIPID MODIFYING AGENTS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48 ( 24.1%)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 ( 24.2%)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DERMATOLOGICALS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78 ( 39.2%)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86 ( 44.3%)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OTHER DERMATOLOGICAL PREPARATIONS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44 ( 22.1%)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41 ( 21.1%)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DRUG WITH NO SUBCLASS DEFINED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MUSCULO-SKELETAL SYSTEM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 ( 34.2%)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 ( 30.9%)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ANTIINFLAMMATORY AND ANTIRHEUMATIC PRODUCTS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 ( 27.6%)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49 ( 25.3%)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TOPICAL PRODUCTS FOR JOINT AND MUSCULAR PAIN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 ( 25.1%)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 ( 23.2%)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NERVOUS SYSTEM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68 ( 34.2%)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77 ( 39.7%)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ANALGESICS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53 ( 26.6%)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56 ( 28.9%)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SENSORY ORGANS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 ( 33.2%)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65 ( 33.5%)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9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OPHTHALMOLOGICALS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66 ( 33.2%)</w:t>
            </w:r>
          </w:p>
        </w:tc>
        <w:tc>
          <w:tcPr>
            <w:tcW w:w="23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 ( 33.0%)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8950" w:type="dxa"/>
            <w:gridSpan w:val="3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8.1.6 / 2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sectPr w:rsidSect="00650FC8">
          <w:headerReference w:type="default" r:id="rId18"/>
          <w:type w:val="nextPage"/>
          <w:pgSz w:w="16839" w:h="11907" w:orient="landscape" w:code="9"/>
          <w:pgMar w:top="1418" w:right="1418" w:bottom="1418" w:left="1418" w:header="720" w:footer="57" w:gutter="0"/>
          <w:cols w:space="720"/>
          <w:vAlign w:val="top"/>
          <w:docGrid w:linePitch="326"/>
        </w:sectPr>
      </w:pPr>
    </w:p>
    <w:p>
      <w:pPr>
        <w:pStyle w:val="Heading1"/>
        <w:pageBreakBefore w:val="0"/>
        <w:spacing w:before="240" w:after="120" w:line="240" w:lineRule="auto"/>
        <w:sectPr w:rsidSect="00650FC8">
          <w:headerReference w:type="default" r:id="rId19"/>
          <w:type w:val="nextPage"/>
          <w:pgSz w:w="16839" w:h="11907" w:orient="landscape" w:code="9"/>
          <w:pgMar w:top="1418" w:right="1418" w:bottom="1418" w:left="1418" w:header="720" w:footer="57" w:gutter="0"/>
          <w:cols w:space="720"/>
          <w:vAlign w:val="center"/>
          <w:docGrid w:linePitch="326"/>
        </w:sectPr>
      </w:pPr>
      <w:bookmarkStart w:id="15" w:name="_Toc256000010"/>
      <w:r>
        <w:t>5. Efficacy evaluation</w:t>
      </w:r>
      <w:bookmarkEnd w:id="15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5"/>
        <w:gridCol w:w="945"/>
        <w:gridCol w:w="425"/>
        <w:gridCol w:w="1105"/>
        <w:gridCol w:w="665"/>
        <w:gridCol w:w="1025"/>
        <w:gridCol w:w="425"/>
        <w:gridCol w:w="1185"/>
        <w:gridCol w:w="665"/>
        <w:gridCol w:w="10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650" w:type="dxa"/>
            <w:gridSpan w:val="11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6" w:name="_Toc256000011"/>
            <w:r>
              <w:t>Table 5 / 1: Mean change in frequency of moderate to severe HF from baseline to Week 12 (full analysis set)</w:t>
            </w:r>
            <w:bookmarkEnd w:id="16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070" w:type="dxa"/>
            <w:gridSpan w:val="3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2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(N=199) </w:t>
            </w:r>
          </w:p>
        </w:tc>
        <w:tc>
          <w:tcPr>
            <w:tcW w:w="33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(N=197)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070" w:type="dxa"/>
            <w:gridSpan w:val="3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Value at visit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13.38 (6.57)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11.71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5.0, 40.7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14.26 (13.94)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10.85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1.5, 173.9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8.45 (6.25)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7.43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0.0, 49.3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11.63 (12.66)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9.29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0.7, 157.6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5.93 (5.57)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4.43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0.0, 36.1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10.09 (15.16)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7.57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0.0, 185.9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4.37 (4.59)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3.14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0.0, 20.4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8.68 (14.99)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6.00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0.0, 134.6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Change from baseline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-5.00 (5.05)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-3.93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-26.0, 10.3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-2.72 (4.99)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-1.79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-22.4, 18.9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-7.48 (5.80)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-6.50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-31.6, 5.4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-4.37 (6.73)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-32.4, 34.5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-8.74 (6.70)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-7.93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-34.9, 8.9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-5.53 (10.16)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-4.43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-39.3, 88.8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Percent change from baseline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-37.14 (29.74)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-32.18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-100.0, 67.6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-16.84 (28.47)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-16.03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-92.0, 104.4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-55.87 (34.06)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-60.31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-100.0, 86.7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-31.42 (33.79)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-31.78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-100.0, 90.3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-65.21 (35.30)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-73.86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-100.0, 119.0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-42.18 (43.25)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-43.80</w:t>
            </w: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-100.0, 232.3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-2.45 (0.46)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-3.36, -1.55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-3.29 (0.61)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-4.47, -2.10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-3.22 (0.81)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-4.81, -1.63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1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0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650" w:type="dxa"/>
            <w:gridSpan w:val="11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8.2.1.2 / 1, Table 8.2.1.2 / 2, Table 8.2.1.2 / 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505"/>
        <w:gridCol w:w="945"/>
        <w:gridCol w:w="425"/>
        <w:gridCol w:w="1105"/>
        <w:gridCol w:w="665"/>
        <w:gridCol w:w="925"/>
        <w:gridCol w:w="425"/>
        <w:gridCol w:w="1105"/>
        <w:gridCol w:w="665"/>
        <w:gridCol w:w="10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830" w:type="dxa"/>
            <w:gridSpan w:val="11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7" w:name="_Toc256000013"/>
            <w:r>
              <w:t>Table 5 / 2: Mean change in daily severity of moderate to severe HF from baseline to Week 12 (full analysis set)</w:t>
            </w:r>
            <w:bookmarkEnd w:id="17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510" w:type="dxa"/>
            <w:gridSpan w:val="3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1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(N=199) </w:t>
            </w:r>
          </w:p>
        </w:tc>
        <w:tc>
          <w:tcPr>
            <w:tcW w:w="320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(N=197)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510" w:type="dxa"/>
            <w:gridSpan w:val="3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1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Value at visit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2.56 (0.22)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1.9, 3.0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2.53 (0.23)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2.54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1.5, 3.0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2.04 (0.47)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0.4, 3.0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 (0.38)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2.22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0.8, 3.0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1.83 (0.69)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2.12 (0.48)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2.15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0.1, 3.0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1.60 (0.82)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1.77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0.0, 3.0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1.97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2.09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0.0, 3.0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Change from baseline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-0.52 (0.41)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-0.46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-2.6, 0.1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 (0.29)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-0.29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-1.8, 0.2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-0.73 (0.64)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-3.0, 0.2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-0.39 (0.43)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-0.36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-2.5, 0.5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-0.95 (0.78)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-0.80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-3.0, 0.2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-0.55 (0.60)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-2.6, 0.4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Percent change from baseline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-20.46 (15.69)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-18.11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-85.7, 2.3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-12.11 (11.69)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-11.45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-67.8, 7.7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191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-28.85 (25.02)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-22.58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-100.0, 7.5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-15.65 (16.91)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-14.43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-94.6, 18.0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-37.68 (30.98)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-31.59</w:t>
            </w: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-100.0, 9.6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169</w:t>
            </w: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-22.12 (23.84)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-15.99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-100.0, 17.2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 (0.06)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-0.44, -0.23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-0.40 (0.07)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-0.54, -0.25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2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9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1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830" w:type="dxa"/>
            <w:gridSpan w:val="11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8.2.1.5 / 1, Table 8.2.1.5 / 2, Table 8.2.1.5 / 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2505"/>
        <w:gridCol w:w="945"/>
        <w:gridCol w:w="425"/>
        <w:gridCol w:w="945"/>
        <w:gridCol w:w="665"/>
        <w:gridCol w:w="825"/>
        <w:gridCol w:w="425"/>
        <w:gridCol w:w="94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750" w:type="dxa"/>
            <w:gridSpan w:val="11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8" w:name="_Toc256000015"/>
            <w:r>
              <w:t>Table 5 / 3: Mean change in PROMIS SD SF 8b total score from baseline to Week 12 (full analysis set)</w:t>
            </w:r>
            <w:bookmarkEnd w:id="18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030" w:type="dxa"/>
            <w:gridSpan w:val="3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8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(N=199) </w:t>
            </w:r>
          </w:p>
        </w:tc>
        <w:tc>
          <w:tcPr>
            <w:tcW w:w="286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(N=197)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030" w:type="dxa"/>
            <w:gridSpan w:val="3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9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Value at visit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184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61.0 (7.7)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61.5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29, 77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60.2 (7.2)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60.4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36, 77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50.3 (8.8)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51.2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29, 69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55.3 (8.7)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55.8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33, 77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Change from baseline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-10.8 (9.6)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-9.4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-44, 12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156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-5.0 (6.9)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-4.5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-23, 12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-5.58 (0.82)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-7.18, -3.98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750" w:type="dxa"/>
            <w:gridSpan w:val="11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8.2.1.8 / 1, Table 8.2.1.8 / 2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2505"/>
        <w:gridCol w:w="945"/>
        <w:gridCol w:w="425"/>
        <w:gridCol w:w="1025"/>
        <w:gridCol w:w="665"/>
        <w:gridCol w:w="825"/>
        <w:gridCol w:w="425"/>
        <w:gridCol w:w="1025"/>
        <w:gridCol w:w="665"/>
        <w:gridCol w:w="82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0910" w:type="dxa"/>
            <w:gridSpan w:val="11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19" w:name="_Toc256000017"/>
            <w:r>
              <w:t>Table 5 / 4: Mean change in MENQOL total score from baseline to Week 12 (full analysis set)</w:t>
            </w:r>
            <w:bookmarkEnd w:id="19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030" w:type="dxa"/>
            <w:gridSpan w:val="3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29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(N=199) </w:t>
            </w:r>
          </w:p>
        </w:tc>
        <w:tc>
          <w:tcPr>
            <w:tcW w:w="294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(N=197)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5030" w:type="dxa"/>
            <w:gridSpan w:val="3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4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82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Value at visit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179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4.56 (1.27)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4.51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1.7, 7.9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173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4.49 (1.31)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4.35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1.6, 7.8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3.16 (1.22)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2.96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1.0, 7.4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3.61 (1.28)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3.39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1.2, 7.2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Change from baseline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160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-1.41 (1.30)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-1.22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-5.6, 2.3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152</w:t>
            </w: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-0.96 (1.11)</w:t>
            </w: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-0.81</w:t>
            </w: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-5.1, 1.4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Difference in LS-Means (SE)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 (0.11)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95% CI for Difference in LS-Means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-0.64, -0.20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58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2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p-value (one-sided)</w:t>
            </w:r>
          </w:p>
        </w:tc>
        <w:tc>
          <w:tcPr>
            <w:tcW w:w="9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&lt;.0001</w:t>
            </w: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4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10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  <w:tc>
          <w:tcPr>
            <w:tcW w:w="82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0910" w:type="dxa"/>
            <w:gridSpan w:val="11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8.2.1.11 / 1, Table 8.2.1.11 / 2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0"/>
        <w:gridCol w:w="605"/>
        <w:gridCol w:w="1065"/>
        <w:gridCol w:w="845"/>
        <w:gridCol w:w="1005"/>
        <w:gridCol w:w="605"/>
        <w:gridCol w:w="1065"/>
        <w:gridCol w:w="845"/>
        <w:gridCol w:w="10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8800" w:type="dxa"/>
            <w:gridSpan w:val="9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0" w:name="_Toc256000019"/>
            <w:r>
              <w:t>Table 5 / 5: Mean change in BDI-II total score from baseline to Week 12/26 (full analysis set)</w:t>
            </w:r>
            <w:bookmarkEnd w:id="20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760" w:type="dxa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5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(N=199) </w:t>
            </w:r>
          </w:p>
        </w:tc>
        <w:tc>
          <w:tcPr>
            <w:tcW w:w="352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Placebo - Elinzanetant 120mg</w:t>
            </w:r>
            <w:r>
              <w:rPr>
                <w:rFonts w:ascii="Times" w:hAnsi="Times" w:cs="Times"/>
              </w:rPr>
              <w:br/>
            </w:r>
            <w:r>
              <w:rPr>
                <w:rFonts w:ascii="Times" w:hAnsi="Times" w:cs="Times"/>
              </w:rPr>
              <w:t xml:space="preserve">(N=197)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7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6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6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8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7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Value at visit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7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199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6.8 (6.5)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0, 40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6.2 (6.7)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0, 41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7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6.6 (6.6)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0, 32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7.2 (7.9)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0, 45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7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5.5 (5.6)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0, 27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4.8 (5.5)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2.5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0, 25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7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Change from baseline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7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175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 (7.2)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-24, 25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0.9 (6.5)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-34, 25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7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26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108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-0.9 (6.7)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-20, 16</w:t>
            </w:r>
          </w:p>
        </w:tc>
        <w:tc>
          <w:tcPr>
            <w:tcW w:w="6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104</w:t>
            </w:r>
          </w:p>
        </w:tc>
        <w:tc>
          <w:tcPr>
            <w:tcW w:w="10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-0.6 (5.5)</w:t>
            </w:r>
          </w:p>
        </w:tc>
        <w:tc>
          <w:tcPr>
            <w:tcW w:w="8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</w:t>
            </w:r>
          </w:p>
        </w:tc>
        <w:tc>
          <w:tcPr>
            <w:tcW w:w="1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-14, 19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8800" w:type="dxa"/>
            <w:gridSpan w:val="9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8.2.2 / 1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sectPr w:rsidSect="00650FC8">
          <w:headerReference w:type="default" r:id="rId20"/>
          <w:type w:val="nextPage"/>
          <w:pgSz w:w="16839" w:h="11907" w:orient="landscape" w:code="9"/>
          <w:pgMar w:top="1418" w:right="1418" w:bottom="1418" w:left="1418" w:header="720" w:footer="57" w:gutter="0"/>
          <w:cols w:space="720"/>
          <w:vAlign w:val="top"/>
          <w:docGrid w:linePitch="326"/>
        </w:sectPr>
      </w:pPr>
    </w:p>
    <w:p>
      <w:pPr>
        <w:pStyle w:val="Heading1"/>
        <w:pageBreakBefore w:val="0"/>
        <w:spacing w:before="240" w:after="120" w:line="240" w:lineRule="auto"/>
        <w:sectPr w:rsidSect="00650FC8">
          <w:headerReference w:type="default" r:id="rId21"/>
          <w:type w:val="nextPage"/>
          <w:pgSz w:w="16839" w:h="11907" w:orient="landscape" w:code="9"/>
          <w:pgMar w:top="1418" w:right="1418" w:bottom="1418" w:left="1418" w:header="720" w:footer="57" w:gutter="0"/>
          <w:cols w:space="720"/>
          <w:vAlign w:val="center"/>
          <w:docGrid w:linePitch="326"/>
        </w:sectPr>
      </w:pPr>
      <w:bookmarkStart w:id="21" w:name="_Toc256000021"/>
      <w:r>
        <w:t>6. Safety evaluation</w:t>
      </w:r>
      <w:bookmarkEnd w:id="21"/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0"/>
        <w:gridCol w:w="1465"/>
        <w:gridCol w:w="1145"/>
        <w:gridCol w:w="1585"/>
        <w:gridCol w:w="1665"/>
        <w:gridCol w:w="20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925" w:type="dxa"/>
            <w:gridSpan w:val="6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2" w:name="_Toc256000022"/>
            <w:r>
              <w:t>Table 6 / 1: TEAEs: 5 most frequent primary SOCs in each treatment group with their corresponding 3 most frequent PTs: number (%) of subjects (safety analysis set)</w:t>
            </w:r>
            <w:bookmarkEnd w:id="22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Primary System Organ Class </w:t>
              <w:br/>
              <w:t xml:space="preserve">   Preferred Term </w:t>
              <w:br/>
              <w:t xml:space="preserve">   MedDRA Version 26.1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Week 1-12 </w:t>
              <w:br/>
              <w:t>N=199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</w:t>
              <w:br/>
              <w:t xml:space="preserve">Week 1-12 </w:t>
              <w:br/>
              <w:t>N=194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</w:rPr>
              <w:t xml:space="preserve"> </w:t>
              <w:br/>
              <w:t>N=171 (100%)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</w:rPr>
              <w:t xml:space="preserve"> </w:t>
              <w:br/>
              <w:t>N=168 (100%)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 Week 1-26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</w:rPr>
              <w:t xml:space="preserve"> </w:t>
              <w:br/>
              <w:t>N=367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such adverse event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 ( 51.3%)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94 ( 48.5%)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 ( 34.5%)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 ( 45.2%)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 ( 53.7%)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Gastrointestinal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27 ( 13.6%)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 (  9.8%)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7.0%)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 ( 11.3%)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52 ( 14.2%)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Gastrooesophageal reflux disease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Diarrhoea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2.4%)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Nausea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Dyspepsia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Investigations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 ( 13.1%)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3.5%)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4.2%)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35 (  9.5%)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 rating scale score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5.7%)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3.8%)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creatine phosphokinase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Activated partial thromboplastin time prolonged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Aspartate aminotransferase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pressure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Glycosylated haemoglobin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creatinine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follicle stimulating hormone decreased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glucose decreased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glucose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potassium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Bone density decreased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Gastric pH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Haemoglobin decreased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International normalised ratio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Oestradiol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Progesterone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Prothrombin time prolonged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Nervous system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 ( 13.1%)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3.6%)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6.4%)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7.7%)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47 ( 12.8%)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Headache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2.3%)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 (  6.5%)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Dizziness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Somnolence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Paraesthesia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General disorders and administration site conditions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( 10.6%)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4.1%)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4.2%)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 (  7.6%)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Fatigue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4.1%)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Peripheral swelling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Asthenia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Chills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Influenza like illness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Swelling face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Chest 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Oedema peripheral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Infections and infestations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9.0%)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 ( 11.9%)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21 ( 12.3%)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29 ( 17.3%)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64 ( 17.4%)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Urinary tract infection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3.5%)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COVID-19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3.0%)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Cystitis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Influenza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Nasopharyngitis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2.3%)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2.4%)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Upper respiratory tract infection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3.0%)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Musculoskeletal and connective tissue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9.0%)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 ( 10.3%)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4.7%)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 (  4.2%)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32 (  8.7%)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Arthralgia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5.0%)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5.2%)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Muscle spasms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Myalgia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Plantar fasciitis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Back 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Psychiatric disorders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 (  9.0%)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23 (  6.3%)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4.6%)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Anxiety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Depressed mood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Irritability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Insomnia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Depressive symptom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Mood swings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Sleep terror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925" w:type="dxa"/>
            <w:gridSpan w:val="6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Week 13 - 26 to Elinzanetant, for the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Placebo -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both treatment groups.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8.3.2.3 / 2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0"/>
        <w:gridCol w:w="1465"/>
        <w:gridCol w:w="1145"/>
        <w:gridCol w:w="1585"/>
        <w:gridCol w:w="1665"/>
        <w:gridCol w:w="20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925" w:type="dxa"/>
            <w:gridSpan w:val="6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3" w:name="_Toc256000024"/>
            <w:r>
              <w:t>Table 6 / 2: TEAEs: PTs reported for &gt;=2% of subjects in any treatment group: number (%) of subjects (safety analysis set)</w:t>
            </w:r>
            <w:bookmarkEnd w:id="23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Preferred Term </w:t>
              <w:br/>
              <w:t xml:space="preserve">   MedDRA Version 26.1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Week 1-12 </w:t>
              <w:br/>
              <w:t>N=199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</w:t>
              <w:br/>
              <w:t xml:space="preserve">Week 1-12 </w:t>
              <w:br/>
              <w:t>N=194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</w:rPr>
              <w:t xml:space="preserve"> </w:t>
              <w:br/>
              <w:t>N=171 (100%)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</w:rPr>
              <w:t xml:space="preserve"> </w:t>
              <w:br/>
              <w:t>N=168 (100%)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 Week 1-26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</w:rPr>
              <w:t xml:space="preserve"> </w:t>
              <w:br/>
              <w:t>N=367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such adverse event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102 ( 51.3%)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94 ( 48.5%)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59 ( 34.5%)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76 ( 45.2%)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 ( 53.7%)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Fatigue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15 (  4.1%)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Headache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7.0%)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2.3%)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24 (  6.5%)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 rating scale score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5.7%)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3.8%)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Arthralgia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5.0%)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5.2%)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Gastrooesophageal reflux disease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Depression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4.6%)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2.5%)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Diarrhoea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2.4%)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Dizziness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Nausea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Somnolence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Blood creatine phosphokinase increased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Dyspepsia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Urinary tract infection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3.5%)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3.3%)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COVID-19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3.6%)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3.0%)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Influenza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Nasopharyngitis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2.3%)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2.4%)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 (  2.7%)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Hypertension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Upper respiratory tract infection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3.0%)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1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925" w:type="dxa"/>
            <w:gridSpan w:val="6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Week 13 - 26 to Elinzanetant, for the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Placebo -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both treatment groups.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8.3.2.3 / 2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0"/>
        <w:gridCol w:w="1465"/>
        <w:gridCol w:w="1145"/>
        <w:gridCol w:w="1965"/>
        <w:gridCol w:w="1665"/>
        <w:gridCol w:w="158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885" w:type="dxa"/>
            <w:gridSpan w:val="6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4" w:name="_Toc256000026"/>
            <w:r>
              <w:t>Table 6 / 3: Study drug-related TEAEs: PTs reported for &gt;=2% of subjects in any treatment group: number (%) of subjects (safety analysis set)</w:t>
            </w:r>
            <w:bookmarkEnd w:id="24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Preferred Term </w:t>
              <w:br/>
              <w:t xml:space="preserve">   MedDRA Version 26.1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Week 1-12 </w:t>
              <w:br/>
              <w:t>N=199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</w:t>
              <w:br/>
              <w:t xml:space="preserve">Week 1-12 </w:t>
              <w:br/>
              <w:t>N=194 (100%)</w:t>
            </w:r>
          </w:p>
        </w:tc>
        <w:tc>
          <w:tcPr>
            <w:tcW w:w="19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</w:rPr>
              <w:t xml:space="preserve"> </w:t>
              <w:br/>
              <w:t>N=171 (100%)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</w:rPr>
              <w:t xml:space="preserve"> </w:t>
              <w:br/>
              <w:t>N=168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 Week 1-26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</w:rPr>
              <w:t xml:space="preserve"> </w:t>
              <w:br/>
              <w:t>N=367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such adverse event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43 ( 21.6%)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28 ( 14.4%)</w:t>
            </w:r>
          </w:p>
        </w:tc>
        <w:tc>
          <w:tcPr>
            <w:tcW w:w="19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8.2%)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14 (  8.3%)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62 ( 16.9%)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Fatigue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 (  6.0%)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9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3.5%)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Headache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4.5%)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9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3.0%)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Arthralgia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9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Diarrhoea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9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1.4%)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Gastrooesophageal reflux disease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9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1.8%)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 (  2.2%)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Nausea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2.6%)</w:t>
            </w:r>
          </w:p>
        </w:tc>
        <w:tc>
          <w:tcPr>
            <w:tcW w:w="19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 (  1.6%)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Somnolence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9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885" w:type="dxa"/>
            <w:gridSpan w:val="6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Week 13 - 26 to Elinzanetant, for the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Placebo -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both treatment groups.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8.3.2.3 / 3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0"/>
        <w:gridCol w:w="1465"/>
        <w:gridCol w:w="1145"/>
        <w:gridCol w:w="1585"/>
        <w:gridCol w:w="1665"/>
        <w:gridCol w:w="20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925" w:type="dxa"/>
            <w:gridSpan w:val="6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5" w:name="_Toc256000028"/>
            <w:r>
              <w:t>Table 6 / 4: Serious TEAEs: 9 most frequent PTs in each treatment group: number (%) of subjects (safety analysis set)</w:t>
            </w:r>
            <w:bookmarkEnd w:id="25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Preferred Term </w:t>
              <w:br/>
              <w:t xml:space="preserve">   MedDRA Version 26.1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Week 1-12 </w:t>
              <w:br/>
              <w:t>N=199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</w:t>
              <w:br/>
              <w:t xml:space="preserve">Week 1-12 </w:t>
              <w:br/>
              <w:t>N=194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</w:rPr>
              <w:t xml:space="preserve"> </w:t>
              <w:br/>
              <w:t>N=171 (100%)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</w:rPr>
              <w:t xml:space="preserve"> </w:t>
              <w:br/>
              <w:t>N=168 (100%)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 Week 1-26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</w:rPr>
              <w:t xml:space="preserve"> </w:t>
              <w:br/>
              <w:t>N=367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such adverse event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 (  5.4%)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3.5%)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Diverticulitis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Pneumonia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Syncope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Pulmonary embolism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Arthrodesis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Abdominal pain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Cholelithiasis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Cholecystitis acute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Otitis externa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Pyelonephritis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Accident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Tibia fracture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Bunion operation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Mammoplasty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925" w:type="dxa"/>
            <w:gridSpan w:val="6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Week 13 - 26 to Elinzanetant, for the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Placebo -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both treatment groups.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8.3.2.4 / 1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0"/>
        <w:gridCol w:w="1465"/>
        <w:gridCol w:w="1145"/>
        <w:gridCol w:w="1585"/>
        <w:gridCol w:w="1665"/>
        <w:gridCol w:w="20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925" w:type="dxa"/>
            <w:gridSpan w:val="6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6" w:name="_Toc256000030"/>
            <w:r>
              <w:t>Table 6 / 5: TEAEs resulting in permanent discontinuation of study drug: PTs reported for &gt;=1% of subjects in any treatment group: number (%) of subjects (safety analysis set)</w:t>
            </w:r>
            <w:bookmarkEnd w:id="26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Preferred Term </w:t>
              <w:br/>
              <w:t xml:space="preserve">   MedDRA Version 26.1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Week 1-12 </w:t>
              <w:br/>
              <w:t>N=199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</w:t>
              <w:br/>
              <w:t xml:space="preserve">Week 1-12 </w:t>
              <w:br/>
              <w:t>N=194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</w:rPr>
              <w:t xml:space="preserve"> </w:t>
              <w:br/>
              <w:t>N=171 (100%)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</w:rPr>
              <w:t xml:space="preserve"> </w:t>
              <w:br/>
              <w:t>N=168 (100%)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 Week 1-26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</w:rPr>
              <w:t xml:space="preserve"> </w:t>
              <w:br/>
              <w:t>N=367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such adverse event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 (  8.5%)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6.7%)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2.3%)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 (  3.0%)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26 (  7.1%)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Fatigue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Arthralgia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2.1%)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Nausea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Dizziness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Dyspepsia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Headache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Muscle spasms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925" w:type="dxa"/>
            <w:gridSpan w:val="6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Week 13 - 26 to Elinzanetant, for the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Placebo -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both treatment groups.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8.3.2.3 / 8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0"/>
        <w:gridCol w:w="1465"/>
        <w:gridCol w:w="1145"/>
        <w:gridCol w:w="1585"/>
        <w:gridCol w:w="1665"/>
        <w:gridCol w:w="200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1925" w:type="dxa"/>
            <w:gridSpan w:val="6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7" w:name="_Toc256000032"/>
            <w:r>
              <w:t>Table 6 / 6: Study drug-related TEAEs resulting in permanent discontinuation of study drug: PTs reported for &gt;=1% of subjects in any treatment group: number (%) of subjects (safety analysis set)</w:t>
            </w:r>
            <w:bookmarkEnd w:id="27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40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Preferred Term </w:t>
              <w:br/>
              <w:t xml:space="preserve">   MedDRA Version 26.1</w:t>
            </w:r>
          </w:p>
        </w:tc>
        <w:tc>
          <w:tcPr>
            <w:tcW w:w="14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Week 1-12 </w:t>
              <w:br/>
              <w:t>N=199 (100%)</w:t>
            </w:r>
          </w:p>
        </w:tc>
        <w:tc>
          <w:tcPr>
            <w:tcW w:w="11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</w:t>
              <w:br/>
              <w:t xml:space="preserve">Week 1-12 </w:t>
              <w:br/>
              <w:t>N=194 (100%)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</w:rPr>
              <w:t xml:space="preserve"> </w:t>
              <w:br/>
              <w:t>N=171 (100%)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  <w:br/>
              <w:t>Week 13-26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</w:rPr>
              <w:t xml:space="preserve"> </w:t>
              <w:br/>
              <w:t>N=168 (100%)</w:t>
            </w:r>
          </w:p>
        </w:tc>
        <w:tc>
          <w:tcPr>
            <w:tcW w:w="20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  <w:br/>
              <w:t xml:space="preserve"> Week 1-26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</w:rPr>
              <w:t xml:space="preserve"> </w:t>
              <w:br/>
              <w:t>N=367 (100%)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Number (%) of subjects with at least one such adverse event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13 (  6.5%)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 (  5.7%)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2.3%)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1.2%)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 (  5.2%)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Fatigue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2.0%)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 (  1.1%)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Arthralgia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0.8%)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Dizziness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Dyspepsia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Headache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1.0%)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0.3%)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Nausea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0.5%)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 (  1.5%)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40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2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Muscle spasms</w:t>
            </w:r>
          </w:p>
        </w:tc>
        <w:tc>
          <w:tcPr>
            <w:tcW w:w="14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1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</w:t>
            </w:r>
          </w:p>
        </w:tc>
        <w:tc>
          <w:tcPr>
            <w:tcW w:w="158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16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 (  0.6%)</w:t>
            </w:r>
          </w:p>
        </w:tc>
        <w:tc>
          <w:tcPr>
            <w:tcW w:w="20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 (  0.5%)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1925" w:type="dxa"/>
            <w:gridSpan w:val="6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a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Week 13 - 26 to Elinzanetant, for the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b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Placebo - Elinzanetant 120 mg treatment group.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sz w:val="20"/>
                <w:szCs w:val="20"/>
                <w:vertAlign w:val="superscript"/>
              </w:rPr>
              <w:t>c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Reported AEs, during the exposure period to Elinzanetant, for both treatment groups.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8.3.2.3 / 11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rPr>
          <w:rFonts w:ascii="Times" w:hAnsi="Times" w:cs="Times"/>
          <w:vanish/>
          <w:color w:val="000000"/>
          <w:sz w:val="2"/>
          <w:szCs w:val="16"/>
        </w:rPr>
      </w:pPr>
    </w:p>
    <w:tbl>
      <w:tblPr>
        <w:tblStyle w:val="TableNormal"/>
        <w:jc w:val="left"/>
        <w:tblInd w:w="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505"/>
        <w:gridCol w:w="1265"/>
        <w:gridCol w:w="765"/>
        <w:gridCol w:w="1045"/>
        <w:gridCol w:w="505"/>
        <w:gridCol w:w="1265"/>
        <w:gridCol w:w="765"/>
        <w:gridCol w:w="1045"/>
      </w:tblGrid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8820" w:type="dxa"/>
            <w:gridSpan w:val="9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BayerSASCaptionDocFish"/>
              <w:keepNext/>
              <w:pageBreakBefore/>
              <w:pBdr>
                <w:bottom w:val="none" w:sz="0" w:space="0" w:color="auto"/>
              </w:pBdr>
              <w:ind w:left="1156" w:hanging="1156"/>
              <w:jc w:val="left"/>
              <w:outlineLvl w:val="1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bookmarkStart w:id="28" w:name="_Toc256000034"/>
            <w:r>
              <w:t>Table 6 / 7: Mean daily sleepiness in total score change from baseline (safety analysis set)</w:t>
            </w:r>
            <w:bookmarkEnd w:id="28"/>
          </w:p>
          <w:p>
            <w:pPr>
              <w:pStyle w:val="BayerSASCaptionDocFish"/>
              <w:ind w:left="1156" w:hanging="1156"/>
              <w:outlineLvl w:val="1"/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</w:p>
        </w:tc>
        <w:tc>
          <w:tcPr>
            <w:tcW w:w="35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Elinzanetant 120mg </w:t>
            </w:r>
          </w:p>
        </w:tc>
        <w:tc>
          <w:tcPr>
            <w:tcW w:w="3580" w:type="dxa"/>
            <w:gridSpan w:val="4"/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pBdr>
                <w:bottom w:val="single" w:sz="2" w:space="0" w:color="auto"/>
              </w:pBd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Placebo - Elinzanetant 120mg 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left"/>
        </w:trPr>
        <w:tc>
          <w:tcPr>
            <w:tcW w:w="1660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Visit</w:t>
            </w:r>
          </w:p>
        </w:tc>
        <w:tc>
          <w:tcPr>
            <w:tcW w:w="5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7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  <w:tc>
          <w:tcPr>
            <w:tcW w:w="50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n</w:t>
            </w:r>
          </w:p>
        </w:tc>
        <w:tc>
          <w:tcPr>
            <w:tcW w:w="12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Mean (SD)</w:t>
            </w:r>
          </w:p>
        </w:tc>
        <w:tc>
          <w:tcPr>
            <w:tcW w:w="76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Median</w:t>
            </w:r>
          </w:p>
        </w:tc>
        <w:tc>
          <w:tcPr>
            <w:tcW w:w="1045" w:type="dxa"/>
            <w:tcBorders>
              <w:bottom w:val="single" w:sz="2" w:space="0" w:color="000000"/>
            </w:tcBorders>
            <w:tcMar>
              <w:left w:w="80" w:type="dxa"/>
              <w:right w:w="80" w:type="dxa"/>
            </w:tcMar>
            <w:textDirection w:val="lrTb"/>
            <w:vAlign w:val="bottom"/>
          </w:tcPr>
          <w:p>
            <w:pPr>
              <w:pStyle w:val="Smalltext80"/>
              <w:keepNext/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Min, Max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Value at visit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Baseline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197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1.961 (0.974)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2.000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0.00, 4.00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189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1.897 (0.952)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1.881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0.00, 4.00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196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1.891 (0.922)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1.862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0.06, 4.00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184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1.710 (0.901)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1.722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0.00, 3.93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187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1.522 (0.895)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1.429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0.00, 3.90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180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1.575 (0.934)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1.476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0.00, 4.00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171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1.356 (0.906)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1.238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0.00, 4.00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164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1.429 (0.979)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1.286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0.00, 4.00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Change from baseline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194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-0.087 (0.598)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ind w:left="14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0.008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-2.05, 1.20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182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-0.155 (0.449)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-0.131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-2.01, 1.29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4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186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-0.424 (0.741)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-3.43, 1.21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178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-0.306 (0.646)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-0.230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-2.55, 1.60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1660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Week 12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171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-0.577 (0.896)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-0.357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-3.43, 2.24</w:t>
            </w:r>
          </w:p>
        </w:tc>
        <w:tc>
          <w:tcPr>
            <w:tcW w:w="50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164</w:t>
            </w:r>
          </w:p>
        </w:tc>
        <w:tc>
          <w:tcPr>
            <w:tcW w:w="12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-0.438 (0.729)</w:t>
            </w:r>
          </w:p>
        </w:tc>
        <w:tc>
          <w:tcPr>
            <w:tcW w:w="76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-0.333</w:t>
            </w:r>
          </w:p>
        </w:tc>
        <w:tc>
          <w:tcPr>
            <w:tcW w:w="1045" w:type="dxa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keepNext/>
              <w:jc w:val="lef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-2.83, 1.17</w:t>
            </w:r>
          </w:p>
        </w:tc>
      </w:tr>
      <w:tr>
        <w:tblPrEx>
          <w:jc w:val="left"/>
          <w:tblInd w:w="8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left"/>
        </w:trPr>
        <w:tc>
          <w:tcPr>
            <w:tcW w:w="8820" w:type="dxa"/>
            <w:gridSpan w:val="9"/>
            <w:tcMar>
              <w:left w:w="80" w:type="dxa"/>
              <w:right w:w="80" w:type="dxa"/>
            </w:tcMar>
            <w:textDirection w:val="lrTb"/>
            <w:vAlign w:val="top"/>
          </w:tcPr>
          <w:p>
            <w:pPr>
              <w:pStyle w:val="Smalltext80"/>
              <w:pBdr>
                <w:top w:val="single" w:sz="2" w:space="0" w:color="auto"/>
              </w:pBdr>
              <w:jc w:val="left"/>
              <w:rPr>
                <w:rFonts w:ascii="Times" w:hAnsi="Times" w:cs="Times"/>
                <w:b w:val="0"/>
                <w:bCs w:val="0"/>
                <w:i w:val="0"/>
                <w:iCs w:val="0"/>
              </w:rPr>
            </w:pP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Source: Table 8.3.10 / 4</w:t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br/>
            </w:r>
            <w:r>
              <w:rPr>
                <w:rFonts w:ascii="Times" w:hAnsi="Times" w:cs="Times"/>
                <w:b w:val="0"/>
                <w:bCs w:val="0"/>
                <w:i w:val="0"/>
                <w:iCs w:val="0"/>
              </w:rPr>
              <w:t>End of table</w:t>
            </w:r>
          </w:p>
        </w:tc>
      </w:tr>
    </w:tbl>
    <w:p>
      <w:pPr>
        <w:widowControl w:val="0"/>
        <w:adjustRightInd w:val="0"/>
        <w:spacing w:before="0" w:after="0" w:line="20" w:lineRule="exact"/>
        <w:jc w:val="center"/>
        <w:rPr>
          <w:rFonts w:ascii="Times New Roman" w:hAnsi="Times New Roman" w:cs="Times New Roman"/>
          <w:vanish/>
          <w:sz w:val="2"/>
          <w:szCs w:val="24"/>
        </w:rPr>
      </w:pPr>
    </w:p>
    <w:sectPr w:rsidSect="00650FC8">
      <w:headerReference w:type="default" r:id="rId22"/>
      <w:type w:val="nextPage"/>
      <w:pgSz w:w="16839" w:h="11907" w:orient="landscape" w:code="9"/>
      <w:pgMar w:top="1418" w:right="1418" w:bottom="1418" w:left="1418" w:header="720" w:footer="57" w:gutter="0"/>
      <w:cols w:space="720"/>
      <w:vAlign w:val="top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S Monospace">
    <w:altName w:val="Calibri"/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charset w:val="00"/>
    <w:family w:val="roman"/>
    <w:pitch w:val="variable"/>
    <w:sig w:usb0="00000000" w:usb1="00000000" w:usb2="00000000" w:usb3="00000000" w:csb0="00000001" w:csb1="00000000"/>
  </w:font>
  <w:font w:name="Courier">
    <w:charset w:val="00"/>
    <w:family w:val="modern"/>
    <w:pitch w:val="fixed"/>
    <w:sig w:usb0="00000000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3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5386"/>
      <w:gridCol w:w="1276"/>
      <w:gridCol w:w="851"/>
    </w:tblGrid>
    <w:tr w14:paraId="054725C9" w14:textId="77777777" w:rsidTr="00BD5047">
      <w:tblPrEx>
        <w:tblW w:w="9073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FC0747" w:rsidRPr="001341A1" w:rsidP="00FC0747" w14:paraId="109243D5" w14:textId="62E33A47">
          <w:pPr>
            <w:keepNext/>
            <w:spacing w:after="40"/>
          </w:pPr>
        </w:p>
      </w:tc>
      <w:tc>
        <w:tcPr>
          <w:tcW w:w="6662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paraId="1423C7DE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FC0747" w:rsidRPr="005B12E1" w:rsidP="00A716A7" w14:paraId="172FCCB2" w14:textId="3BB74BD1">
          <w:pPr>
            <w:tabs>
              <w:tab w:val="right" w:pos="5671"/>
            </w:tabs>
            <w:spacing w:before="20" w:after="20"/>
            <w:rPr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851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FC0747" w:rsidRPr="005B12E1" w:rsidP="00FC0747" w14:paraId="1FCC8CED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56C7DD60" w14:textId="77777777" w:rsidTr="00BD5047">
      <w:tblPrEx>
        <w:tblW w:w="9073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FC0747" w:rsidRPr="005B12E1" w:rsidP="00FC0747" w14:paraId="158140A7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5386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FC0747" w:rsidRPr="005B12E1" w:rsidP="00FC0747" w14:paraId="1A99F5BA" w14:textId="73903292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2127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FC0747" w:rsidRPr="005B12E1" w:rsidP="00FC0747" w14:paraId="1F7496BF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</w:rPr>
            <w:t>1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</w:rPr>
            <w:t>2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RPr="00FC1221" w:rsidP="00E15B85" w14:paraId="4C848A5C" w14:textId="54A2E4CC">
    <w:pPr>
      <w:pStyle w:val="Kopfzeile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3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5386"/>
      <w:gridCol w:w="1276"/>
      <w:gridCol w:w="851"/>
    </w:tblGrid>
    <w:tr w14:paraId="455818FC" w14:textId="77777777" w:rsidTr="00BD5047">
      <w:tblPrEx>
        <w:tblW w:w="9073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2E0C06" w:rsidRPr="001341A1" w:rsidP="002E0C06" w14:paraId="07849896" w14:textId="36AAC0BD">
          <w:pPr>
            <w:keepNext/>
            <w:spacing w:after="40"/>
          </w:pPr>
        </w:p>
      </w:tc>
      <w:tc>
        <w:tcPr>
          <w:tcW w:w="6662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2E0C06" w:rsidRPr="005B12E1" w:rsidP="002E0C06" w14:paraId="04DE5410" w14:textId="74FE8FD2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2E0C06" w:rsidRPr="005B12E1" w:rsidP="002E0C06" w14:paraId="604BABAC" w14:textId="6458C727">
          <w:pPr>
            <w:tabs>
              <w:tab w:val="right" w:pos="5671"/>
            </w:tabs>
            <w:spacing w:before="20" w:after="20"/>
            <w:rPr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851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2E0C06" w:rsidRPr="005B12E1" w:rsidP="002E0C06" w14:paraId="5205D8B9" w14:textId="2A54D36F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0203A222" w14:textId="77777777" w:rsidTr="00BD5047">
      <w:tblPrEx>
        <w:tblW w:w="9073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2E0C06" w:rsidRPr="005B12E1" w:rsidP="002E0C06" w14:paraId="5FC344FA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5386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2E0C06" w:rsidRPr="005B12E1" w:rsidP="002E0C06" w14:paraId="613A04F5" w14:textId="41917123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2127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2E0C06" w:rsidRPr="005B12E1" w:rsidP="002E0C06" w14:paraId="09DD188D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68438A" w14:paraId="440A4AC6" w14:textId="349E80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5336597</wp:posOffset>
          </wp:positionH>
          <wp:positionV relativeFrom="page">
            <wp:posOffset>443552</wp:posOffset>
          </wp:positionV>
          <wp:extent cx="397510" cy="397510"/>
          <wp:effectExtent l="0" t="0" r="2540" b="254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8940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9751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paraId="4C3049C7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paraId="4E7929E8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paraId="3FA642FA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paraId="686457B2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paraId="4CA4E98A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paraId="6DA03C41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paraId="373483BF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paraId="7B814D91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4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10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11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12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13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18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19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3891" w:type="dxa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1560"/>
      <w:gridCol w:w="9213"/>
      <w:gridCol w:w="2410"/>
      <w:gridCol w:w="708"/>
    </w:tblGrid>
    <w:tr w14:paraId="6C853090" w14:textId="77777777" w:rsidTr="00BD5047">
      <w:tblPrEx>
        <w:tblW w:w="13891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bottom w:val="single" w:sz="4" w:space="0" w:color="auto"/>
          </w:tcBorders>
          <w:shd w:val="clear" w:color="auto" w:fill="auto"/>
        </w:tcPr>
        <w:p w:rsidR="00572B9E" w:rsidRPr="001341A1" w:rsidP="00572B9E" w14:textId="1D4A5E2B">
          <w:pPr>
            <w:keepNext/>
            <w:spacing w:after="40"/>
          </w:pPr>
        </w:p>
      </w:tc>
      <w:tc>
        <w:tcPr>
          <w:tcW w:w="11623" w:type="dxa"/>
          <w:gridSpan w:val="2"/>
          <w:tcBorders>
            <w:bottom w:val="single" w:sz="4" w:space="0" w:color="auto"/>
          </w:tcBorders>
          <w:shd w:val="clear" w:color="auto" w:fill="auto"/>
          <w:vAlign w:val="bottom"/>
        </w:tcPr>
        <w:p w:rsidR="00A716A7" w:rsidP="00A716A7" w14:textId="77777777">
          <w:pPr>
            <w:tabs>
              <w:tab w:val="right" w:pos="5671"/>
            </w:tabs>
            <w:spacing w:before="20" w:after="20"/>
            <w:rPr>
              <w:b/>
              <w:lang w:val="en-GB"/>
            </w:rPr>
          </w:pPr>
          <w:r>
            <w:rPr>
              <w:b/>
              <w:lang w:val="en-GB"/>
            </w:rPr>
            <w:t>PiCSR Tables</w:t>
          </w:r>
        </w:p>
        <w:p w:rsidR="00572B9E" w:rsidRPr="00FC651C" w:rsidP="00A716A7" w14:textId="194992C8">
          <w:pPr>
            <w:tabs>
              <w:tab w:val="right" w:pos="5671"/>
            </w:tabs>
            <w:spacing w:before="20" w:after="20"/>
            <w:rPr>
              <w:b/>
              <w:bCs/>
              <w:lang w:val="en-GB"/>
            </w:rPr>
          </w:pPr>
          <w:r>
            <w:rPr>
              <w:b/>
              <w:lang w:val="en-GB"/>
            </w:rPr>
            <w:t>PH - 42782</w:t>
          </w:r>
        </w:p>
      </w:tc>
      <w:tc>
        <w:tcPr>
          <w:tcW w:w="708" w:type="dxa"/>
          <w:tcBorders>
            <w:bottom w:val="single" w:sz="4" w:space="0" w:color="auto"/>
          </w:tcBorders>
          <w:shd w:val="clear" w:color="auto" w:fill="auto"/>
          <w:vAlign w:val="bottom"/>
        </w:tcPr>
        <w:p w:rsidR="00572B9E" w:rsidRPr="005B12E1" w:rsidP="00572B9E" w14:textId="77777777">
          <w:pPr>
            <w:tabs>
              <w:tab w:val="right" w:pos="5671"/>
            </w:tabs>
            <w:spacing w:before="20" w:after="20"/>
            <w:rPr>
              <w:lang w:val="en-GB"/>
            </w:rPr>
          </w:pPr>
        </w:p>
      </w:tc>
    </w:tr>
    <w:tr w14:paraId="74AF1338" w14:textId="77777777" w:rsidTr="00BD5047">
      <w:tblPrEx>
        <w:tblW w:w="13891" w:type="dxa"/>
        <w:tblLayout w:type="fixed"/>
        <w:tblCellMar>
          <w:left w:w="0" w:type="dxa"/>
          <w:right w:w="0" w:type="dxa"/>
        </w:tblCellMar>
        <w:tblLook w:val="0000"/>
      </w:tblPrEx>
      <w:trPr>
        <w:cantSplit/>
        <w:trHeight w:val="255"/>
      </w:trPr>
      <w:tc>
        <w:tcPr>
          <w:tcW w:w="1560" w:type="dxa"/>
          <w:tcBorders>
            <w:top w:val="single" w:sz="4" w:space="0" w:color="auto"/>
            <w:bottom w:val="nil"/>
          </w:tcBorders>
          <w:shd w:val="clear" w:color="auto" w:fill="auto"/>
        </w:tcPr>
        <w:p w:rsidR="00572B9E" w:rsidRPr="005B12E1" w:rsidP="00572B9E" w14:textId="77777777">
          <w:pPr>
            <w:spacing w:before="20"/>
            <w:rPr>
              <w:sz w:val="20"/>
              <w:lang w:val="en-GB"/>
            </w:rPr>
          </w:pPr>
        </w:p>
      </w:tc>
      <w:tc>
        <w:tcPr>
          <w:tcW w:w="9213" w:type="dxa"/>
          <w:tcBorders>
            <w:top w:val="single" w:sz="4" w:space="0" w:color="auto"/>
            <w:bottom w:val="nil"/>
          </w:tcBorders>
          <w:shd w:val="clear" w:color="auto" w:fill="auto"/>
          <w:vAlign w:val="bottom"/>
        </w:tcPr>
        <w:p w:rsidR="00572B9E" w:rsidRPr="005B12E1" w:rsidP="00572B9E" w14:textId="7F47D0DB">
          <w:pPr>
            <w:tabs>
              <w:tab w:val="right" w:pos="5610"/>
            </w:tabs>
            <w:spacing w:before="20"/>
            <w:rPr>
              <w:sz w:val="20"/>
              <w:lang w:val="en-GB"/>
            </w:rPr>
          </w:pPr>
          <w:r>
            <w:rPr>
              <w:sz w:val="20"/>
              <w:lang w:val="en-GB"/>
            </w:rPr>
            <w:t>BAY 3427080 / 21651</w:t>
          </w:r>
        </w:p>
      </w:tc>
      <w:tc>
        <w:tcPr>
          <w:tcW w:w="3118" w:type="dxa"/>
          <w:gridSpan w:val="2"/>
          <w:tcBorders>
            <w:top w:val="single" w:sz="4" w:space="0" w:color="auto"/>
            <w:bottom w:val="nil"/>
          </w:tcBorders>
          <w:shd w:val="clear" w:color="auto" w:fill="auto"/>
          <w:vAlign w:val="center"/>
        </w:tcPr>
        <w:p w:rsidR="00572B9E" w:rsidRPr="005B12E1" w:rsidP="00572B9E" w14:textId="77777777">
          <w:pPr>
            <w:tabs>
              <w:tab w:val="right" w:pos="5610"/>
            </w:tabs>
            <w:spacing w:before="20"/>
            <w:jc w:val="right"/>
            <w:rPr>
              <w:sz w:val="20"/>
              <w:lang w:val="en-GB"/>
            </w:rPr>
          </w:pPr>
          <w:r w:rsidRPr="005B12E1">
            <w:rPr>
              <w:sz w:val="20"/>
              <w:lang w:val="en-GB"/>
            </w:rPr>
            <w:t xml:space="preserve">Page: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PAGE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  <w:r w:rsidRPr="005B12E1">
            <w:rPr>
              <w:sz w:val="20"/>
              <w:lang w:val="en-GB"/>
            </w:rPr>
            <w:t xml:space="preserve"> of </w:t>
          </w:r>
          <w:r w:rsidRPr="005B12E1">
            <w:rPr>
              <w:sz w:val="20"/>
            </w:rPr>
            <w:fldChar w:fldCharType="begin"/>
          </w:r>
          <w:r w:rsidRPr="005B12E1">
            <w:rPr>
              <w:sz w:val="20"/>
              <w:lang w:val="en-GB"/>
            </w:rPr>
            <w:instrText xml:space="preserve"> NUMPAGES  \* MERGEFORMAT </w:instrText>
          </w:r>
          <w:r w:rsidRPr="005B12E1">
            <w:rPr>
              <w:sz w:val="20"/>
            </w:rPr>
            <w:fldChar w:fldCharType="separate"/>
          </w:r>
          <w:r w:rsidRPr="00023E52">
            <w:rPr>
              <w:noProof/>
              <w:sz w:val="20"/>
              <w:lang w:val="en-US" w:eastAsia="en-US" w:bidi="ar-SA"/>
            </w:rPr>
            <w:t>27</w:t>
          </w:r>
          <w:r w:rsidRPr="005B12E1">
            <w:rPr>
              <w:sz w:val="20"/>
            </w:rPr>
            <w:fldChar w:fldCharType="end"/>
          </w:r>
        </w:p>
      </w:tc>
    </w:tr>
  </w:tbl>
  <w:p w:rsidR="00572B9E" w:rsidP="00572B9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864C89"/>
    <w:multiLevelType w:val="multilevel"/>
    <w:tmpl w:val="F05A5248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eastAsia="Times New Roman" w:hAnsi="Times New Roman" w:cs="Times New Roman" w:hint="default"/>
        <w:color w:val="0000FF"/>
        <w:sz w:val="24"/>
        <w:u w:val="single"/>
      </w:rPr>
    </w:lvl>
  </w:abstractNum>
  <w:abstractNum w:abstractNumId="1">
    <w:nsid w:val="059D7AB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99001B7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0C2E7AB9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24213ED9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>
    <w:nsid w:val="30184E32"/>
    <w:multiLevelType w:val="multilevel"/>
    <w:tmpl w:val="1180973C"/>
    <w:lvl w:ilvl="0">
      <w:start w:val="1"/>
      <w:numFmt w:val="none"/>
      <w:lvlText w:val="%1"/>
      <w:lvlJc w:val="left"/>
      <w:pPr>
        <w:tabs>
          <w:tab w:val="num" w:pos="432"/>
        </w:tabs>
        <w:ind w:left="432" w:firstLine="0"/>
      </w:pPr>
      <w:rPr>
        <w:rFonts w:hint="default"/>
        <w:b/>
        <w:sz w:val="28"/>
      </w:rPr>
    </w:lvl>
    <w:lvl w:ilvl="1">
      <w:start w:val="1"/>
      <w:numFmt w:val="none"/>
      <w:lvlText w:val="%1"/>
      <w:lvlJc w:val="left"/>
      <w:pPr>
        <w:tabs>
          <w:tab w:val="num" w:pos="1339"/>
        </w:tabs>
        <w:ind w:left="1339" w:hanging="907"/>
      </w:pPr>
      <w:rPr>
        <w:rFonts w:hint="default"/>
        <w:b/>
      </w:rPr>
    </w:lvl>
    <w:lvl w:ilvl="2">
      <w:start w:val="1"/>
      <w:numFmt w:val="none"/>
      <w:lvlText w:val="%1"/>
      <w:lvlJc w:val="left"/>
      <w:pPr>
        <w:tabs>
          <w:tab w:val="num" w:pos="1339"/>
        </w:tabs>
        <w:ind w:left="1339" w:hanging="907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432"/>
        </w:tabs>
        <w:ind w:left="133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"/>
        </w:tabs>
        <w:ind w:left="133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"/>
        </w:tabs>
        <w:ind w:left="2016" w:hanging="1584"/>
      </w:pPr>
      <w:rPr>
        <w:rFonts w:hint="default"/>
      </w:rPr>
    </w:lvl>
  </w:abstractNum>
  <w:abstractNum w:abstractNumId="6">
    <w:nsid w:val="30B13C9E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3275624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32814C3A"/>
    <w:multiLevelType w:val="singleLevel"/>
    <w:tmpl w:val="164A6F20"/>
    <w:lvl w:ilvl="0">
      <w:start w:val="1"/>
      <w:numFmt w:val="bullet"/>
      <w:pStyle w:val="Bullet2BayerBodyTex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</w:abstractNum>
  <w:abstractNum w:abstractNumId="9">
    <w:nsid w:val="32965B3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>
    <w:nsid w:val="3BEF0AC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3C0E1611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3E5D3010"/>
    <w:multiLevelType w:val="hybridMultilevel"/>
    <w:tmpl w:val="3740EB6E"/>
    <w:lvl w:ilvl="0">
      <w:start w:val="1"/>
      <w:numFmt w:val="bullet"/>
      <w:pStyle w:val="BulletBayerBody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7B5DC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>
    <w:nsid w:val="5AE83037"/>
    <w:multiLevelType w:val="multilevel"/>
    <w:tmpl w:val="FDA400E6"/>
    <w:lvl w:ilvl="0">
      <w:start w:val="1"/>
      <w:numFmt w:val="none"/>
      <w:pStyle w:val="Heading1"/>
      <w:lvlText w:val="%1."/>
      <w:lvlJc w:val="left"/>
      <w:pPr>
        <w:tabs>
          <w:tab w:val="num" w:pos="0"/>
        </w:tabs>
        <w:ind w:left="1134" w:hanging="1134"/>
      </w:pPr>
      <w:rPr>
        <w:rFonts w:hint="default"/>
        <w:b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1134" w:hanging="1134"/>
      </w:pPr>
      <w:rPr>
        <w:rFonts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134" w:hanging="1134"/>
      </w:pPr>
      <w:rPr>
        <w:rFonts w:hint="default"/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134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134" w:hanging="1134"/>
      </w:pPr>
      <w:rPr>
        <w:rFonts w:hint="default"/>
      </w:rPr>
    </w:lvl>
  </w:abstractNum>
  <w:abstractNum w:abstractNumId="15">
    <w:nsid w:val="5C6851DD"/>
    <w:multiLevelType w:val="multilevel"/>
    <w:tmpl w:val="0AE445D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  <w:b/>
        <w:sz w:val="28"/>
      </w:rPr>
    </w:lvl>
    <w:lvl w:ilvl="1">
      <w:start w:val="1"/>
      <w:numFmt w:val="none"/>
      <w:lvlText w:val="%1"/>
      <w:lvlJc w:val="left"/>
      <w:pPr>
        <w:tabs>
          <w:tab w:val="num" w:pos="907"/>
        </w:tabs>
        <w:ind w:left="907" w:hanging="907"/>
      </w:pPr>
      <w:rPr>
        <w:rFonts w:hint="default"/>
        <w:b/>
      </w:rPr>
    </w:lvl>
    <w:lvl w:ilvl="2">
      <w:start w:val="1"/>
      <w:numFmt w:val="none"/>
      <w:lvlText w:val="%1"/>
      <w:lvlJc w:val="left"/>
      <w:pPr>
        <w:tabs>
          <w:tab w:val="num" w:pos="907"/>
        </w:tabs>
        <w:ind w:left="907" w:hanging="907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90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90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6">
    <w:nsid w:val="61D90A07"/>
    <w:multiLevelType w:val="hybridMultilevel"/>
    <w:tmpl w:val="A46EB040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7D2A9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6E8D546F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02465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7B5F4372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7E513EE7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8"/>
  </w:num>
  <w:num w:numId="2">
    <w:abstractNumId w:val="15"/>
  </w:num>
  <w:num w:numId="3">
    <w:abstractNumId w:val="5"/>
  </w:num>
  <w:num w:numId="4">
    <w:abstractNumId w:val="14"/>
  </w:num>
  <w:num w:numId="5">
    <w:abstractNumId w:val="6"/>
  </w:num>
  <w:num w:numId="6">
    <w:abstractNumId w:val="3"/>
  </w:num>
  <w:num w:numId="7">
    <w:abstractNumId w:val="20"/>
  </w:num>
  <w:num w:numId="8">
    <w:abstractNumId w:val="14"/>
  </w:num>
  <w:num w:numId="9">
    <w:abstractNumId w:val="8"/>
  </w:num>
  <w:num w:numId="10">
    <w:abstractNumId w:val="8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14"/>
  </w:num>
  <w:num w:numId="19">
    <w:abstractNumId w:val="12"/>
  </w:num>
  <w:num w:numId="20">
    <w:abstractNumId w:val="11"/>
  </w:num>
  <w:num w:numId="21">
    <w:abstractNumId w:val="4"/>
  </w:num>
  <w:num w:numId="22">
    <w:abstractNumId w:val="9"/>
  </w:num>
  <w:num w:numId="23">
    <w:abstractNumId w:val="17"/>
  </w:num>
  <w:num w:numId="24">
    <w:abstractNumId w:val="10"/>
  </w:num>
  <w:num w:numId="25">
    <w:abstractNumId w:val="7"/>
  </w:num>
  <w:num w:numId="26">
    <w:abstractNumId w:val="21"/>
  </w:num>
  <w:num w:numId="27">
    <w:abstractNumId w:val="13"/>
  </w:num>
  <w:num w:numId="28">
    <w:abstractNumId w:val="2"/>
  </w:num>
  <w:num w:numId="29">
    <w:abstractNumId w:val="18"/>
  </w:num>
  <w:num w:numId="30">
    <w:abstractNumId w:val="0"/>
  </w:num>
  <w:num w:numId="31">
    <w:abstractNumId w:val="1"/>
  </w:num>
  <w:num w:numId="32">
    <w:abstractNumId w:val="19"/>
  </w:num>
  <w:num w:numId="33">
    <w:abstractNumId w:val="14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GrammaticalErrors/>
  <w:zoom w:percent="120"/>
  <w:displayBackgroundShape/>
  <w:proofState w:spelling="clean" w:grammar="clean"/>
  <w:attachedTemplate r:id="rId1"/>
  <w:stylePaneFormatFilter w:val="BF01" w:allStyles="1" w:alternateStyleNames="1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lickAndTypeStyle w:val="BayerBodyTextFull"/>
  <w:hyphenationZone w:val="425"/>
  <w:drawingGridHorizontalSpacing w:val="120"/>
  <w:displayHorizontalDrawingGridEvery w:val="0"/>
  <w:displayVerticalDrawingGridEvery w:val="0"/>
  <w:noPunctuationKerning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9E"/>
    <w:rsid w:val="000009FB"/>
    <w:rsid w:val="00020BB7"/>
    <w:rsid w:val="00023E52"/>
    <w:rsid w:val="0002673B"/>
    <w:rsid w:val="000311BA"/>
    <w:rsid w:val="00035906"/>
    <w:rsid w:val="0003699C"/>
    <w:rsid w:val="00042D79"/>
    <w:rsid w:val="00055F53"/>
    <w:rsid w:val="00056E7F"/>
    <w:rsid w:val="00057F8D"/>
    <w:rsid w:val="000656FB"/>
    <w:rsid w:val="00067C58"/>
    <w:rsid w:val="00075BCE"/>
    <w:rsid w:val="000857A1"/>
    <w:rsid w:val="00085BC1"/>
    <w:rsid w:val="000862F6"/>
    <w:rsid w:val="00093C55"/>
    <w:rsid w:val="00094BE0"/>
    <w:rsid w:val="00096909"/>
    <w:rsid w:val="000A6F5B"/>
    <w:rsid w:val="000B203B"/>
    <w:rsid w:val="000B3AD5"/>
    <w:rsid w:val="000D4FC7"/>
    <w:rsid w:val="000E2C1E"/>
    <w:rsid w:val="000E4663"/>
    <w:rsid w:val="000F1721"/>
    <w:rsid w:val="000F4073"/>
    <w:rsid w:val="00101B05"/>
    <w:rsid w:val="00104CEB"/>
    <w:rsid w:val="00110BD5"/>
    <w:rsid w:val="00111289"/>
    <w:rsid w:val="00111FAD"/>
    <w:rsid w:val="00115EFF"/>
    <w:rsid w:val="00122016"/>
    <w:rsid w:val="00127071"/>
    <w:rsid w:val="00127F62"/>
    <w:rsid w:val="001341A1"/>
    <w:rsid w:val="00140235"/>
    <w:rsid w:val="00145109"/>
    <w:rsid w:val="0017234D"/>
    <w:rsid w:val="001765A3"/>
    <w:rsid w:val="0018798C"/>
    <w:rsid w:val="00190070"/>
    <w:rsid w:val="00194000"/>
    <w:rsid w:val="001A6270"/>
    <w:rsid w:val="001B6F2A"/>
    <w:rsid w:val="001D0430"/>
    <w:rsid w:val="001D23F6"/>
    <w:rsid w:val="001E2948"/>
    <w:rsid w:val="001E452F"/>
    <w:rsid w:val="001F2A51"/>
    <w:rsid w:val="001F5E9E"/>
    <w:rsid w:val="001F6631"/>
    <w:rsid w:val="00215E91"/>
    <w:rsid w:val="0022411C"/>
    <w:rsid w:val="00224D24"/>
    <w:rsid w:val="00224D69"/>
    <w:rsid w:val="00230255"/>
    <w:rsid w:val="002330B7"/>
    <w:rsid w:val="00235F6F"/>
    <w:rsid w:val="00243C03"/>
    <w:rsid w:val="002440C3"/>
    <w:rsid w:val="00245EE7"/>
    <w:rsid w:val="00255977"/>
    <w:rsid w:val="0025729D"/>
    <w:rsid w:val="00261A26"/>
    <w:rsid w:val="0026438C"/>
    <w:rsid w:val="00267BEA"/>
    <w:rsid w:val="00272030"/>
    <w:rsid w:val="00272D59"/>
    <w:rsid w:val="00275E6E"/>
    <w:rsid w:val="00282524"/>
    <w:rsid w:val="0028303F"/>
    <w:rsid w:val="00284E24"/>
    <w:rsid w:val="002877F9"/>
    <w:rsid w:val="002913B6"/>
    <w:rsid w:val="00294C0C"/>
    <w:rsid w:val="002A73CE"/>
    <w:rsid w:val="002A7758"/>
    <w:rsid w:val="002B482B"/>
    <w:rsid w:val="002B555D"/>
    <w:rsid w:val="002C27D5"/>
    <w:rsid w:val="002C56DA"/>
    <w:rsid w:val="002C6C07"/>
    <w:rsid w:val="002C7EEB"/>
    <w:rsid w:val="002D372F"/>
    <w:rsid w:val="002D3966"/>
    <w:rsid w:val="002D4A22"/>
    <w:rsid w:val="002D5C55"/>
    <w:rsid w:val="002D6744"/>
    <w:rsid w:val="002E0C06"/>
    <w:rsid w:val="002E2768"/>
    <w:rsid w:val="002E2B6F"/>
    <w:rsid w:val="003035E9"/>
    <w:rsid w:val="00305919"/>
    <w:rsid w:val="00307E41"/>
    <w:rsid w:val="00310871"/>
    <w:rsid w:val="00323070"/>
    <w:rsid w:val="00326680"/>
    <w:rsid w:val="00330B81"/>
    <w:rsid w:val="00332529"/>
    <w:rsid w:val="00332E07"/>
    <w:rsid w:val="00344370"/>
    <w:rsid w:val="00350727"/>
    <w:rsid w:val="00350BDA"/>
    <w:rsid w:val="00354875"/>
    <w:rsid w:val="00354BF2"/>
    <w:rsid w:val="00377004"/>
    <w:rsid w:val="00377A85"/>
    <w:rsid w:val="00391357"/>
    <w:rsid w:val="00394661"/>
    <w:rsid w:val="00396255"/>
    <w:rsid w:val="003B2EF0"/>
    <w:rsid w:val="003B506A"/>
    <w:rsid w:val="003B5E62"/>
    <w:rsid w:val="003B74C4"/>
    <w:rsid w:val="003C58FC"/>
    <w:rsid w:val="003D1EE2"/>
    <w:rsid w:val="003E4F8A"/>
    <w:rsid w:val="003E57A1"/>
    <w:rsid w:val="003E6F95"/>
    <w:rsid w:val="00406EDD"/>
    <w:rsid w:val="00412B33"/>
    <w:rsid w:val="00417A7C"/>
    <w:rsid w:val="0042142E"/>
    <w:rsid w:val="0042636D"/>
    <w:rsid w:val="00431121"/>
    <w:rsid w:val="00432B1A"/>
    <w:rsid w:val="00442FE1"/>
    <w:rsid w:val="00453249"/>
    <w:rsid w:val="00455C3C"/>
    <w:rsid w:val="00456FFE"/>
    <w:rsid w:val="00457234"/>
    <w:rsid w:val="00461B1D"/>
    <w:rsid w:val="00467871"/>
    <w:rsid w:val="00467C73"/>
    <w:rsid w:val="00470C2E"/>
    <w:rsid w:val="004720DE"/>
    <w:rsid w:val="00491BB2"/>
    <w:rsid w:val="00495B45"/>
    <w:rsid w:val="004A48D6"/>
    <w:rsid w:val="004B0FDE"/>
    <w:rsid w:val="004D3CD0"/>
    <w:rsid w:val="004D3F67"/>
    <w:rsid w:val="004E69BC"/>
    <w:rsid w:val="004F0089"/>
    <w:rsid w:val="004F06ED"/>
    <w:rsid w:val="004F382E"/>
    <w:rsid w:val="005032B1"/>
    <w:rsid w:val="00514BEA"/>
    <w:rsid w:val="00526D83"/>
    <w:rsid w:val="0054251D"/>
    <w:rsid w:val="00544090"/>
    <w:rsid w:val="00550EAA"/>
    <w:rsid w:val="0055685C"/>
    <w:rsid w:val="005712F1"/>
    <w:rsid w:val="00572B9E"/>
    <w:rsid w:val="005828BD"/>
    <w:rsid w:val="005925F0"/>
    <w:rsid w:val="00597133"/>
    <w:rsid w:val="005A4BE3"/>
    <w:rsid w:val="005A61E6"/>
    <w:rsid w:val="005B12E1"/>
    <w:rsid w:val="005B20E8"/>
    <w:rsid w:val="005B4C64"/>
    <w:rsid w:val="005B6DC4"/>
    <w:rsid w:val="005C266B"/>
    <w:rsid w:val="005C2ED4"/>
    <w:rsid w:val="005C376D"/>
    <w:rsid w:val="005C56C9"/>
    <w:rsid w:val="005D4BEE"/>
    <w:rsid w:val="005D531F"/>
    <w:rsid w:val="005E7E2B"/>
    <w:rsid w:val="005F5595"/>
    <w:rsid w:val="00604A93"/>
    <w:rsid w:val="00604F10"/>
    <w:rsid w:val="00610D5B"/>
    <w:rsid w:val="00615211"/>
    <w:rsid w:val="0063016D"/>
    <w:rsid w:val="006333CA"/>
    <w:rsid w:val="006358E2"/>
    <w:rsid w:val="00636C86"/>
    <w:rsid w:val="00643442"/>
    <w:rsid w:val="00644BC7"/>
    <w:rsid w:val="00650FC8"/>
    <w:rsid w:val="00661631"/>
    <w:rsid w:val="00663C33"/>
    <w:rsid w:val="006708B6"/>
    <w:rsid w:val="0068438A"/>
    <w:rsid w:val="006A03F5"/>
    <w:rsid w:val="006A3F19"/>
    <w:rsid w:val="006B1C55"/>
    <w:rsid w:val="006B60D6"/>
    <w:rsid w:val="006B677F"/>
    <w:rsid w:val="006C57C7"/>
    <w:rsid w:val="006C7655"/>
    <w:rsid w:val="006D10B9"/>
    <w:rsid w:val="006D45F3"/>
    <w:rsid w:val="006E049E"/>
    <w:rsid w:val="006E1D8E"/>
    <w:rsid w:val="006F06E8"/>
    <w:rsid w:val="006F16EF"/>
    <w:rsid w:val="006F4EB3"/>
    <w:rsid w:val="006F51BF"/>
    <w:rsid w:val="00700D20"/>
    <w:rsid w:val="007045AA"/>
    <w:rsid w:val="00711862"/>
    <w:rsid w:val="0071573E"/>
    <w:rsid w:val="00715CF0"/>
    <w:rsid w:val="00734B46"/>
    <w:rsid w:val="0073677A"/>
    <w:rsid w:val="00752CA3"/>
    <w:rsid w:val="00763EB8"/>
    <w:rsid w:val="00774F36"/>
    <w:rsid w:val="00784C0B"/>
    <w:rsid w:val="00790C8C"/>
    <w:rsid w:val="00797D3B"/>
    <w:rsid w:val="007A1620"/>
    <w:rsid w:val="007C00D4"/>
    <w:rsid w:val="007C3ED6"/>
    <w:rsid w:val="007C3EEC"/>
    <w:rsid w:val="007D402E"/>
    <w:rsid w:val="007D54AF"/>
    <w:rsid w:val="007E1B7C"/>
    <w:rsid w:val="007E1FA4"/>
    <w:rsid w:val="007E7206"/>
    <w:rsid w:val="007F02C5"/>
    <w:rsid w:val="007F1E57"/>
    <w:rsid w:val="007F6B59"/>
    <w:rsid w:val="00805223"/>
    <w:rsid w:val="00805BFE"/>
    <w:rsid w:val="008104CF"/>
    <w:rsid w:val="00811288"/>
    <w:rsid w:val="008150AD"/>
    <w:rsid w:val="00823B63"/>
    <w:rsid w:val="00824074"/>
    <w:rsid w:val="00827926"/>
    <w:rsid w:val="0083497C"/>
    <w:rsid w:val="0083708A"/>
    <w:rsid w:val="00851CC0"/>
    <w:rsid w:val="008555BD"/>
    <w:rsid w:val="00865254"/>
    <w:rsid w:val="00865799"/>
    <w:rsid w:val="00871A9E"/>
    <w:rsid w:val="008741D9"/>
    <w:rsid w:val="00882552"/>
    <w:rsid w:val="0089327A"/>
    <w:rsid w:val="008A221E"/>
    <w:rsid w:val="008A3B78"/>
    <w:rsid w:val="008A434E"/>
    <w:rsid w:val="008A4686"/>
    <w:rsid w:val="008A6CAC"/>
    <w:rsid w:val="008B6A84"/>
    <w:rsid w:val="008D1195"/>
    <w:rsid w:val="008E4A22"/>
    <w:rsid w:val="008F54E2"/>
    <w:rsid w:val="009071DA"/>
    <w:rsid w:val="00912FAB"/>
    <w:rsid w:val="00914744"/>
    <w:rsid w:val="009149F0"/>
    <w:rsid w:val="00916212"/>
    <w:rsid w:val="009219A8"/>
    <w:rsid w:val="00942FE9"/>
    <w:rsid w:val="00947547"/>
    <w:rsid w:val="00960C0D"/>
    <w:rsid w:val="00962BFF"/>
    <w:rsid w:val="00970684"/>
    <w:rsid w:val="00972991"/>
    <w:rsid w:val="00976EA0"/>
    <w:rsid w:val="0099465E"/>
    <w:rsid w:val="009A0221"/>
    <w:rsid w:val="009A6A51"/>
    <w:rsid w:val="009B19FD"/>
    <w:rsid w:val="009B305D"/>
    <w:rsid w:val="009B65F0"/>
    <w:rsid w:val="009B79A1"/>
    <w:rsid w:val="009C24D6"/>
    <w:rsid w:val="009D3FE7"/>
    <w:rsid w:val="009D3FEF"/>
    <w:rsid w:val="009D4BE1"/>
    <w:rsid w:val="009E232D"/>
    <w:rsid w:val="009E249F"/>
    <w:rsid w:val="009E3B8E"/>
    <w:rsid w:val="009E5784"/>
    <w:rsid w:val="009E7F1D"/>
    <w:rsid w:val="00A05CB3"/>
    <w:rsid w:val="00A142DB"/>
    <w:rsid w:val="00A20EF1"/>
    <w:rsid w:val="00A4342A"/>
    <w:rsid w:val="00A53E33"/>
    <w:rsid w:val="00A56344"/>
    <w:rsid w:val="00A61361"/>
    <w:rsid w:val="00A667EB"/>
    <w:rsid w:val="00A67DDC"/>
    <w:rsid w:val="00A716A7"/>
    <w:rsid w:val="00A74FA1"/>
    <w:rsid w:val="00A777DF"/>
    <w:rsid w:val="00A80D35"/>
    <w:rsid w:val="00A8574C"/>
    <w:rsid w:val="00AA1BDF"/>
    <w:rsid w:val="00AC7DD1"/>
    <w:rsid w:val="00AD0CF7"/>
    <w:rsid w:val="00AD1C8C"/>
    <w:rsid w:val="00AD4AF7"/>
    <w:rsid w:val="00AE0354"/>
    <w:rsid w:val="00AE3E4E"/>
    <w:rsid w:val="00AE787C"/>
    <w:rsid w:val="00AF2ABC"/>
    <w:rsid w:val="00AF6F25"/>
    <w:rsid w:val="00B02F8E"/>
    <w:rsid w:val="00B171FB"/>
    <w:rsid w:val="00B1729C"/>
    <w:rsid w:val="00B17A26"/>
    <w:rsid w:val="00B26A96"/>
    <w:rsid w:val="00B273E5"/>
    <w:rsid w:val="00B40D0C"/>
    <w:rsid w:val="00B41416"/>
    <w:rsid w:val="00B471AB"/>
    <w:rsid w:val="00B5453A"/>
    <w:rsid w:val="00B54C3C"/>
    <w:rsid w:val="00B61F8E"/>
    <w:rsid w:val="00B71AD8"/>
    <w:rsid w:val="00B87098"/>
    <w:rsid w:val="00B90152"/>
    <w:rsid w:val="00B90685"/>
    <w:rsid w:val="00B94DFC"/>
    <w:rsid w:val="00BA0088"/>
    <w:rsid w:val="00BA7995"/>
    <w:rsid w:val="00BB0503"/>
    <w:rsid w:val="00BB422A"/>
    <w:rsid w:val="00BC1606"/>
    <w:rsid w:val="00BD0344"/>
    <w:rsid w:val="00BD3FAA"/>
    <w:rsid w:val="00BD5047"/>
    <w:rsid w:val="00BD5CDD"/>
    <w:rsid w:val="00BD61FD"/>
    <w:rsid w:val="00BE070D"/>
    <w:rsid w:val="00BE6B57"/>
    <w:rsid w:val="00BE7299"/>
    <w:rsid w:val="00BF3454"/>
    <w:rsid w:val="00BF62D3"/>
    <w:rsid w:val="00BF72AA"/>
    <w:rsid w:val="00C111BE"/>
    <w:rsid w:val="00C1173B"/>
    <w:rsid w:val="00C17065"/>
    <w:rsid w:val="00C17C02"/>
    <w:rsid w:val="00C21350"/>
    <w:rsid w:val="00C251DB"/>
    <w:rsid w:val="00C269CC"/>
    <w:rsid w:val="00C35D38"/>
    <w:rsid w:val="00C3727A"/>
    <w:rsid w:val="00C46E8A"/>
    <w:rsid w:val="00C63E6B"/>
    <w:rsid w:val="00C72449"/>
    <w:rsid w:val="00C76B63"/>
    <w:rsid w:val="00C8608C"/>
    <w:rsid w:val="00C8641B"/>
    <w:rsid w:val="00CC1CA0"/>
    <w:rsid w:val="00CE389B"/>
    <w:rsid w:val="00CE3DCA"/>
    <w:rsid w:val="00D040F3"/>
    <w:rsid w:val="00D04792"/>
    <w:rsid w:val="00D04F53"/>
    <w:rsid w:val="00D068C0"/>
    <w:rsid w:val="00D13955"/>
    <w:rsid w:val="00D15D3B"/>
    <w:rsid w:val="00D17718"/>
    <w:rsid w:val="00D30789"/>
    <w:rsid w:val="00D43C57"/>
    <w:rsid w:val="00D441DF"/>
    <w:rsid w:val="00D62457"/>
    <w:rsid w:val="00D70461"/>
    <w:rsid w:val="00D71FA5"/>
    <w:rsid w:val="00D760FF"/>
    <w:rsid w:val="00D9163B"/>
    <w:rsid w:val="00DA7991"/>
    <w:rsid w:val="00DB1404"/>
    <w:rsid w:val="00DC2D8C"/>
    <w:rsid w:val="00DD3243"/>
    <w:rsid w:val="00DD6FE7"/>
    <w:rsid w:val="00DD7CF6"/>
    <w:rsid w:val="00DE05E9"/>
    <w:rsid w:val="00DF576E"/>
    <w:rsid w:val="00DF78BA"/>
    <w:rsid w:val="00DF7F7D"/>
    <w:rsid w:val="00E01383"/>
    <w:rsid w:val="00E04530"/>
    <w:rsid w:val="00E067D0"/>
    <w:rsid w:val="00E0754F"/>
    <w:rsid w:val="00E15B85"/>
    <w:rsid w:val="00E23201"/>
    <w:rsid w:val="00E41A4B"/>
    <w:rsid w:val="00E461BC"/>
    <w:rsid w:val="00E462DB"/>
    <w:rsid w:val="00E62861"/>
    <w:rsid w:val="00E66E14"/>
    <w:rsid w:val="00E67943"/>
    <w:rsid w:val="00E81152"/>
    <w:rsid w:val="00E93F8A"/>
    <w:rsid w:val="00E9797D"/>
    <w:rsid w:val="00EA40B3"/>
    <w:rsid w:val="00EA54C6"/>
    <w:rsid w:val="00EA741E"/>
    <w:rsid w:val="00EA79CF"/>
    <w:rsid w:val="00ED6405"/>
    <w:rsid w:val="00EE072C"/>
    <w:rsid w:val="00EF03DD"/>
    <w:rsid w:val="00EF4166"/>
    <w:rsid w:val="00EF664A"/>
    <w:rsid w:val="00F029F6"/>
    <w:rsid w:val="00F06AA4"/>
    <w:rsid w:val="00F06ED1"/>
    <w:rsid w:val="00F11CED"/>
    <w:rsid w:val="00F16F06"/>
    <w:rsid w:val="00F20F60"/>
    <w:rsid w:val="00F24772"/>
    <w:rsid w:val="00F40126"/>
    <w:rsid w:val="00F40252"/>
    <w:rsid w:val="00F4270C"/>
    <w:rsid w:val="00F431C7"/>
    <w:rsid w:val="00F56644"/>
    <w:rsid w:val="00F603E0"/>
    <w:rsid w:val="00F62D62"/>
    <w:rsid w:val="00F646E6"/>
    <w:rsid w:val="00F6693F"/>
    <w:rsid w:val="00F70B1D"/>
    <w:rsid w:val="00F772E8"/>
    <w:rsid w:val="00F87DE0"/>
    <w:rsid w:val="00F9510C"/>
    <w:rsid w:val="00F96127"/>
    <w:rsid w:val="00FA0420"/>
    <w:rsid w:val="00FA72FC"/>
    <w:rsid w:val="00FB554B"/>
    <w:rsid w:val="00FC0747"/>
    <w:rsid w:val="00FC1221"/>
    <w:rsid w:val="00FC13AD"/>
    <w:rsid w:val="00FC651C"/>
    <w:rsid w:val="00FD22A9"/>
    <w:rsid w:val="00FF0BFD"/>
    <w:rsid w:val="00FF5663"/>
    <w:rsid w:val="00FF7D14"/>
  </w:rsids>
  <w:docVars>
    <w:docVar w:name="DOCX97_42" w:val="0 Footnotes"/>
    <w:docVar w:name="DOCX97_43" w:val="0 Endnotes"/>
    <w:docVar w:name="DOCX97_66" w:val="GoodQuotes"/>
    <w:docVar w:name="DOCX97_89" w:val="Word8MacrosDone"/>
    <w:docVar w:name="DOCX97_91" w:val="Bayer"/>
  </w:docVars>
  <m:mathPr>
    <m:mathFont m:val="Cambria Math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5AD68ECB-3A48-44F0-B9BD-20110C55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9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Message Header" w:semiHidden="1" w:unhideWhenUsed="1"/>
    <w:lsdException w:name="Subtitle" w:uiPriority="5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uiPriority="0"/>
    <w:lsdException w:name="Table Grid" w:uiPriority="0"/>
    <w:lsdException w:name="Table Theme" w:semiHidden="1" w:uiPriority="0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ook Title" w:semiHidden="1" w:uiPriority="33" w:unhideWhenUsed="1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Bayer Normal,Standard1"/>
    <w:qFormat/>
    <w:rsid w:val="00572B9E"/>
    <w:rPr>
      <w:sz w:val="24"/>
      <w:lang w:val="en-US" w:eastAsia="en-US"/>
    </w:rPr>
  </w:style>
  <w:style w:type="paragraph" w:styleId="Heading1">
    <w:name w:val="heading 1"/>
    <w:aliases w:val="Bayer-Heading 1"/>
    <w:basedOn w:val="Normal"/>
    <w:next w:val="BayerBodyTextFull"/>
    <w:qFormat/>
    <w:rsid w:val="00431121"/>
    <w:pPr>
      <w:keepNext/>
      <w:numPr>
        <w:ilvl w:val="0"/>
        <w:numId w:val="0"/>
      </w:numPr>
      <w:tabs>
        <w:tab w:val="left" w:pos="851"/>
      </w:tabs>
      <w:spacing w:before="240" w:after="120"/>
      <w:outlineLvl w:val="0"/>
    </w:pPr>
    <w:rPr>
      <w:b/>
      <w:kern w:val="28"/>
      <w:sz w:val="28"/>
    </w:rPr>
  </w:style>
  <w:style w:type="paragraph" w:styleId="Heading2">
    <w:name w:val="heading 2"/>
    <w:aliases w:val="Bayer-Heading 2"/>
    <w:basedOn w:val="Heading1"/>
    <w:next w:val="BayerBodyTextFull"/>
    <w:qFormat/>
    <w:rsid w:val="00431121"/>
    <w:pPr>
      <w:numPr>
        <w:ilvl w:val="0"/>
        <w:numId w:val="0"/>
      </w:numPr>
      <w:tabs>
        <w:tab w:val="clear" w:pos="0"/>
        <w:tab w:val="clear" w:pos="851"/>
        <w:tab w:val="left" w:pos="992"/>
      </w:tabs>
      <w:ind w:left="992" w:hanging="992"/>
      <w:outlineLvl w:val="1"/>
    </w:pPr>
    <w:rPr>
      <w:sz w:val="26"/>
    </w:rPr>
  </w:style>
  <w:style w:type="paragraph" w:styleId="Heading3">
    <w:name w:val="heading 3"/>
    <w:aliases w:val="Bayer-Heading 3"/>
    <w:basedOn w:val="Heading1"/>
    <w:next w:val="BayerBodyTextFull"/>
    <w:qFormat/>
    <w:rsid w:val="005C266B"/>
    <w:pPr>
      <w:numPr>
        <w:ilvl w:val="0"/>
        <w:numId w:val="0"/>
      </w:numPr>
      <w:tabs>
        <w:tab w:val="clear" w:pos="851"/>
        <w:tab w:val="left" w:pos="1134"/>
      </w:tabs>
      <w:spacing w:before="120" w:after="0"/>
      <w:outlineLvl w:val="2"/>
    </w:pPr>
    <w:rPr>
      <w:sz w:val="26"/>
    </w:rPr>
  </w:style>
  <w:style w:type="paragraph" w:styleId="Heading4">
    <w:name w:val="heading 4"/>
    <w:aliases w:val="Bayer-Heading 4"/>
    <w:basedOn w:val="Heading1"/>
    <w:next w:val="BayerBodyTextFull"/>
    <w:qFormat/>
    <w:rsid w:val="00D62457"/>
    <w:pPr>
      <w:numPr>
        <w:ilvl w:val="0"/>
        <w:numId w:val="0"/>
      </w:numPr>
      <w:tabs>
        <w:tab w:val="clear" w:pos="0"/>
        <w:tab w:val="clear" w:pos="851"/>
        <w:tab w:val="left" w:pos="1276"/>
      </w:tabs>
      <w:spacing w:before="120" w:after="0"/>
      <w:ind w:left="1276" w:hanging="1276"/>
      <w:outlineLvl w:val="3"/>
    </w:pPr>
    <w:rPr>
      <w:sz w:val="26"/>
    </w:rPr>
  </w:style>
  <w:style w:type="paragraph" w:styleId="Heading5">
    <w:name w:val="heading 5"/>
    <w:aliases w:val="Bayer-Heading 5"/>
    <w:basedOn w:val="Heading1"/>
    <w:next w:val="BayerBodyTextFull"/>
    <w:qFormat/>
    <w:rsid w:val="00D62457"/>
    <w:pPr>
      <w:numPr>
        <w:ilvl w:val="0"/>
        <w:numId w:val="0"/>
      </w:numPr>
      <w:tabs>
        <w:tab w:val="clear" w:pos="0"/>
        <w:tab w:val="clear" w:pos="851"/>
        <w:tab w:val="left" w:pos="1418"/>
      </w:tabs>
      <w:spacing w:before="120" w:after="0"/>
      <w:ind w:left="1418" w:hanging="1418"/>
      <w:outlineLvl w:val="4"/>
    </w:pPr>
    <w:rPr>
      <w:sz w:val="26"/>
    </w:rPr>
  </w:style>
  <w:style w:type="paragraph" w:styleId="Heading6">
    <w:name w:val="heading 6"/>
    <w:aliases w:val="Bayer-Heading 6"/>
    <w:basedOn w:val="Heading1"/>
    <w:next w:val="BayerBodyTextFull"/>
    <w:qFormat/>
    <w:rsid w:val="00A74FA1"/>
    <w:pPr>
      <w:numPr>
        <w:ilvl w:val="0"/>
        <w:numId w:val="0"/>
      </w:numPr>
      <w:tabs>
        <w:tab w:val="clear" w:pos="0"/>
        <w:tab w:val="clear" w:pos="851"/>
        <w:tab w:val="left" w:pos="1559"/>
      </w:tabs>
      <w:spacing w:before="120" w:after="0"/>
      <w:ind w:left="1219" w:hanging="1219"/>
      <w:outlineLvl w:val="5"/>
    </w:pPr>
    <w:rPr>
      <w:sz w:val="26"/>
    </w:rPr>
  </w:style>
  <w:style w:type="paragraph" w:styleId="Heading7">
    <w:name w:val="heading 7"/>
    <w:aliases w:val="Bayer-Heading 7"/>
    <w:basedOn w:val="Heading1"/>
    <w:next w:val="BayerBodyTextFull"/>
    <w:qFormat/>
    <w:rsid w:val="00A74FA1"/>
    <w:pPr>
      <w:numPr>
        <w:ilvl w:val="0"/>
        <w:numId w:val="0"/>
      </w:numPr>
      <w:tabs>
        <w:tab w:val="clear" w:pos="0"/>
        <w:tab w:val="clear" w:pos="851"/>
        <w:tab w:val="left" w:pos="1701"/>
      </w:tabs>
      <w:spacing w:before="120" w:after="0"/>
      <w:ind w:left="1219" w:hanging="1219"/>
      <w:outlineLvl w:val="6"/>
    </w:pPr>
    <w:rPr>
      <w:sz w:val="26"/>
    </w:rPr>
  </w:style>
  <w:style w:type="paragraph" w:styleId="Heading8">
    <w:name w:val="heading 8"/>
    <w:aliases w:val="Bayer-Heading 8"/>
    <w:basedOn w:val="Heading1"/>
    <w:next w:val="BayerBodyTextFull"/>
    <w:qFormat/>
    <w:rsid w:val="00AE0354"/>
    <w:pPr>
      <w:numPr>
        <w:ilvl w:val="0"/>
        <w:numId w:val="0"/>
      </w:numPr>
      <w:tabs>
        <w:tab w:val="clear" w:pos="0"/>
        <w:tab w:val="clear" w:pos="851"/>
        <w:tab w:val="left" w:pos="1843"/>
      </w:tabs>
      <w:spacing w:before="120" w:after="0"/>
      <w:ind w:left="1644" w:hanging="1644"/>
      <w:outlineLvl w:val="7"/>
    </w:pPr>
    <w:rPr>
      <w:sz w:val="26"/>
    </w:rPr>
  </w:style>
  <w:style w:type="paragraph" w:styleId="Heading9">
    <w:name w:val="heading 9"/>
    <w:aliases w:val="Bayer-Heading 9"/>
    <w:basedOn w:val="Heading1"/>
    <w:next w:val="BayerBodyTextFull"/>
    <w:qFormat/>
    <w:rsid w:val="002B482B"/>
    <w:pPr>
      <w:numPr>
        <w:ilvl w:val="0"/>
        <w:numId w:val="0"/>
      </w:numPr>
      <w:tabs>
        <w:tab w:val="clear" w:pos="0"/>
        <w:tab w:val="clear" w:pos="851"/>
        <w:tab w:val="left" w:pos="1985"/>
      </w:tabs>
      <w:spacing w:before="120" w:after="0"/>
      <w:ind w:left="1985" w:hanging="1985"/>
      <w:outlineLvl w:val="8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yerXspace">
    <w:name w:val="Bayer Xspace"/>
    <w:basedOn w:val="Normal"/>
    <w:next w:val="BayerBodyTextFull"/>
    <w:qFormat/>
    <w:rsid w:val="00FA72FC"/>
    <w:rPr>
      <w:sz w:val="8"/>
    </w:rPr>
  </w:style>
  <w:style w:type="paragraph" w:customStyle="1" w:styleId="BayerTableRowHeadings">
    <w:name w:val="Bayer Table Row Headings"/>
    <w:basedOn w:val="BayerTableStyleRightJustified"/>
    <w:qFormat/>
    <w:rsid w:val="007C3EEC"/>
    <w:pPr>
      <w:jc w:val="left"/>
    </w:pPr>
  </w:style>
  <w:style w:type="paragraph" w:customStyle="1" w:styleId="BayerBodyTextFull">
    <w:name w:val="Bayer Body Text Full"/>
    <w:basedOn w:val="Normal"/>
    <w:link w:val="BayerBodyTextFullChar"/>
    <w:qFormat/>
    <w:rsid w:val="00FA72FC"/>
    <w:pPr>
      <w:spacing w:before="120" w:after="120"/>
    </w:pPr>
  </w:style>
  <w:style w:type="character" w:styleId="CommentReference">
    <w:name w:val="annotation reference"/>
    <w:uiPriority w:val="99"/>
    <w:semiHidden/>
    <w:rsid w:val="00FA72FC"/>
    <w:rPr>
      <w:sz w:val="16"/>
      <w:szCs w:val="16"/>
    </w:rPr>
  </w:style>
  <w:style w:type="paragraph" w:styleId="DocumentMap">
    <w:name w:val="Document Map"/>
    <w:basedOn w:val="Normal"/>
    <w:uiPriority w:val="99"/>
    <w:semiHidden/>
    <w:rsid w:val="00FA72FC"/>
    <w:pPr>
      <w:shd w:val="clear" w:color="auto" w:fill="000080"/>
    </w:pPr>
    <w:rPr>
      <w:rFonts w:ascii="Tahoma" w:hAnsi="Tahoma"/>
    </w:rPr>
  </w:style>
  <w:style w:type="paragraph" w:customStyle="1" w:styleId="BayerBibliography">
    <w:name w:val="Bayer Bibliography"/>
    <w:basedOn w:val="Normal"/>
    <w:link w:val="BayerBibliographyZchn"/>
    <w:rsid w:val="00FA72FC"/>
    <w:pPr>
      <w:spacing w:after="120"/>
      <w:ind w:left="1627" w:hanging="720"/>
    </w:pPr>
  </w:style>
  <w:style w:type="paragraph" w:customStyle="1" w:styleId="BayerTRDASectionHeading2">
    <w:name w:val="Bayer TRD_A_Section Heading 2"/>
    <w:basedOn w:val="BayerTRDASectionHeading1"/>
    <w:next w:val="BayerBodyTextFull"/>
    <w:qFormat/>
    <w:rsid w:val="00FA72FC"/>
    <w:pPr>
      <w:ind w:left="1418"/>
      <w:outlineLvl w:val="1"/>
    </w:pPr>
    <w:rPr>
      <w:b w:val="0"/>
      <w:szCs w:val="24"/>
    </w:rPr>
  </w:style>
  <w:style w:type="paragraph" w:customStyle="1" w:styleId="BulletBayerBodyText">
    <w:name w:val="Bullet Bayer Body Text"/>
    <w:basedOn w:val="Normal"/>
    <w:qFormat/>
    <w:rsid w:val="00E01383"/>
    <w:pPr>
      <w:numPr>
        <w:numId w:val="19"/>
      </w:numPr>
      <w:tabs>
        <w:tab w:val="clear" w:pos="720"/>
      </w:tabs>
      <w:spacing w:after="60"/>
      <w:ind w:left="511" w:hanging="284"/>
    </w:pPr>
  </w:style>
  <w:style w:type="paragraph" w:customStyle="1" w:styleId="BayerTableColumnHeadings">
    <w:name w:val="Bayer Table Column Headings"/>
    <w:basedOn w:val="Normal"/>
    <w:qFormat/>
    <w:rsid w:val="00FA72FC"/>
    <w:pPr>
      <w:jc w:val="center"/>
    </w:pPr>
    <w:rPr>
      <w:rFonts w:ascii="Arial" w:hAnsi="Arial"/>
      <w:b/>
      <w:sz w:val="20"/>
    </w:rPr>
  </w:style>
  <w:style w:type="paragraph" w:customStyle="1" w:styleId="BayerTableFootnote">
    <w:name w:val="Bayer Table Footnote"/>
    <w:basedOn w:val="BayerTableStyleLeftJustified"/>
    <w:qFormat/>
    <w:rsid w:val="00FA72FC"/>
    <w:pPr>
      <w:ind w:left="360" w:hanging="360"/>
    </w:pPr>
  </w:style>
  <w:style w:type="paragraph" w:customStyle="1" w:styleId="BayerFootnote">
    <w:name w:val="Bayer Footnote"/>
    <w:basedOn w:val="Normal"/>
    <w:rsid w:val="00FA72FC"/>
    <w:pPr>
      <w:tabs>
        <w:tab w:val="left" w:pos="907"/>
      </w:tabs>
      <w:spacing w:after="60"/>
      <w:ind w:left="907"/>
    </w:pPr>
    <w:rPr>
      <w:sz w:val="20"/>
    </w:rPr>
  </w:style>
  <w:style w:type="paragraph" w:customStyle="1" w:styleId="BayerSectionHeading">
    <w:name w:val="Bayer Section Heading"/>
    <w:basedOn w:val="Normal"/>
    <w:next w:val="Normal"/>
    <w:qFormat/>
    <w:rsid w:val="00FA72FC"/>
    <w:rPr>
      <w:b/>
      <w:sz w:val="28"/>
    </w:rPr>
  </w:style>
  <w:style w:type="paragraph" w:customStyle="1" w:styleId="BayerSubscript">
    <w:name w:val="Bayer Subscript"/>
    <w:basedOn w:val="Normal"/>
    <w:link w:val="BayerSubscriptZchn"/>
    <w:qFormat/>
    <w:rsid w:val="00FA72FC"/>
    <w:rPr>
      <w:vertAlign w:val="subscript"/>
    </w:rPr>
  </w:style>
  <w:style w:type="paragraph" w:customStyle="1" w:styleId="BayerSuperscript">
    <w:name w:val="Bayer Superscript"/>
    <w:basedOn w:val="Normal"/>
    <w:link w:val="BayerSuperscriptZchn"/>
    <w:qFormat/>
    <w:rsid w:val="00FA72FC"/>
    <w:rPr>
      <w:vertAlign w:val="superscript"/>
    </w:rPr>
  </w:style>
  <w:style w:type="paragraph" w:styleId="TOC1">
    <w:name w:val="toc 1"/>
    <w:aliases w:val="Bayer-TOC 1"/>
    <w:basedOn w:val="Normal"/>
    <w:next w:val="Normal"/>
    <w:uiPriority w:val="39"/>
    <w:rsid w:val="009C24D6"/>
    <w:pPr>
      <w:tabs>
        <w:tab w:val="right" w:leader="dot" w:pos="9072"/>
      </w:tabs>
      <w:spacing w:before="120"/>
      <w:ind w:left="425" w:right="284" w:hanging="425"/>
    </w:pPr>
    <w:rPr>
      <w:b/>
      <w:color w:val="0000FF"/>
    </w:rPr>
  </w:style>
  <w:style w:type="paragraph" w:customStyle="1" w:styleId="SynopsisLeftColumn">
    <w:name w:val="Synopsis Left Column"/>
    <w:basedOn w:val="Normal"/>
    <w:uiPriority w:val="99"/>
    <w:semiHidden/>
    <w:rsid w:val="00FA72FC"/>
    <w:pPr>
      <w:spacing w:before="120" w:after="120"/>
      <w:jc w:val="right"/>
    </w:pPr>
    <w:rPr>
      <w:b/>
    </w:rPr>
  </w:style>
  <w:style w:type="paragraph" w:customStyle="1" w:styleId="SynopsisRightColumn">
    <w:name w:val="Synopsis Right Column"/>
    <w:basedOn w:val="Normal"/>
    <w:uiPriority w:val="99"/>
    <w:semiHidden/>
    <w:rsid w:val="00FA72FC"/>
    <w:pPr>
      <w:spacing w:before="120" w:after="120"/>
    </w:pPr>
  </w:style>
  <w:style w:type="paragraph" w:styleId="TOC2">
    <w:name w:val="toc 2"/>
    <w:aliases w:val="Bayer-TOC 2"/>
    <w:basedOn w:val="TOC1"/>
    <w:next w:val="Normal"/>
    <w:uiPriority w:val="39"/>
    <w:rsid w:val="009D3FE7"/>
    <w:pPr>
      <w:spacing w:before="0"/>
      <w:ind w:left="624" w:hanging="624"/>
    </w:pPr>
    <w:rPr>
      <w:b w:val="0"/>
    </w:rPr>
  </w:style>
  <w:style w:type="paragraph" w:styleId="TOC3">
    <w:name w:val="toc 3"/>
    <w:aliases w:val="Bayer-TOC 3"/>
    <w:basedOn w:val="TOC1"/>
    <w:next w:val="Normal"/>
    <w:uiPriority w:val="39"/>
    <w:rsid w:val="009D3FE7"/>
    <w:pPr>
      <w:spacing w:before="0"/>
      <w:ind w:left="822" w:hanging="822"/>
    </w:pPr>
    <w:rPr>
      <w:b w:val="0"/>
    </w:rPr>
  </w:style>
  <w:style w:type="paragraph" w:styleId="TOC4">
    <w:name w:val="toc 4"/>
    <w:aliases w:val="Bayer-TOC 4"/>
    <w:basedOn w:val="TOC1"/>
    <w:next w:val="Normal"/>
    <w:uiPriority w:val="39"/>
    <w:rsid w:val="009D3FE7"/>
    <w:pPr>
      <w:spacing w:before="0"/>
      <w:ind w:left="1021" w:hanging="1021"/>
    </w:pPr>
    <w:rPr>
      <w:b w:val="0"/>
    </w:rPr>
  </w:style>
  <w:style w:type="paragraph" w:styleId="TOC5">
    <w:name w:val="toc 5"/>
    <w:aliases w:val="Bayer-TOC 5"/>
    <w:basedOn w:val="TOC1"/>
    <w:next w:val="Normal"/>
    <w:uiPriority w:val="39"/>
    <w:rsid w:val="009D3FE7"/>
    <w:pPr>
      <w:spacing w:before="0"/>
      <w:ind w:left="1219" w:hanging="1219"/>
    </w:pPr>
    <w:rPr>
      <w:b w:val="0"/>
    </w:rPr>
  </w:style>
  <w:style w:type="paragraph" w:customStyle="1" w:styleId="BayerGuidanceNotes">
    <w:name w:val="Bayer Guidance Notes"/>
    <w:basedOn w:val="BayerBlue"/>
    <w:next w:val="Normal"/>
    <w:link w:val="BayerGuidanceNotesZchn"/>
    <w:qFormat/>
    <w:rsid w:val="00FA72FC"/>
    <w:rPr>
      <w:i/>
    </w:rPr>
  </w:style>
  <w:style w:type="paragraph" w:styleId="CommentText">
    <w:name w:val="annotation text"/>
    <w:basedOn w:val="Normal"/>
    <w:uiPriority w:val="99"/>
    <w:semiHidden/>
    <w:rsid w:val="00FA72FC"/>
    <w:rPr>
      <w:sz w:val="20"/>
    </w:rPr>
  </w:style>
  <w:style w:type="paragraph" w:styleId="CommentSubject">
    <w:name w:val="annotation subject"/>
    <w:basedOn w:val="CommentText"/>
    <w:next w:val="CommentText"/>
    <w:uiPriority w:val="99"/>
    <w:semiHidden/>
    <w:rsid w:val="00FA72FC"/>
    <w:rPr>
      <w:b/>
      <w:bCs/>
    </w:rPr>
  </w:style>
  <w:style w:type="paragraph" w:customStyle="1" w:styleId="BayerTableStyleCentered">
    <w:name w:val="Bayer TableStyle Centered"/>
    <w:basedOn w:val="Normal"/>
    <w:qFormat/>
    <w:rsid w:val="00FA72FC"/>
    <w:pPr>
      <w:keepNext/>
      <w:widowControl w:val="0"/>
      <w:jc w:val="center"/>
    </w:pPr>
    <w:rPr>
      <w:rFonts w:ascii="Arial" w:hAnsi="Arial"/>
      <w:sz w:val="20"/>
    </w:rPr>
  </w:style>
  <w:style w:type="paragraph" w:styleId="BalloonText">
    <w:name w:val="Balloon Text"/>
    <w:basedOn w:val="Normal"/>
    <w:uiPriority w:val="99"/>
    <w:semiHidden/>
    <w:rsid w:val="00FA72FC"/>
    <w:rPr>
      <w:rFonts w:ascii="Tahoma" w:hAnsi="Tahoma" w:cs="Tahoma"/>
      <w:sz w:val="16"/>
      <w:szCs w:val="16"/>
    </w:rPr>
  </w:style>
  <w:style w:type="paragraph" w:customStyle="1" w:styleId="BayerTRDASectionHeading1">
    <w:name w:val="Bayer TRD_A_Section Heading 1"/>
    <w:basedOn w:val="Heading1"/>
    <w:next w:val="BayerBodyTextFull"/>
    <w:qFormat/>
    <w:rsid w:val="00EF03DD"/>
    <w:pPr>
      <w:numPr>
        <w:numId w:val="0"/>
      </w:numPr>
      <w:spacing w:before="60" w:after="60"/>
    </w:pPr>
    <w:rPr>
      <w:sz w:val="24"/>
    </w:rPr>
  </w:style>
  <w:style w:type="paragraph" w:customStyle="1" w:styleId="BayerTRDSource">
    <w:name w:val="Bayer TRD Source"/>
    <w:basedOn w:val="Normal"/>
    <w:next w:val="BayerBodyTextFull"/>
    <w:qFormat/>
    <w:rsid w:val="005D531F"/>
    <w:pPr>
      <w:spacing w:after="120"/>
      <w:ind w:left="1417" w:hanging="992"/>
    </w:pPr>
    <w:rPr>
      <w:i/>
      <w:szCs w:val="22"/>
    </w:rPr>
  </w:style>
  <w:style w:type="paragraph" w:customStyle="1" w:styleId="BayerTRDASectionHeading3">
    <w:name w:val="Bayer TRD_A_Section Heading 3"/>
    <w:basedOn w:val="BayerTRDASectionHeading1"/>
    <w:next w:val="BayerBodyTextFull"/>
    <w:qFormat/>
    <w:rsid w:val="00FA72FC"/>
    <w:pPr>
      <w:ind w:left="1559"/>
      <w:outlineLvl w:val="2"/>
    </w:pPr>
    <w:rPr>
      <w:b w:val="0"/>
      <w:szCs w:val="24"/>
    </w:rPr>
  </w:style>
  <w:style w:type="paragraph" w:customStyle="1" w:styleId="BayerTRDASectionHeading4">
    <w:name w:val="Bayer TRD_A_Section Heading 4"/>
    <w:basedOn w:val="BayerTRDASectionHeading1"/>
    <w:next w:val="BayerBodyTextFull"/>
    <w:qFormat/>
    <w:rsid w:val="00FA72FC"/>
    <w:pPr>
      <w:ind w:left="1701"/>
      <w:outlineLvl w:val="3"/>
    </w:pPr>
    <w:rPr>
      <w:b w:val="0"/>
    </w:rPr>
  </w:style>
  <w:style w:type="paragraph" w:styleId="TOC6">
    <w:name w:val="toc 6"/>
    <w:aliases w:val="Bayer-TOC 6"/>
    <w:basedOn w:val="TOC1"/>
    <w:next w:val="Normal"/>
    <w:uiPriority w:val="39"/>
    <w:rsid w:val="00A74FA1"/>
    <w:pPr>
      <w:spacing w:before="0"/>
      <w:ind w:left="1219" w:hanging="1219"/>
    </w:pPr>
    <w:rPr>
      <w:b w:val="0"/>
    </w:rPr>
  </w:style>
  <w:style w:type="paragraph" w:styleId="TOC7">
    <w:name w:val="toc 7"/>
    <w:aliases w:val="Bayer-TOC 7"/>
    <w:basedOn w:val="TOC1"/>
    <w:next w:val="Normal"/>
    <w:uiPriority w:val="39"/>
    <w:rsid w:val="00AE0354"/>
    <w:pPr>
      <w:spacing w:before="0"/>
      <w:ind w:left="1474" w:hanging="1474"/>
    </w:pPr>
    <w:rPr>
      <w:b w:val="0"/>
    </w:rPr>
  </w:style>
  <w:style w:type="paragraph" w:customStyle="1" w:styleId="BayerTRDASectionHeading5">
    <w:name w:val="Bayer TRD_A_Section Heading 5"/>
    <w:basedOn w:val="BayerTRDASectionHeading1"/>
    <w:next w:val="BayerBodyTextFull"/>
    <w:qFormat/>
    <w:rsid w:val="00FA72FC"/>
    <w:pPr>
      <w:ind w:left="1701"/>
      <w:outlineLvl w:val="4"/>
    </w:pPr>
    <w:rPr>
      <w:b w:val="0"/>
    </w:rPr>
  </w:style>
  <w:style w:type="paragraph" w:customStyle="1" w:styleId="BayerTableStyleLeftJustified">
    <w:name w:val="Bayer TableStyle Left Justified"/>
    <w:basedOn w:val="Normal"/>
    <w:qFormat/>
    <w:rsid w:val="00FA72FC"/>
    <w:pPr>
      <w:keepNext/>
      <w:widowControl w:val="0"/>
    </w:pPr>
    <w:rPr>
      <w:rFonts w:ascii="Arial" w:hAnsi="Arial"/>
      <w:sz w:val="20"/>
    </w:rPr>
  </w:style>
  <w:style w:type="paragraph" w:customStyle="1" w:styleId="BayerTableStyleRightJustified">
    <w:name w:val="Bayer TableStyle Right Justified"/>
    <w:qFormat/>
    <w:rsid w:val="00DE05E9"/>
    <w:pPr>
      <w:keepNext/>
      <w:widowControl w:val="0"/>
      <w:jc w:val="right"/>
    </w:pPr>
    <w:rPr>
      <w:rFonts w:ascii="Arial" w:hAnsi="Arial"/>
      <w:lang w:val="en-US" w:eastAsia="en-US"/>
    </w:rPr>
  </w:style>
  <w:style w:type="paragraph" w:styleId="Caption">
    <w:name w:val="caption"/>
    <w:aliases w:val="Bayer Caption"/>
    <w:basedOn w:val="Normal"/>
    <w:next w:val="Normal"/>
    <w:qFormat/>
    <w:rsid w:val="00FA72FC"/>
    <w:pPr>
      <w:keepNext/>
      <w:spacing w:before="120" w:after="120"/>
      <w:ind w:left="907"/>
    </w:pPr>
    <w:rPr>
      <w:rFonts w:ascii="Arial" w:hAnsi="Arial"/>
      <w:b/>
      <w:sz w:val="20"/>
    </w:rPr>
  </w:style>
  <w:style w:type="paragraph" w:customStyle="1" w:styleId="BayerSASCaption">
    <w:name w:val="Bayer SAS Caption"/>
    <w:basedOn w:val="Caption"/>
    <w:next w:val="BayerSASMono"/>
    <w:qFormat/>
    <w:rsid w:val="00FA72FC"/>
    <w:pPr>
      <w:spacing w:before="0" w:after="0"/>
      <w:ind w:left="1814" w:hanging="907"/>
    </w:pPr>
    <w:rPr>
      <w:rFonts w:ascii="SAS Monospace" w:hAnsi="SAS Monospace"/>
      <w:sz w:val="16"/>
    </w:rPr>
  </w:style>
  <w:style w:type="paragraph" w:customStyle="1" w:styleId="BayerSASMono">
    <w:name w:val="Bayer SAS Mono"/>
    <w:basedOn w:val="Normal"/>
    <w:qFormat/>
    <w:rsid w:val="00115EFF"/>
    <w:pPr>
      <w:spacing w:line="160" w:lineRule="exact"/>
    </w:pPr>
    <w:rPr>
      <w:rFonts w:ascii="SAS Monospace" w:hAnsi="SAS Monospace"/>
      <w:sz w:val="16"/>
      <w:szCs w:val="16"/>
    </w:rPr>
  </w:style>
  <w:style w:type="paragraph" w:customStyle="1" w:styleId="Bullet2BayerBodyText">
    <w:name w:val="Bullet_2 Bayer Body Text"/>
    <w:basedOn w:val="BulletBayerBodyText"/>
    <w:next w:val="BayerBodyTextFull"/>
    <w:qFormat/>
    <w:rsid w:val="00F11CED"/>
    <w:pPr>
      <w:numPr>
        <w:numId w:val="10"/>
      </w:numPr>
      <w:tabs>
        <w:tab w:val="clear" w:pos="1778"/>
      </w:tabs>
      <w:ind w:left="794" w:hanging="284"/>
    </w:pPr>
  </w:style>
  <w:style w:type="paragraph" w:styleId="Header">
    <w:name w:val="header"/>
    <w:basedOn w:val="Normal"/>
    <w:link w:val="HeaderChar"/>
    <w:rsid w:val="00FA72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semiHidden/>
    <w:rsid w:val="00FA72FC"/>
    <w:pPr>
      <w:tabs>
        <w:tab w:val="center" w:pos="4536"/>
        <w:tab w:val="right" w:pos="9072"/>
      </w:tabs>
    </w:pPr>
  </w:style>
  <w:style w:type="character" w:customStyle="1" w:styleId="BayerSuperscriptZchn">
    <w:name w:val="Bayer Superscript Zchn"/>
    <w:link w:val="BayerSuperscript"/>
    <w:rsid w:val="00F603E0"/>
    <w:rPr>
      <w:sz w:val="24"/>
      <w:vertAlign w:val="superscript"/>
    </w:rPr>
  </w:style>
  <w:style w:type="character" w:customStyle="1" w:styleId="BayerSubscriptZchn">
    <w:name w:val="Bayer Subscript Zchn"/>
    <w:link w:val="BayerSubscript"/>
    <w:rsid w:val="00F603E0"/>
    <w:rPr>
      <w:sz w:val="24"/>
      <w:vertAlign w:val="subscript"/>
    </w:rPr>
  </w:style>
  <w:style w:type="paragraph" w:customStyle="1" w:styleId="JapancontBayerCaption">
    <w:name w:val="Japan cont Bayer Caption"/>
    <w:basedOn w:val="Normal"/>
    <w:next w:val="BayerBodyTextFull"/>
    <w:qFormat/>
    <w:rsid w:val="00A142DB"/>
    <w:pPr>
      <w:keepNext/>
      <w:spacing w:before="120" w:after="120"/>
      <w:ind w:left="907"/>
    </w:pPr>
    <w:rPr>
      <w:rFonts w:ascii="Arial" w:hAnsi="Arial"/>
      <w:b/>
      <w:sz w:val="20"/>
    </w:rPr>
  </w:style>
  <w:style w:type="paragraph" w:styleId="TOC8">
    <w:name w:val="toc 8"/>
    <w:aliases w:val="Bayer-TOC 8"/>
    <w:basedOn w:val="TOC1"/>
    <w:next w:val="Normal"/>
    <w:uiPriority w:val="39"/>
    <w:rsid w:val="00A74FA1"/>
    <w:pPr>
      <w:spacing w:before="0"/>
      <w:ind w:left="1219" w:hanging="1219"/>
    </w:pPr>
    <w:rPr>
      <w:b w:val="0"/>
    </w:rPr>
  </w:style>
  <w:style w:type="paragraph" w:styleId="TOC9">
    <w:name w:val="toc 9"/>
    <w:aliases w:val="Bayer-TOC 9"/>
    <w:basedOn w:val="TOC1"/>
    <w:next w:val="Normal"/>
    <w:uiPriority w:val="39"/>
    <w:rsid w:val="00AE787C"/>
    <w:pPr>
      <w:spacing w:before="0"/>
      <w:ind w:left="1786" w:hanging="1219"/>
    </w:pPr>
    <w:rPr>
      <w:b w:val="0"/>
    </w:rPr>
  </w:style>
  <w:style w:type="paragraph" w:customStyle="1" w:styleId="BayerBlue">
    <w:name w:val="Bayer Blue"/>
    <w:basedOn w:val="Normal"/>
    <w:next w:val="BayerBodyTextFull"/>
    <w:link w:val="BayerBlueZchn"/>
    <w:rsid w:val="00332529"/>
    <w:rPr>
      <w:color w:val="0000FF"/>
    </w:rPr>
  </w:style>
  <w:style w:type="paragraph" w:styleId="TableofFigures">
    <w:name w:val="table of figures"/>
    <w:aliases w:val="Bayer Table of Figures"/>
    <w:basedOn w:val="Normal"/>
    <w:next w:val="Normal"/>
    <w:uiPriority w:val="99"/>
    <w:qFormat/>
    <w:rsid w:val="001B6F2A"/>
    <w:pPr>
      <w:tabs>
        <w:tab w:val="left" w:pos="0"/>
        <w:tab w:val="left" w:pos="1134"/>
        <w:tab w:val="right" w:leader="dot" w:pos="9072"/>
      </w:tabs>
      <w:spacing w:before="120" w:after="120"/>
      <w:ind w:left="1134" w:hanging="1134"/>
      <w:contextualSpacing/>
    </w:pPr>
    <w:rPr>
      <w:color w:val="0000FF"/>
    </w:rPr>
  </w:style>
  <w:style w:type="character" w:styleId="Hyperlink">
    <w:name w:val="Hyperlink"/>
    <w:uiPriority w:val="99"/>
    <w:rsid w:val="00350727"/>
    <w:rPr>
      <w:color w:val="0000FF"/>
      <w:u w:val="single"/>
    </w:rPr>
  </w:style>
  <w:style w:type="paragraph" w:styleId="TOCHeading">
    <w:name w:val="TOC Heading"/>
    <w:aliases w:val="Bayer ToC Heading"/>
    <w:basedOn w:val="BayerBodyTextFull"/>
    <w:next w:val="BayerBodyTextFull"/>
    <w:uiPriority w:val="39"/>
    <w:qFormat/>
    <w:rsid w:val="005C376D"/>
    <w:pPr>
      <w:spacing w:after="60"/>
    </w:pPr>
    <w:rPr>
      <w:b/>
      <w:bCs/>
      <w:kern w:val="32"/>
      <w:szCs w:val="32"/>
    </w:rPr>
  </w:style>
  <w:style w:type="numbering" w:styleId="111111">
    <w:name w:val="Outline List 2"/>
    <w:basedOn w:val="NoList"/>
    <w:rsid w:val="00797D3B"/>
    <w:pPr>
      <w:numPr>
        <w:numId w:val="31"/>
      </w:numPr>
    </w:pPr>
  </w:style>
  <w:style w:type="table" w:styleId="TableGrid">
    <w:name w:val="Table Grid"/>
    <w:basedOn w:val="TableNormal"/>
    <w:rsid w:val="00797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rsid w:val="00350727"/>
    <w:rPr>
      <w:color w:val="800080"/>
      <w:u w:val="single"/>
    </w:rPr>
  </w:style>
  <w:style w:type="paragraph" w:styleId="Title">
    <w:name w:val="Title"/>
    <w:aliases w:val="Bayer Title"/>
    <w:basedOn w:val="Normal"/>
    <w:next w:val="Normal"/>
    <w:link w:val="TitleChar"/>
    <w:uiPriority w:val="1"/>
    <w:qFormat/>
    <w:rsid w:val="00BB422A"/>
    <w:pPr>
      <w:spacing w:before="120"/>
      <w:jc w:val="center"/>
    </w:pPr>
    <w:rPr>
      <w:b/>
      <w:bCs/>
      <w:kern w:val="28"/>
      <w:sz w:val="32"/>
      <w:szCs w:val="32"/>
    </w:rPr>
  </w:style>
  <w:style w:type="character" w:customStyle="1" w:styleId="TitleChar">
    <w:name w:val="Title Char"/>
    <w:aliases w:val="Bayer Title Char"/>
    <w:link w:val="Title"/>
    <w:uiPriority w:val="1"/>
    <w:rsid w:val="00DD6FE7"/>
    <w:rPr>
      <w:rFonts w:eastAsia="Times New Roman" w:cs="Times New Roman"/>
      <w:b/>
      <w:bCs/>
      <w:kern w:val="28"/>
      <w:sz w:val="32"/>
      <w:szCs w:val="32"/>
    </w:rPr>
  </w:style>
  <w:style w:type="paragraph" w:styleId="Subtitle">
    <w:name w:val="Subtitle"/>
    <w:aliases w:val="Bayer Subtitle"/>
    <w:basedOn w:val="BayerBodyTextFull"/>
    <w:next w:val="BayerBodyTextFull"/>
    <w:link w:val="SubtitleChar"/>
    <w:uiPriority w:val="1"/>
    <w:qFormat/>
    <w:rsid w:val="00B1729C"/>
    <w:pPr>
      <w:spacing w:after="0"/>
      <w:jc w:val="center"/>
    </w:pPr>
    <w:rPr>
      <w:b/>
      <w:kern w:val="28"/>
      <w:sz w:val="28"/>
      <w:szCs w:val="24"/>
    </w:rPr>
  </w:style>
  <w:style w:type="character" w:customStyle="1" w:styleId="SubtitleChar">
    <w:name w:val="Subtitle Char"/>
    <w:aliases w:val="Bayer Subtitle Char"/>
    <w:link w:val="Subtitle"/>
    <w:uiPriority w:val="1"/>
    <w:rsid w:val="00B1729C"/>
    <w:rPr>
      <w:b/>
      <w:kern w:val="28"/>
      <w:sz w:val="28"/>
      <w:szCs w:val="24"/>
      <w:lang w:val="en-US" w:eastAsia="en-US"/>
    </w:rPr>
  </w:style>
  <w:style w:type="character" w:customStyle="1" w:styleId="BayerBlueZchn">
    <w:name w:val="Bayer Blue Zchn"/>
    <w:link w:val="BayerBlue"/>
    <w:rsid w:val="00332529"/>
    <w:rPr>
      <w:color w:val="0000FF"/>
      <w:sz w:val="24"/>
    </w:rPr>
  </w:style>
  <w:style w:type="paragraph" w:customStyle="1" w:styleId="BayerToTToFLoRHeading">
    <w:name w:val="Bayer ToT ToF LoR Heading"/>
    <w:basedOn w:val="Normal"/>
    <w:next w:val="BayerBodyTextFull"/>
    <w:qFormat/>
    <w:rsid w:val="00305919"/>
    <w:pPr>
      <w:outlineLvl w:val="0"/>
    </w:pPr>
    <w:rPr>
      <w:b/>
    </w:rPr>
  </w:style>
  <w:style w:type="paragraph" w:customStyle="1" w:styleId="BayerBibliographyBlue">
    <w:name w:val="Bayer Bibliography Blue"/>
    <w:basedOn w:val="BayerBibliography"/>
    <w:next w:val="Normal"/>
    <w:link w:val="BayerBibliographyBlueZchn"/>
    <w:rsid w:val="009071DA"/>
    <w:rPr>
      <w:color w:val="0000FF"/>
    </w:rPr>
  </w:style>
  <w:style w:type="character" w:customStyle="1" w:styleId="BayerBibliographyZchn">
    <w:name w:val="Bayer Bibliography Zchn"/>
    <w:basedOn w:val="DefaultParagraphFont"/>
    <w:link w:val="BayerBibliography"/>
    <w:rsid w:val="009071DA"/>
    <w:rPr>
      <w:sz w:val="24"/>
      <w:lang w:val="en-US" w:eastAsia="en-US"/>
    </w:rPr>
  </w:style>
  <w:style w:type="character" w:customStyle="1" w:styleId="BayerBibliographyBlueZchn">
    <w:name w:val="Bayer Bibliography Blue Zchn"/>
    <w:basedOn w:val="BayerBibliographyZchn"/>
    <w:link w:val="BayerBibliographyBlue"/>
    <w:rsid w:val="009071DA"/>
    <w:rPr>
      <w:color w:val="0000FF"/>
      <w:sz w:val="24"/>
      <w:lang w:val="en-US" w:eastAsia="en-US"/>
    </w:rPr>
  </w:style>
  <w:style w:type="character" w:customStyle="1" w:styleId="BayerGuidanceNotesZchn">
    <w:name w:val="Bayer Guidance Notes Zchn"/>
    <w:basedOn w:val="BayerBlueZchn"/>
    <w:link w:val="BayerGuidanceNotes"/>
    <w:rsid w:val="009071DA"/>
    <w:rPr>
      <w:i/>
      <w:color w:val="0000FF"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3EB8"/>
    <w:rPr>
      <w:color w:val="808080"/>
    </w:rPr>
  </w:style>
  <w:style w:type="character" w:customStyle="1" w:styleId="BayerBodyTextFullChar">
    <w:name w:val="Bayer Body Text Full Char"/>
    <w:link w:val="BayerBodyTextFull"/>
    <w:rsid w:val="00572B9E"/>
    <w:rPr>
      <w:sz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572B9E"/>
    <w:rPr>
      <w:sz w:val="24"/>
      <w:lang w:val="en-US" w:eastAsia="en-US"/>
    </w:rPr>
  </w:style>
  <w:style w:type="paragraph" w:customStyle="1" w:styleId="Kopfzeile1">
    <w:name w:val="Kopfzeile1"/>
    <w:basedOn w:val="Normal"/>
    <w:rsid w:val="00572B9E"/>
    <w:pPr>
      <w:tabs>
        <w:tab w:val="center" w:pos="4536"/>
        <w:tab w:val="right" w:pos="9072"/>
      </w:tabs>
    </w:pPr>
  </w:style>
  <w:style w:type="paragraph" w:customStyle="1" w:styleId="BayerSASCaptionDocFish">
    <w:name w:val="Bayer SAS Caption DocFish"/>
    <w:basedOn w:val="Heading7"/>
    <w:qFormat/>
    <w:rsid w:val="00AE787C"/>
    <w:pPr>
      <w:numPr>
        <w:ilvl w:val="0"/>
        <w:numId w:val="0"/>
      </w:numPr>
      <w:spacing w:before="0" w:line="160" w:lineRule="exact"/>
      <w:ind w:left="1814" w:hanging="907"/>
      <w:outlineLvl w:val="8"/>
    </w:pPr>
    <w:rPr>
      <w:rFonts w:ascii="SAS Monospace" w:hAnsi="SAS Monospace"/>
      <w:sz w:val="16"/>
      <w:szCs w:val="16"/>
    </w:rPr>
  </w:style>
  <w:style w:type="paragraph" w:customStyle="1" w:styleId="Smalltext80">
    <w:name w:val="Smalltext8:0"/>
    <w:uiPriority w:val="99"/>
    <w:pPr>
      <w:widowControl w:val="0"/>
      <w:autoSpaceDE w:val="0"/>
      <w:autoSpaceDN w:val="0"/>
      <w:adjustRightInd w:val="0"/>
    </w:pPr>
    <w:rPr>
      <w:rFonts w:asciiTheme="minorAscii" w:eastAsiaTheme="minorEastAsia" w:hAnsiTheme="minorHAnsi" w:cstheme="minorBidi"/>
      <w:color w:val="00000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customXml" Target="../customXml/item7.xml" /><Relationship Id="rId11" Type="http://schemas.openxmlformats.org/officeDocument/2006/relationships/customXml" Target="../customXml/item8.xml" /><Relationship Id="rId12" Type="http://schemas.openxmlformats.org/officeDocument/2006/relationships/header" Target="header1.xml" /><Relationship Id="rId13" Type="http://schemas.openxmlformats.org/officeDocument/2006/relationships/header" Target="header2.xml" /><Relationship Id="rId14" Type="http://schemas.openxmlformats.org/officeDocument/2006/relationships/header" Target="header3.xml" /><Relationship Id="rId15" Type="http://schemas.openxmlformats.org/officeDocument/2006/relationships/header" Target="header4.xml" /><Relationship Id="rId16" Type="http://schemas.openxmlformats.org/officeDocument/2006/relationships/header" Target="header5.xml" /><Relationship Id="rId17" Type="http://schemas.openxmlformats.org/officeDocument/2006/relationships/header" Target="header6.xml" /><Relationship Id="rId18" Type="http://schemas.openxmlformats.org/officeDocument/2006/relationships/header" Target="header7.xml" /><Relationship Id="rId19" Type="http://schemas.openxmlformats.org/officeDocument/2006/relationships/header" Target="header8.xml" /><Relationship Id="rId2" Type="http://schemas.openxmlformats.org/officeDocument/2006/relationships/webSettings" Target="webSettings.xml" /><Relationship Id="rId20" Type="http://schemas.openxmlformats.org/officeDocument/2006/relationships/header" Target="header9.xml" /><Relationship Id="rId21" Type="http://schemas.openxmlformats.org/officeDocument/2006/relationships/header" Target="header10.xml" /><Relationship Id="rId22" Type="http://schemas.openxmlformats.org/officeDocument/2006/relationships/header" Target="header11.xml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customXml" Target="../customXml/item6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Git\docfish\resources\rd-m-0003-ctd_v2.dotx" TargetMode="External" 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_rels/item7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7.xml" /></Relationships>
</file>

<file path=customXml/_rels/item8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8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ject Workspace Document" ma:contentTypeID="0x0101002783129AC49DDD4A8D75DC52AB3AE28B" ma:contentTypeVersion="0" ma:contentTypeDescription="" ma:contentTypeScope="" ma:versionID="41253b199b5d867bf9a3605fc8ddd0f0">
  <xsd:schema xmlns:xsd="http://www.w3.org/2001/XMLSchema" xmlns:xs="http://www.w3.org/2001/XMLSchema" xmlns:p="http://schemas.microsoft.com/office/2006/metadata/properties" xmlns:ns1="http://schemas.microsoft.com/sharepoint/v3" xmlns:ns2="e941b624-166c-4987-9ed6-d539972f16a8" xmlns:ns3="51042502-ec0f-4ba3-95d1-c1e044d078f3" xmlns:ns4="7F2684DE-4891-4716-893C-73B6405F6FD0" targetNamespace="http://schemas.microsoft.com/office/2006/metadata/properties" ma:root="true" ma:fieldsID="5baa68be16ba5cff0e8b6c11561ad51e" ns1:_="" ns2:_="" ns3:_="" ns4:_="">
    <xsd:import namespace="http://schemas.microsoft.com/sharepoint/v3"/>
    <xsd:import namespace="e941b624-166c-4987-9ed6-d539972f16a8"/>
    <xsd:import namespace="51042502-ec0f-4ba3-95d1-c1e044d078f3"/>
    <xsd:import namespace="7F2684DE-4891-4716-893C-73B6405F6FD0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gbbd9102adcd43839cd73b51972a464c" minOccurs="0"/>
                <xsd:element ref="ns1:_dlc_Exempt" minOccurs="0"/>
                <xsd:element ref="ns1:_dlc_ExpireDateSaved" minOccurs="0"/>
                <xsd:element ref="ns1:_dlc_ExpireDate" minOccurs="0"/>
                <xsd:element ref="ns3:_dlc_DocId" minOccurs="0"/>
                <xsd:element ref="ns3:_dlc_DocIdUrl" minOccurs="0"/>
                <xsd:element ref="ns3:_dlc_DocIdPersistId" minOccurs="0"/>
                <xsd:element ref="ns4:Owner" minOccurs="0"/>
                <xsd:element ref="ns4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2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13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4" nillable="true" ma:displayName="Expiration Date" ma:hidden="true" ma:internalName="_dlc_ExpireDat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1b624-166c-4987-9ed6-d539972f16a8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83ad73cd-b558-4843-a0e6-1bfb184870ea}" ma:internalName="TaxCatchAll" ma:showField="CatchAllData" ma:web="51042502-ec0f-4ba3-95d1-c1e044d07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83ad73cd-b558-4843-a0e6-1bfb184870ea}" ma:internalName="TaxCatchAllLabel" ma:readOnly="true" ma:showField="CatchAllDataLabel" ma:web="51042502-ec0f-4ba3-95d1-c1e044d07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bbd9102adcd43839cd73b51972a464c" ma:index="10" ma:taxonomy="true" ma:internalName="gbbd9102adcd43839cd73b51972a464c" ma:taxonomyFieldName="DataClassBayerRetention" ma:displayName="Data Class" ma:readOnly="false" ma:default="3;#Short-Term|6d967203-8346-4b9c-90f8-b3828a3fa508" ma:fieldId="{0bbd9102-adcd-4383-9cd7-3b51972a464c}" ma:sspId="7c593367-9bb5-4764-945e-f6a26d2260c4" ma:termSetId="a305235b-fecf-45b3-8300-71c0f432cbc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42502-ec0f-4ba3-95d1-c1e044d078f3" elementFormDefault="qualified">
    <xsd:import namespace="http://schemas.microsoft.com/office/2006/documentManagement/types"/>
    <xsd:import namespace="http://schemas.microsoft.com/office/infopath/2007/PartnerControls"/>
    <xsd:element name="_dlc_DocId" ma:index="1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2684DE-4891-4716-893C-73B6405F6FD0" elementFormDefault="qualified">
    <xsd:import namespace="http://schemas.microsoft.com/office/2006/documentManagement/types"/>
    <xsd:import namespace="http://schemas.microsoft.com/office/infopath/2007/PartnerControls"/>
    <xsd:element name="Owner" ma:index="18" nillable="true" ma:displayName="Owner" ma:list="UserInfo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" ma:index="19" nillable="true" ma:displayName="Status" ma:default="Draft" ma:internalName="Status">
      <xsd:simpleType>
        <xsd:restriction base="dms:Choice">
          <xsd:enumeration value="Draft"/>
          <xsd:enumeration value="Ready For Review"/>
          <xsd:enumeration value="Final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ontrolsStorage xmlns="urn:schemas-microsoft-com.VSTO2008Demos.ControlsStorage">
  <Controls>AAEAAAD/////AQAAAAAAAAAMAgAAAEVDaGVtNFdvcmQuQ29yZSwgVmVyc2lvbj0yLjAuMS4wLCBDdWx0dXJlPW5ldXRyYWwsIFB1YmxpY0tleVRva2VuPW51bGwHAQAAAAABAAAAAAAAAAQgQ2hlbTRXb3JkLkNvcmUuQ29udHJvbFByb3BlcnRpZXMCAAAACw==</Controls>
</ControlsStorage>
</file>

<file path=customXml/item3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Expiration" staticId="0x0101|-2126682137" UniqueId="ab3b55e9-aae5-4563-b264-599d7d4a4f77">
      <p:Name>Retention</p:Name>
      <p:Description>Automatic scheduling of content for processing, and performing a retention action on content that has reached its due date.</p:Description>
      <p:CustomData>
        <Schedules nextStageId="2">
          <Schedule type="Default">
            <stages>
              <data stageId="1">
                <formula id="Bayer SharePoint Retention Policy 2.1"/>
                <action type="action" id="Microsoft.Office.RecordsManagement.PolicyFeatures.Expiration.Action.MoveToRecycleBin"/>
              </data>
            </stages>
          </Schedule>
        </Schedules>
      </p:CustomData>
    </p:PolicyItem>
  </p:PolicyItems>
</p:Policy>
</file>

<file path=customXml/item4.xml><?xml version="1.0" encoding="utf-8"?>
<?mso-contentType ?>
<SharedContentType xmlns="Microsoft.SharePoint.Taxonomy.ContentTypeSync" SourceId="7c593367-9bb5-4764-945e-f6a26d2260c4" ContentTypeId="0x0101" PreviousValue="true"/>
</file>

<file path=customXml/item5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Assembly>Microsoft.Office.Policy, Version=14.0.0.0,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Assembly>Microsoft.Office.Policy, Version=14.0.0.0, Culture=neutral, PublicKeyToken=71e9bce111e9429c</Assembly>
    <Class>Microsoft.Office.RecordsManagement.Internal.UpdateExpireDate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bbd9102adcd43839cd73b51972a464c xmlns="e941b624-166c-4987-9ed6-d539972f16a8">
      <Terms xmlns="http://schemas.microsoft.com/office/infopath/2007/PartnerControls">
        <TermInfo xmlns="http://schemas.microsoft.com/office/infopath/2007/PartnerControls">
          <TermName xmlns="http://schemas.microsoft.com/office/infopath/2007/PartnerControls">Long-Term</TermName>
          <TermId xmlns="http://schemas.microsoft.com/office/infopath/2007/PartnerControls">450f2ec9-198b-4bf0-b08c-74a80f1899d3</TermId>
        </TermInfo>
      </Terms>
    </gbbd9102adcd43839cd73b51972a464c>
    <Owner xmlns="7F2684DE-4891-4716-893C-73B6405F6FD0">
      <UserInfo>
        <DisplayName/>
        <AccountId xsi:nil="true"/>
        <AccountType/>
      </UserInfo>
    </Owner>
    <_dlc_DocId xmlns="51042502-ec0f-4ba3-95d1-c1e044d078f3">DTZMRRZ3RA43-264-92</_dlc_DocId>
    <TaxCatchAll xmlns="e941b624-166c-4987-9ed6-d539972f16a8">
      <Value>5</Value>
    </TaxCatchAll>
    <Status xmlns="7F2684DE-4891-4716-893C-73B6405F6FD0">Final</Status>
    <_dlc_ExpireDateSaved xmlns="http://schemas.microsoft.com/sharepoint/v3" xsi:nil="true"/>
    <_dlc_DocIdUrl xmlns="51042502-ec0f-4ba3-95d1-c1e044d078f3">
      <Url>http://sp-coll-bhc.bayer-ag.com/sites/200256/OI-038/_layouts/15/DocIdRedir.aspx?ID=DTZMRRZ3RA43-264-92</Url>
      <Description>DTZMRRZ3RA43-264-92</Description>
    </_dlc_DocIdUrl>
    <_dlc_ExpireDate xmlns="http://schemas.microsoft.com/sharepoint/v3">2029-02-27T16:51:30+00:00</_dlc_ExpireDate>
  </documentManagement>
</p:properties>
</file>

<file path=customXml/item8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D60C6-3A49-44B4-BF78-48245B80E8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41b624-166c-4987-9ed6-d539972f16a8"/>
    <ds:schemaRef ds:uri="51042502-ec0f-4ba3-95d1-c1e044d078f3"/>
    <ds:schemaRef ds:uri="7F2684DE-4891-4716-893C-73B6405F6F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3E406B-D330-40B8-8664-F6C051B6F9DE}">
  <ds:schemaRefs>
    <ds:schemaRef ds:uri="urn:schemas-microsoft-com.VSTO2008Demos.ControlsStorage"/>
  </ds:schemaRefs>
</ds:datastoreItem>
</file>

<file path=customXml/itemProps3.xml><?xml version="1.0" encoding="utf-8"?>
<ds:datastoreItem xmlns:ds="http://schemas.openxmlformats.org/officeDocument/2006/customXml" ds:itemID="{25D3B9E8-E9EE-4E2B-873A-71F0A8A746C0}">
  <ds:schemaRefs>
    <ds:schemaRef ds:uri="office.server.policy"/>
  </ds:schemaRefs>
</ds:datastoreItem>
</file>

<file path=customXml/itemProps4.xml><?xml version="1.0" encoding="utf-8"?>
<ds:datastoreItem xmlns:ds="http://schemas.openxmlformats.org/officeDocument/2006/customXml" ds:itemID="{801F3939-ED0E-4150-919E-44C16EE6787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8157CBCC-355A-4995-A614-2E3DC8F4AB45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11E24364-7A03-4229-903B-7CDD68D4F304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63DE48E2-D426-447C-98E1-8EF36F4BBC32}">
  <ds:schemaRefs>
    <ds:schemaRef ds:uri="http://schemas.microsoft.com/office/2006/metadata/properties"/>
    <ds:schemaRef ds:uri="http://schemas.microsoft.com/office/infopath/2007/PartnerControls"/>
    <ds:schemaRef ds:uri="e941b624-166c-4987-9ed6-d539972f16a8"/>
    <ds:schemaRef ds:uri="7F2684DE-4891-4716-893C-73B6405F6FD0"/>
    <ds:schemaRef ds:uri="51042502-ec0f-4ba3-95d1-c1e044d078f3"/>
    <ds:schemaRef ds:uri="http://schemas.microsoft.com/sharepoint/v3"/>
  </ds:schemaRefs>
</ds:datastoreItem>
</file>

<file path=customXml/itemProps8.xml><?xml version="1.0" encoding="utf-8"?>
<ds:datastoreItem xmlns:ds="http://schemas.openxmlformats.org/officeDocument/2006/customXml" ds:itemID="{51FA366B-A0BE-4979-8391-4D232CBA2A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rd-m-0003-ctd_v2.dotx</Template>
  <TotalTime>0</TotalTime>
  <Pages>27</Pages>
  <Words>22</Words>
  <Characters>132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CTD.dotx</vt:lpstr>
      <vt:lpstr>CTD.dotx</vt:lpstr>
    </vt:vector>
  </TitlesOfParts>
  <Company>Bayer AG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CTD.dotx</dc:title>
  <dc:subject>Attachment to Manual</dc:subject>
  <dc:creator>Dominik Habel</dc:creator>
  <cp:keywords>Version 3.0</cp:keywords>
  <dc:description>Version 3.0
Bayer TRD Source: 12 Pt
Bayer Bibliography Blue: new style
Bayer ToT ToF LoR Heading: New style
Bayer-ToC 1: right 0.5 cm
Quick parts for Bayer Tables and Figures included
Bullet Bayer Body Text adjusted
Bullet_2 Bayer Body Text adjusted
Margins adjusted to all 2,50 cm</dc:description>
  <cp:lastModifiedBy>Dominik Habel</cp:lastModifiedBy>
  <cp:revision>27</cp:revision>
  <cp:lastPrinted>2017-02-17T14:54:00Z</cp:lastPrinted>
  <dcterms:created xsi:type="dcterms:W3CDTF">2023-03-07T07:17:00Z</dcterms:created>
  <dcterms:modified xsi:type="dcterms:W3CDTF">2023-10-11T13:19:00Z</dcterms:modified>
  <cp:category>Bayer CTD</cp:category>
  <cp:contentStatus>2017-01-10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0x0101002783129AC49DDD4A8D75DC52AB3AE28B</vt:lpwstr>
  </property>
  <property fmtid="{D5CDD505-2E9C-101B-9397-08002B2CF9AE}" pid="3" name="DataClassBayerRetention">
    <vt:lpwstr>5;#Long-Term|450f2ec9-198b-4bf0-b08c-74a80f1899d3</vt:lpwstr>
  </property>
  <property fmtid="{D5CDD505-2E9C-101B-9397-08002B2CF9AE}" pid="4" name="docfish_capcount_Figure:1">
    <vt:i4>0</vt:i4>
  </property>
  <property fmtid="{D5CDD505-2E9C-101B-9397-08002B2CF9AE}" pid="5" name="docfish_capcount_Figure:2">
    <vt:i4>0</vt:i4>
  </property>
  <property fmtid="{D5CDD505-2E9C-101B-9397-08002B2CF9AE}" pid="6" name="docfish_capcount_Figure:3">
    <vt:i4>0</vt:i4>
  </property>
  <property fmtid="{D5CDD505-2E9C-101B-9397-08002B2CF9AE}" pid="7" name="docfish_capcount_Figure:4">
    <vt:i4>0</vt:i4>
  </property>
  <property fmtid="{D5CDD505-2E9C-101B-9397-08002B2CF9AE}" pid="8" name="docfish_capcount_Figure:5">
    <vt:i4>0</vt:i4>
  </property>
  <property fmtid="{D5CDD505-2E9C-101B-9397-08002B2CF9AE}" pid="9" name="docfish_capcount_Figure:6">
    <vt:i4>0</vt:i4>
  </property>
  <property fmtid="{D5CDD505-2E9C-101B-9397-08002B2CF9AE}" pid="10" name="docfish_capcount_Figure:7">
    <vt:i4>0</vt:i4>
  </property>
  <property fmtid="{D5CDD505-2E9C-101B-9397-08002B2CF9AE}" pid="11" name="docfish_capcount_Figure:8">
    <vt:i4>0</vt:i4>
  </property>
  <property fmtid="{D5CDD505-2E9C-101B-9397-08002B2CF9AE}" pid="12" name="docfish_capcount_Figure:9">
    <vt:i4>0</vt:i4>
  </property>
  <property fmtid="{D5CDD505-2E9C-101B-9397-08002B2CF9AE}" pid="13" name="docfish_capcount_Listing:1">
    <vt:i4>0</vt:i4>
  </property>
  <property fmtid="{D5CDD505-2E9C-101B-9397-08002B2CF9AE}" pid="14" name="docfish_capcount_Listing:2">
    <vt:i4>0</vt:i4>
  </property>
  <property fmtid="{D5CDD505-2E9C-101B-9397-08002B2CF9AE}" pid="15" name="docfish_capcount_Listing:3">
    <vt:i4>0</vt:i4>
  </property>
  <property fmtid="{D5CDD505-2E9C-101B-9397-08002B2CF9AE}" pid="16" name="docfish_capcount_Listing:4">
    <vt:i4>0</vt:i4>
  </property>
  <property fmtid="{D5CDD505-2E9C-101B-9397-08002B2CF9AE}" pid="17" name="docfish_capcount_Listing:5">
    <vt:i4>0</vt:i4>
  </property>
  <property fmtid="{D5CDD505-2E9C-101B-9397-08002B2CF9AE}" pid="18" name="docfish_capcount_Listing:6">
    <vt:i4>0</vt:i4>
  </property>
  <property fmtid="{D5CDD505-2E9C-101B-9397-08002B2CF9AE}" pid="19" name="docfish_capcount_Listing:7">
    <vt:i4>0</vt:i4>
  </property>
  <property fmtid="{D5CDD505-2E9C-101B-9397-08002B2CF9AE}" pid="20" name="docfish_capcount_Listing:8">
    <vt:i4>0</vt:i4>
  </property>
  <property fmtid="{D5CDD505-2E9C-101B-9397-08002B2CF9AE}" pid="21" name="docfish_capcount_Listing:9">
    <vt:i4>0</vt:i4>
  </property>
  <property fmtid="{D5CDD505-2E9C-101B-9397-08002B2CF9AE}" pid="22" name="docfish_capcount_Table:1">
    <vt:i4>7</vt:i4>
  </property>
  <property fmtid="{D5CDD505-2E9C-101B-9397-08002B2CF9AE}" pid="23" name="docfish_capcount_Table:2">
    <vt:i4>0</vt:i4>
  </property>
  <property fmtid="{D5CDD505-2E9C-101B-9397-08002B2CF9AE}" pid="24" name="docfish_capcount_Table:3">
    <vt:i4>0</vt:i4>
  </property>
  <property fmtid="{D5CDD505-2E9C-101B-9397-08002B2CF9AE}" pid="25" name="docfish_capcount_Table:4">
    <vt:i4>0</vt:i4>
  </property>
  <property fmtid="{D5CDD505-2E9C-101B-9397-08002B2CF9AE}" pid="26" name="docfish_capcount_Table:5">
    <vt:i4>0</vt:i4>
  </property>
  <property fmtid="{D5CDD505-2E9C-101B-9397-08002B2CF9AE}" pid="27" name="docfish_capcount_Table:6">
    <vt:i4>0</vt:i4>
  </property>
  <property fmtid="{D5CDD505-2E9C-101B-9397-08002B2CF9AE}" pid="28" name="docfish_capcount_Table:7">
    <vt:i4>0</vt:i4>
  </property>
  <property fmtid="{D5CDD505-2E9C-101B-9397-08002B2CF9AE}" pid="29" name="docfish_capcount_Table:8">
    <vt:i4>0</vt:i4>
  </property>
  <property fmtid="{D5CDD505-2E9C-101B-9397-08002B2CF9AE}" pid="30" name="docfish_capcount_Table:9">
    <vt:i4>0</vt:i4>
  </property>
  <property fmtid="{D5CDD505-2E9C-101B-9397-08002B2CF9AE}" pid="31" name="docfish_HeaderCount">
    <vt:lpwstr>6.</vt:lpwstr>
  </property>
  <property fmtid="{D5CDD505-2E9C-101B-9397-08002B2CF9AE}" pid="32" name="docfish_title_1">
    <vt:lpwstr>Safety evaluation</vt:lpwstr>
  </property>
  <property fmtid="{D5CDD505-2E9C-101B-9397-08002B2CF9AE}" pid="33" name="ItemRetentionFormula">
    <vt:lpwstr>&lt;formula id="Bayer SharePoint Retention Policy 2.1" /&gt;</vt:lpwstr>
  </property>
  <property fmtid="{D5CDD505-2E9C-101B-9397-08002B2CF9AE}" pid="34" name="MSIP_Label_7f850223-87a8-40c3-9eb2-432606efca2a_ActionId">
    <vt:lpwstr>d6505a88-87a3-462f-b0b9-8c69b04a0f88</vt:lpwstr>
  </property>
  <property fmtid="{D5CDD505-2E9C-101B-9397-08002B2CF9AE}" pid="35" name="MSIP_Label_7f850223-87a8-40c3-9eb2-432606efca2a_ContentBits">
    <vt:lpwstr>0</vt:lpwstr>
  </property>
  <property fmtid="{D5CDD505-2E9C-101B-9397-08002B2CF9AE}" pid="36" name="MSIP_Label_7f850223-87a8-40c3-9eb2-432606efca2a_Enabled">
    <vt:lpwstr>true</vt:lpwstr>
  </property>
  <property fmtid="{D5CDD505-2E9C-101B-9397-08002B2CF9AE}" pid="37" name="MSIP_Label_7f850223-87a8-40c3-9eb2-432606efca2a_Method">
    <vt:lpwstr>Standard</vt:lpwstr>
  </property>
  <property fmtid="{D5CDD505-2E9C-101B-9397-08002B2CF9AE}" pid="38" name="MSIP_Label_7f850223-87a8-40c3-9eb2-432606efca2a_Name">
    <vt:lpwstr>7f850223-87a8-40c3-9eb2-432606efca2a</vt:lpwstr>
  </property>
  <property fmtid="{D5CDD505-2E9C-101B-9397-08002B2CF9AE}" pid="39" name="MSIP_Label_7f850223-87a8-40c3-9eb2-432606efca2a_SetDate">
    <vt:lpwstr>2023-03-07T07:17:24Z</vt:lpwstr>
  </property>
  <property fmtid="{D5CDD505-2E9C-101B-9397-08002B2CF9AE}" pid="40" name="MSIP_Label_7f850223-87a8-40c3-9eb2-432606efca2a_SiteId">
    <vt:lpwstr>fcb2b37b-5da0-466b-9b83-0014b67a7c78</vt:lpwstr>
  </property>
  <property fmtid="{D5CDD505-2E9C-101B-9397-08002B2CF9AE}" pid="41" name="_dlc_DocIdItemGuid">
    <vt:lpwstr>6b8c3913-eedd-41ac-8151-74ade1376001</vt:lpwstr>
  </property>
  <property fmtid="{D5CDD505-2E9C-101B-9397-08002B2CF9AE}" pid="42" name="_dlc_policyId">
    <vt:lpwstr>0x0101|-2126682137</vt:lpwstr>
  </property>
</Properties>
</file>