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8.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1.0 -->
  <w:body>
    <w:p w:rsidR="00572B9E" w:rsidRPr="00E04530" w:rsidP="00572B9E" w14:paraId="0352AB56" w14:textId="15CE101D">
      <w:pPr>
        <w:pStyle w:val="BayerBodyTextFull"/>
        <w:pageBreakBefore w:val="0"/>
        <w:rPr>
          <w:b/>
          <w:lang w:val="de-DE"/>
        </w:rPr>
      </w:pPr>
      <w:bookmarkStart w:id="0" w:name="_Toc68684329"/>
      <w:bookmarkStart w:id="1" w:name="_Toc53910770"/>
      <w:bookmarkStart w:id="2" w:name="_Toc53820456"/>
      <w:bookmarkStart w:id="3" w:name="_Ref35744917"/>
      <w:bookmarkStart w:id="4" w:name="_Ref35744886"/>
      <w:bookmarkStart w:id="5" w:name="_Ref35744875"/>
      <w:bookmarkStart w:id="6" w:name="_Ref35744861"/>
      <w:bookmarkStart w:id="7" w:name="_Ref35744844"/>
      <w:r w:rsidRPr="00E04530">
        <w:rPr>
          <w:b/>
          <w:lang w:val="de-DE"/>
        </w:rPr>
        <w:t xml:space="preserve">Table </w:t>
      </w:r>
      <w:r w:rsidRPr="00E04530">
        <w:rPr>
          <w:b/>
          <w:lang w:val="de-DE"/>
        </w:rPr>
        <w:t>of</w:t>
      </w:r>
      <w:r w:rsidRPr="00E04530">
        <w:rPr>
          <w:b/>
          <w:lang w:val="de-DE"/>
        </w:rPr>
        <w:t xml:space="preserve"> </w:t>
      </w:r>
      <w:r w:rsidRPr="00E04530">
        <w:rPr>
          <w:b/>
          <w:lang w:val="de-DE"/>
        </w:rPr>
        <w:t>contents</w:t>
      </w:r>
    </w:p>
    <w:bookmarkEnd w:id="0"/>
    <w:bookmarkEnd w:id="1"/>
    <w:bookmarkEnd w:id="2"/>
    <w:bookmarkEnd w:id="3"/>
    <w:bookmarkEnd w:id="4"/>
    <w:bookmarkEnd w:id="5"/>
    <w:bookmarkEnd w:id="6"/>
    <w:bookmarkEnd w:id="7"/>
    <w:p w14:paraId="6EDC0B92" w14:textId="69565B9B">
      <w:pPr>
        <w:pStyle w:val="TOC1"/>
        <w:rPr>
          <w:rFonts w:asciiTheme="minorHAnsi" w:hAnsiTheme="minorHAnsi"/>
          <w:noProof/>
          <w:sz w:val="22"/>
        </w:rPr>
      </w:pPr>
      <w:r w:rsidRPr="00B61F8E">
        <w:rPr>
          <w:b/>
          <w:bCs/>
          <w:noProof/>
          <w:lang w:val="de-DE"/>
        </w:rPr>
        <w:fldChar w:fldCharType="begin"/>
      </w:r>
      <w:r w:rsidRPr="00B61F8E">
        <w:rPr>
          <w:b/>
          <w:bCs/>
          <w:noProof/>
          <w:lang w:val="de-DE"/>
        </w:rPr>
        <w:instrText>TOC \o "1-9" \h</w:instrText>
      </w:r>
      <w:r w:rsidRPr="00B61F8E">
        <w:rPr>
          <w:b/>
          <w:bCs/>
          <w:noProof/>
          <w:lang w:val="de-DE"/>
        </w:rPr>
        <w:fldChar w:fldCharType="separate"/>
      </w:r>
      <w:hyperlink w:anchor="_Toc256000000" w:history="1">
        <w:r>
          <w:rPr>
            <w:rStyle w:val="Hyperlink"/>
          </w:rPr>
          <w:t>8. Tables and figures referred to but not included in the text</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8.1 Demographics</w:t>
        </w:r>
        <w:r>
          <w:tab/>
        </w:r>
        <w:r>
          <w:fldChar w:fldCharType="begin"/>
        </w:r>
        <w:r>
          <w:instrText xml:space="preserve"> PAGEREF _Toc256000001 \h </w:instrText>
        </w:r>
        <w:r>
          <w:fldChar w:fldCharType="separate"/>
        </w:r>
        <w:r>
          <w:t>4</w:t>
        </w:r>
        <w:r>
          <w:fldChar w:fldCharType="end"/>
        </w:r>
      </w:hyperlink>
    </w:p>
    <w:p>
      <w:pPr>
        <w:pStyle w:val="TOC3"/>
        <w:rPr>
          <w:rFonts w:asciiTheme="minorHAnsi" w:hAnsiTheme="minorHAnsi"/>
          <w:noProof/>
          <w:sz w:val="22"/>
        </w:rPr>
      </w:pPr>
      <w:hyperlink w:anchor="_Toc256000002" w:history="1">
        <w:r>
          <w:rPr>
            <w:rStyle w:val="Hyperlink"/>
          </w:rPr>
          <w:t>8.1.1 Study periods and sample sizes</w:t>
        </w:r>
        <w:r>
          <w:tab/>
        </w:r>
        <w:r>
          <w:fldChar w:fldCharType="begin"/>
        </w:r>
        <w:r>
          <w:instrText xml:space="preserve"> PAGEREF _Toc256000002 \h </w:instrText>
        </w:r>
        <w:r>
          <w:fldChar w:fldCharType="separate"/>
        </w:r>
        <w:r>
          <w:t>5</w:t>
        </w:r>
        <w:r>
          <w:fldChar w:fldCharType="end"/>
        </w:r>
      </w:hyperlink>
    </w:p>
    <w:p>
      <w:pPr>
        <w:pStyle w:val="TOC9"/>
        <w:rPr>
          <w:rFonts w:asciiTheme="minorHAnsi" w:hAnsiTheme="minorHAnsi"/>
          <w:noProof/>
          <w:sz w:val="22"/>
        </w:rPr>
      </w:pPr>
      <w:hyperlink w:anchor="_Toc256000003" w:history="1">
        <w:r>
          <w:rPr>
            <w:rStyle w:val="Hyperlink"/>
          </w:rPr>
          <w:t>Table 8.1.1 / 1: Study sample sizes by trial unit (all enrolled subjects)</w:t>
        </w:r>
        <w:r>
          <w:tab/>
        </w:r>
        <w:r>
          <w:fldChar w:fldCharType="begin"/>
        </w:r>
        <w:r>
          <w:instrText xml:space="preserve"> PAGEREF _Toc256000003 \h </w:instrText>
        </w:r>
        <w:r>
          <w:fldChar w:fldCharType="separate"/>
        </w:r>
        <w:r>
          <w:t>6</w:t>
        </w:r>
        <w:r>
          <w:fldChar w:fldCharType="end"/>
        </w:r>
      </w:hyperlink>
    </w:p>
    <w:p>
      <w:pPr>
        <w:pStyle w:val="TOC9"/>
        <w:rPr>
          <w:rFonts w:asciiTheme="minorHAnsi" w:hAnsiTheme="minorHAnsi"/>
          <w:noProof/>
          <w:sz w:val="22"/>
        </w:rPr>
      </w:pPr>
      <w:hyperlink w:anchor="_Toc256000005" w:history="1">
        <w:r>
          <w:rPr>
            <w:rStyle w:val="Hyperlink"/>
          </w:rPr>
          <w:t>Table 8.1.1 / 2: Number of subjects by pooled region and country/region (all randomized subjects)</w:t>
        </w:r>
        <w:r>
          <w:tab/>
        </w:r>
        <w:r>
          <w:fldChar w:fldCharType="begin"/>
        </w:r>
        <w:r>
          <w:instrText xml:space="preserve"> PAGEREF _Toc256000005 \h </w:instrText>
        </w:r>
        <w:r>
          <w:fldChar w:fldCharType="separate"/>
        </w:r>
        <w:r>
          <w:t>15</w:t>
        </w:r>
        <w:r>
          <w:fldChar w:fldCharType="end"/>
        </w:r>
      </w:hyperlink>
    </w:p>
    <w:p>
      <w:pPr>
        <w:pStyle w:val="TOC9"/>
        <w:rPr>
          <w:rFonts w:asciiTheme="minorHAnsi" w:hAnsiTheme="minorHAnsi"/>
          <w:noProof/>
          <w:sz w:val="22"/>
        </w:rPr>
      </w:pPr>
      <w:hyperlink w:anchor="_Toc256000007" w:history="1">
        <w:r>
          <w:rPr>
            <w:rStyle w:val="Hyperlink"/>
          </w:rPr>
          <w:t>Table 8.1.1 / 3: Number of sites by pooled region and country/region (all randomized subjects)</w:t>
        </w:r>
        <w:r>
          <w:tab/>
        </w:r>
        <w:r>
          <w:fldChar w:fldCharType="begin"/>
        </w:r>
        <w:r>
          <w:instrText xml:space="preserve"> PAGEREF _Toc256000007 \h </w:instrText>
        </w:r>
        <w:r>
          <w:fldChar w:fldCharType="separate"/>
        </w:r>
        <w:r>
          <w:t>16</w:t>
        </w:r>
        <w:r>
          <w:fldChar w:fldCharType="end"/>
        </w:r>
      </w:hyperlink>
    </w:p>
    <w:p>
      <w:pPr>
        <w:pStyle w:val="TOC9"/>
        <w:rPr>
          <w:rFonts w:asciiTheme="minorHAnsi" w:hAnsiTheme="minorHAnsi"/>
          <w:noProof/>
          <w:sz w:val="22"/>
        </w:rPr>
      </w:pPr>
      <w:hyperlink w:anchor="_Toc256000009" w:history="1">
        <w:r>
          <w:rPr>
            <w:rStyle w:val="Hyperlink"/>
          </w:rPr>
          <w:t>Table 8.1.1 / 4: Protocol deviations and screen failures by trial unit (all enrolled subjects)</w:t>
        </w:r>
        <w:r>
          <w:tab/>
        </w:r>
        <w:r>
          <w:fldChar w:fldCharType="begin"/>
        </w:r>
        <w:r>
          <w:instrText xml:space="preserve"> PAGEREF _Toc256000009 \h </w:instrText>
        </w:r>
        <w:r>
          <w:fldChar w:fldCharType="separate"/>
        </w:r>
        <w:r>
          <w:t>17</w:t>
        </w:r>
        <w:r>
          <w:fldChar w:fldCharType="end"/>
        </w:r>
      </w:hyperlink>
    </w:p>
    <w:p>
      <w:pPr>
        <w:pStyle w:val="TOC9"/>
        <w:rPr>
          <w:rFonts w:asciiTheme="minorHAnsi" w:hAnsiTheme="minorHAnsi"/>
          <w:noProof/>
          <w:sz w:val="22"/>
        </w:rPr>
      </w:pPr>
      <w:hyperlink w:anchor="_Toc256000011" w:history="1">
        <w:r>
          <w:rPr>
            <w:rStyle w:val="Hyperlink"/>
          </w:rPr>
          <w:t>Table 8.1.1 / 5: Number of subjects with important protocol deviations (all randomized subjects)</w:t>
        </w:r>
        <w:r>
          <w:tab/>
        </w:r>
        <w:r>
          <w:fldChar w:fldCharType="begin"/>
        </w:r>
        <w:r>
          <w:instrText xml:space="preserve"> PAGEREF _Toc256000011 \h </w:instrText>
        </w:r>
        <w:r>
          <w:fldChar w:fldCharType="separate"/>
        </w:r>
        <w:r>
          <w:t>26</w:t>
        </w:r>
        <w:r>
          <w:fldChar w:fldCharType="end"/>
        </w:r>
      </w:hyperlink>
    </w:p>
    <w:p>
      <w:pPr>
        <w:pStyle w:val="TOC3"/>
        <w:rPr>
          <w:rFonts w:asciiTheme="minorHAnsi" w:hAnsiTheme="minorHAnsi"/>
          <w:noProof/>
          <w:sz w:val="22"/>
        </w:rPr>
      </w:pPr>
      <w:hyperlink w:anchor="_Toc256000013" w:history="1">
        <w:r>
          <w:rPr>
            <w:rStyle w:val="Hyperlink"/>
          </w:rPr>
          <w:t>8.1.2 Subject validity status</w:t>
        </w:r>
        <w:r>
          <w:tab/>
        </w:r>
        <w:r>
          <w:fldChar w:fldCharType="begin"/>
        </w:r>
        <w:r>
          <w:instrText xml:space="preserve"> PAGEREF _Toc256000013 \h </w:instrText>
        </w:r>
        <w:r>
          <w:fldChar w:fldCharType="separate"/>
        </w:r>
        <w:r>
          <w:t>27</w:t>
        </w:r>
        <w:r>
          <w:fldChar w:fldCharType="end"/>
        </w:r>
      </w:hyperlink>
    </w:p>
    <w:p>
      <w:pPr>
        <w:pStyle w:val="TOC9"/>
        <w:rPr>
          <w:rFonts w:asciiTheme="minorHAnsi" w:hAnsiTheme="minorHAnsi"/>
          <w:noProof/>
          <w:sz w:val="22"/>
        </w:rPr>
      </w:pPr>
      <w:hyperlink w:anchor="_Toc256000014" w:history="1">
        <w:r>
          <w:rPr>
            <w:rStyle w:val="Hyperlink"/>
          </w:rPr>
          <w:t>Table 8.1.2 / 1: Analysis sets and validity findings (all randomized subjects)</w:t>
        </w:r>
        <w:r>
          <w:tab/>
        </w:r>
        <w:r>
          <w:fldChar w:fldCharType="begin"/>
        </w:r>
        <w:r>
          <w:instrText xml:space="preserve"> PAGEREF _Toc256000014 \h </w:instrText>
        </w:r>
        <w:r>
          <w:fldChar w:fldCharType="separate"/>
        </w:r>
        <w:r>
          <w:t>28</w:t>
        </w:r>
        <w:r>
          <w:fldChar w:fldCharType="end"/>
        </w:r>
      </w:hyperlink>
    </w:p>
    <w:p>
      <w:pPr>
        <w:pStyle w:val="TOC3"/>
        <w:rPr>
          <w:rFonts w:asciiTheme="minorHAnsi" w:hAnsiTheme="minorHAnsi"/>
          <w:noProof/>
          <w:sz w:val="22"/>
        </w:rPr>
      </w:pPr>
      <w:hyperlink w:anchor="_Toc256000016" w:history="1">
        <w:r>
          <w:rPr>
            <w:rStyle w:val="Hyperlink"/>
          </w:rPr>
          <w:t>8.1.3 Disposition</w:t>
        </w:r>
        <w:r>
          <w:tab/>
        </w:r>
        <w:r>
          <w:fldChar w:fldCharType="begin"/>
        </w:r>
        <w:r>
          <w:instrText xml:space="preserve"> PAGEREF _Toc256000016 \h </w:instrText>
        </w:r>
        <w:r>
          <w:fldChar w:fldCharType="separate"/>
        </w:r>
        <w:r>
          <w:t>29</w:t>
        </w:r>
        <w:r>
          <w:fldChar w:fldCharType="end"/>
        </w:r>
      </w:hyperlink>
    </w:p>
    <w:p>
      <w:pPr>
        <w:pStyle w:val="TOC9"/>
        <w:rPr>
          <w:rFonts w:asciiTheme="minorHAnsi" w:hAnsiTheme="minorHAnsi"/>
          <w:noProof/>
          <w:sz w:val="22"/>
        </w:rPr>
      </w:pPr>
      <w:hyperlink w:anchor="_Toc256000017" w:history="1">
        <w:r>
          <w:rPr>
            <w:rStyle w:val="Hyperlink"/>
          </w:rPr>
          <w:t>Table 8.1.3 / 1: Disposition: flow of subjects through study epochs (all enrolled subjects)</w:t>
        </w:r>
        <w:r>
          <w:tab/>
        </w:r>
        <w:r>
          <w:fldChar w:fldCharType="begin"/>
        </w:r>
        <w:r>
          <w:instrText xml:space="preserve"> PAGEREF _Toc256000017 \h </w:instrText>
        </w:r>
        <w:r>
          <w:fldChar w:fldCharType="separate"/>
        </w:r>
        <w:r>
          <w:t>30</w:t>
        </w:r>
        <w:r>
          <w:fldChar w:fldCharType="end"/>
        </w:r>
      </w:hyperlink>
    </w:p>
    <w:p>
      <w:pPr>
        <w:pStyle w:val="TOC9"/>
        <w:rPr>
          <w:rFonts w:asciiTheme="minorHAnsi" w:hAnsiTheme="minorHAnsi"/>
          <w:noProof/>
          <w:sz w:val="22"/>
        </w:rPr>
      </w:pPr>
      <w:hyperlink w:anchor="_Toc256000019" w:history="1">
        <w:r>
          <w:rPr>
            <w:rStyle w:val="Hyperlink"/>
          </w:rPr>
          <w:t>Table 8.1.3 / 2: Disposition in overall study (all enrolled subjects)</w:t>
        </w:r>
        <w:r>
          <w:tab/>
        </w:r>
        <w:r>
          <w:fldChar w:fldCharType="begin"/>
        </w:r>
        <w:r>
          <w:instrText xml:space="preserve"> PAGEREF _Toc256000019 \h </w:instrText>
        </w:r>
        <w:r>
          <w:fldChar w:fldCharType="separate"/>
        </w:r>
        <w:r>
          <w:t>33</w:t>
        </w:r>
        <w:r>
          <w:fldChar w:fldCharType="end"/>
        </w:r>
      </w:hyperlink>
    </w:p>
    <w:p>
      <w:pPr>
        <w:pStyle w:val="TOC9"/>
        <w:rPr>
          <w:rFonts w:asciiTheme="minorHAnsi" w:hAnsiTheme="minorHAnsi"/>
          <w:noProof/>
          <w:sz w:val="22"/>
        </w:rPr>
      </w:pPr>
      <w:hyperlink w:anchor="_Toc256000021" w:history="1">
        <w:r>
          <w:rPr>
            <w:rStyle w:val="Hyperlink"/>
          </w:rPr>
          <w:t>Table 8.1.3 / 3: Number of subjects in study by visit (safety analysis set)</w:t>
        </w:r>
        <w:r>
          <w:tab/>
        </w:r>
        <w:r>
          <w:fldChar w:fldCharType="begin"/>
        </w:r>
        <w:r>
          <w:instrText xml:space="preserve"> PAGEREF _Toc256000021 \h </w:instrText>
        </w:r>
        <w:r>
          <w:fldChar w:fldCharType="separate"/>
        </w:r>
        <w:r>
          <w:t>34</w:t>
        </w:r>
        <w:r>
          <w:fldChar w:fldCharType="end"/>
        </w:r>
      </w:hyperlink>
    </w:p>
    <w:p>
      <w:pPr>
        <w:pStyle w:val="TOC3"/>
        <w:rPr>
          <w:rFonts w:asciiTheme="minorHAnsi" w:hAnsiTheme="minorHAnsi"/>
          <w:noProof/>
          <w:sz w:val="22"/>
        </w:rPr>
      </w:pPr>
      <w:hyperlink w:anchor="_Toc256000023" w:history="1">
        <w:r>
          <w:rPr>
            <w:rStyle w:val="Hyperlink"/>
          </w:rPr>
          <w:t>8.1.4 Demographics</w:t>
        </w:r>
        <w:r>
          <w:tab/>
        </w:r>
        <w:r>
          <w:fldChar w:fldCharType="begin"/>
        </w:r>
        <w:r>
          <w:instrText xml:space="preserve"> PAGEREF _Toc256000023 \h </w:instrText>
        </w:r>
        <w:r>
          <w:fldChar w:fldCharType="separate"/>
        </w:r>
        <w:r>
          <w:t>35</w:t>
        </w:r>
        <w:r>
          <w:fldChar w:fldCharType="end"/>
        </w:r>
      </w:hyperlink>
    </w:p>
    <w:p>
      <w:pPr>
        <w:pStyle w:val="TOC9"/>
        <w:rPr>
          <w:rFonts w:asciiTheme="minorHAnsi" w:hAnsiTheme="minorHAnsi"/>
          <w:noProof/>
          <w:sz w:val="22"/>
        </w:rPr>
      </w:pPr>
      <w:hyperlink w:anchor="_Toc256000024" w:history="1">
        <w:r>
          <w:rPr>
            <w:rStyle w:val="Hyperlink"/>
          </w:rPr>
          <w:t>Table 8.1.4 / 1: Demographics overall (full analysis set)</w:t>
        </w:r>
        <w:r>
          <w:tab/>
        </w:r>
        <w:r>
          <w:fldChar w:fldCharType="begin"/>
        </w:r>
        <w:r>
          <w:instrText xml:space="preserve"> PAGEREF _Toc256000024 \h </w:instrText>
        </w:r>
        <w:r>
          <w:fldChar w:fldCharType="separate"/>
        </w:r>
        <w:r>
          <w:t>36</w:t>
        </w:r>
        <w:r>
          <w:fldChar w:fldCharType="end"/>
        </w:r>
      </w:hyperlink>
    </w:p>
    <w:p>
      <w:pPr>
        <w:pStyle w:val="TOC9"/>
        <w:rPr>
          <w:rFonts w:asciiTheme="minorHAnsi" w:hAnsiTheme="minorHAnsi"/>
          <w:noProof/>
          <w:sz w:val="22"/>
        </w:rPr>
      </w:pPr>
      <w:hyperlink w:anchor="_Toc256000026" w:history="1">
        <w:r>
          <w:rPr>
            <w:rStyle w:val="Hyperlink"/>
          </w:rPr>
          <w:t>Table 8.1.4 / 2: Demographics overall (safety analysis set)</w:t>
        </w:r>
        <w:r>
          <w:tab/>
        </w:r>
        <w:r>
          <w:fldChar w:fldCharType="begin"/>
        </w:r>
        <w:r>
          <w:instrText xml:space="preserve"> PAGEREF _Toc256000026 \h </w:instrText>
        </w:r>
        <w:r>
          <w:fldChar w:fldCharType="separate"/>
        </w:r>
        <w:r>
          <w:t>38</w:t>
        </w:r>
        <w:r>
          <w:fldChar w:fldCharType="end"/>
        </w:r>
      </w:hyperlink>
    </w:p>
    <w:p>
      <w:pPr>
        <w:pStyle w:val="TOC9"/>
        <w:rPr>
          <w:rFonts w:asciiTheme="minorHAnsi" w:hAnsiTheme="minorHAnsi"/>
          <w:noProof/>
          <w:sz w:val="22"/>
        </w:rPr>
      </w:pPr>
      <w:hyperlink w:anchor="_Toc256000028" w:history="1">
        <w:r>
          <w:rPr>
            <w:rStyle w:val="Hyperlink"/>
          </w:rPr>
          <w:t>Table 8.1.4 / 3: Demographics overall (sleep analysis set)</w:t>
        </w:r>
        <w:r>
          <w:tab/>
        </w:r>
        <w:r>
          <w:fldChar w:fldCharType="begin"/>
        </w:r>
        <w:r>
          <w:instrText xml:space="preserve"> PAGEREF _Toc256000028 \h </w:instrText>
        </w:r>
        <w:r>
          <w:fldChar w:fldCharType="separate"/>
        </w:r>
        <w:r>
          <w:t>40</w:t>
        </w:r>
        <w:r>
          <w:fldChar w:fldCharType="end"/>
        </w:r>
      </w:hyperlink>
    </w:p>
    <w:p>
      <w:pPr>
        <w:pStyle w:val="TOC9"/>
        <w:rPr>
          <w:rFonts w:asciiTheme="minorHAnsi" w:hAnsiTheme="minorHAnsi"/>
          <w:noProof/>
          <w:sz w:val="22"/>
        </w:rPr>
      </w:pPr>
      <w:hyperlink w:anchor="_Toc256000030" w:history="1">
        <w:r>
          <w:rPr>
            <w:rStyle w:val="Hyperlink"/>
          </w:rPr>
          <w:t>Table 8.1.4 / 4: Demographics by region (full analysis set)</w:t>
        </w:r>
        <w:r>
          <w:tab/>
        </w:r>
        <w:r>
          <w:fldChar w:fldCharType="begin"/>
        </w:r>
        <w:r>
          <w:instrText xml:space="preserve"> PAGEREF _Toc256000030 \h </w:instrText>
        </w:r>
        <w:r>
          <w:fldChar w:fldCharType="separate"/>
        </w:r>
        <w:r>
          <w:t>42</w:t>
        </w:r>
        <w:r>
          <w:fldChar w:fldCharType="end"/>
        </w:r>
      </w:hyperlink>
    </w:p>
    <w:p>
      <w:pPr>
        <w:pStyle w:val="TOC9"/>
        <w:rPr>
          <w:rFonts w:asciiTheme="minorHAnsi" w:hAnsiTheme="minorHAnsi"/>
          <w:noProof/>
          <w:sz w:val="22"/>
        </w:rPr>
      </w:pPr>
      <w:hyperlink w:anchor="_Toc256000032" w:history="1">
        <w:r>
          <w:rPr>
            <w:rStyle w:val="Hyperlink"/>
          </w:rPr>
          <w:t>Table 8.1.4 / 5: Demographics by race (full analysis set)</w:t>
        </w:r>
        <w:r>
          <w:tab/>
        </w:r>
        <w:r>
          <w:fldChar w:fldCharType="begin"/>
        </w:r>
        <w:r>
          <w:instrText xml:space="preserve"> PAGEREF _Toc256000032 \h </w:instrText>
        </w:r>
        <w:r>
          <w:fldChar w:fldCharType="separate"/>
        </w:r>
        <w:r>
          <w:t>46</w:t>
        </w:r>
        <w:r>
          <w:fldChar w:fldCharType="end"/>
        </w:r>
      </w:hyperlink>
    </w:p>
    <w:p>
      <w:pPr>
        <w:pStyle w:val="TOC9"/>
        <w:rPr>
          <w:rFonts w:asciiTheme="minorHAnsi" w:hAnsiTheme="minorHAnsi"/>
          <w:noProof/>
          <w:sz w:val="22"/>
        </w:rPr>
      </w:pPr>
      <w:hyperlink w:anchor="_Toc256000034" w:history="1">
        <w:r>
          <w:rPr>
            <w:rStyle w:val="Hyperlink"/>
          </w:rPr>
          <w:t>Table 8.1.4 / 6: Demographics by Ethnicity (full analysis set)</w:t>
        </w:r>
        <w:r>
          <w:tab/>
        </w:r>
        <w:r>
          <w:fldChar w:fldCharType="begin"/>
        </w:r>
        <w:r>
          <w:instrText xml:space="preserve"> PAGEREF _Toc256000034 \h </w:instrText>
        </w:r>
        <w:r>
          <w:fldChar w:fldCharType="separate"/>
        </w:r>
        <w:r>
          <w:t>58</w:t>
        </w:r>
        <w:r>
          <w:fldChar w:fldCharType="end"/>
        </w:r>
      </w:hyperlink>
    </w:p>
    <w:p>
      <w:pPr>
        <w:pStyle w:val="TOC9"/>
        <w:rPr>
          <w:rFonts w:asciiTheme="minorHAnsi" w:hAnsiTheme="minorHAnsi"/>
          <w:noProof/>
          <w:sz w:val="22"/>
        </w:rPr>
      </w:pPr>
      <w:hyperlink w:anchor="_Toc256000036" w:history="1">
        <w:r>
          <w:rPr>
            <w:rStyle w:val="Hyperlink"/>
          </w:rPr>
          <w:t>Table 8.1.4 / 7: Demographics by Smoking History (full analysis set)</w:t>
        </w:r>
        <w:r>
          <w:tab/>
        </w:r>
        <w:r>
          <w:fldChar w:fldCharType="begin"/>
        </w:r>
        <w:r>
          <w:instrText xml:space="preserve"> PAGEREF _Toc256000036 \h </w:instrText>
        </w:r>
        <w:r>
          <w:fldChar w:fldCharType="separate"/>
        </w:r>
        <w:r>
          <w:t>64</w:t>
        </w:r>
        <w:r>
          <w:fldChar w:fldCharType="end"/>
        </w:r>
      </w:hyperlink>
    </w:p>
    <w:p>
      <w:pPr>
        <w:pStyle w:val="TOC9"/>
        <w:rPr>
          <w:rFonts w:asciiTheme="minorHAnsi" w:hAnsiTheme="minorHAnsi"/>
          <w:noProof/>
          <w:sz w:val="22"/>
        </w:rPr>
      </w:pPr>
      <w:hyperlink w:anchor="_Toc256000038" w:history="1">
        <w:r>
          <w:rPr>
            <w:rStyle w:val="Hyperlink"/>
          </w:rPr>
          <w:t>Table 8.1.4 / 8: Demographics by BMI (full analysis set)</w:t>
        </w:r>
        <w:r>
          <w:tab/>
        </w:r>
        <w:r>
          <w:fldChar w:fldCharType="begin"/>
        </w:r>
        <w:r>
          <w:instrText xml:space="preserve"> PAGEREF _Toc256000038 \h </w:instrText>
        </w:r>
        <w:r>
          <w:fldChar w:fldCharType="separate"/>
        </w:r>
        <w:r>
          <w:t>70</w:t>
        </w:r>
        <w:r>
          <w:fldChar w:fldCharType="end"/>
        </w:r>
      </w:hyperlink>
    </w:p>
    <w:p>
      <w:pPr>
        <w:pStyle w:val="TOC3"/>
        <w:rPr>
          <w:rFonts w:asciiTheme="minorHAnsi" w:hAnsiTheme="minorHAnsi"/>
          <w:noProof/>
          <w:sz w:val="22"/>
        </w:rPr>
      </w:pPr>
      <w:hyperlink w:anchor="_Toc256000040" w:history="1">
        <w:r>
          <w:rPr>
            <w:rStyle w:val="Hyperlink"/>
          </w:rPr>
          <w:t>8.1.5 Medical history</w:t>
        </w:r>
        <w:r>
          <w:tab/>
        </w:r>
        <w:r>
          <w:fldChar w:fldCharType="begin"/>
        </w:r>
        <w:r>
          <w:instrText xml:space="preserve"> PAGEREF _Toc256000040 \h </w:instrText>
        </w:r>
        <w:r>
          <w:fldChar w:fldCharType="separate"/>
        </w:r>
        <w:r>
          <w:t>78</w:t>
        </w:r>
        <w:r>
          <w:fldChar w:fldCharType="end"/>
        </w:r>
      </w:hyperlink>
    </w:p>
    <w:p>
      <w:pPr>
        <w:pStyle w:val="TOC9"/>
        <w:rPr>
          <w:rFonts w:asciiTheme="minorHAnsi" w:hAnsiTheme="minorHAnsi"/>
          <w:noProof/>
          <w:sz w:val="22"/>
        </w:rPr>
      </w:pPr>
      <w:hyperlink w:anchor="_Toc256000041" w:history="1">
        <w:r>
          <w:rPr>
            <w:rStyle w:val="Hyperlink"/>
          </w:rPr>
          <w:t>Table 8.1.5 / 1: Medical history: number of subjects with findings by primary system organ class and preferred term (safety analysis set)</w:t>
        </w:r>
        <w:r>
          <w:tab/>
        </w:r>
        <w:r>
          <w:fldChar w:fldCharType="begin"/>
        </w:r>
        <w:r>
          <w:instrText xml:space="preserve"> PAGEREF _Toc256000041 \h </w:instrText>
        </w:r>
        <w:r>
          <w:fldChar w:fldCharType="separate"/>
        </w:r>
        <w:r>
          <w:t>79</w:t>
        </w:r>
        <w:r>
          <w:fldChar w:fldCharType="end"/>
        </w:r>
      </w:hyperlink>
    </w:p>
    <w:p>
      <w:pPr>
        <w:pStyle w:val="TOC9"/>
        <w:rPr>
          <w:rFonts w:asciiTheme="minorHAnsi" w:hAnsiTheme="minorHAnsi"/>
          <w:noProof/>
          <w:sz w:val="22"/>
        </w:rPr>
      </w:pPr>
      <w:hyperlink w:anchor="_Toc256000043" w:history="1">
        <w:r>
          <w:rPr>
            <w:rStyle w:val="Hyperlink"/>
          </w:rPr>
          <w:t>Table 8.1.5 / 2: Reproductive and menstrual history (full analysis set)</w:t>
        </w:r>
        <w:r>
          <w:tab/>
        </w:r>
        <w:r>
          <w:fldChar w:fldCharType="begin"/>
        </w:r>
        <w:r>
          <w:instrText xml:space="preserve"> PAGEREF _Toc256000043 \h </w:instrText>
        </w:r>
        <w:r>
          <w:fldChar w:fldCharType="separate"/>
        </w:r>
        <w:r>
          <w:t>100</w:t>
        </w:r>
        <w:r>
          <w:fldChar w:fldCharType="end"/>
        </w:r>
      </w:hyperlink>
    </w:p>
    <w:p>
      <w:pPr>
        <w:pStyle w:val="TOC9"/>
        <w:rPr>
          <w:rFonts w:asciiTheme="minorHAnsi" w:hAnsiTheme="minorHAnsi"/>
          <w:noProof/>
          <w:sz w:val="22"/>
        </w:rPr>
      </w:pPr>
      <w:hyperlink w:anchor="_Toc256000045" w:history="1">
        <w:r>
          <w:rPr>
            <w:rStyle w:val="Hyperlink"/>
          </w:rPr>
          <w:t>Table 8.1.5 / 3: Reproductive and menstrual history (safety analysis set)</w:t>
        </w:r>
        <w:r>
          <w:tab/>
        </w:r>
        <w:r>
          <w:fldChar w:fldCharType="begin"/>
        </w:r>
        <w:r>
          <w:instrText xml:space="preserve"> PAGEREF _Toc256000045 \h </w:instrText>
        </w:r>
        <w:r>
          <w:fldChar w:fldCharType="separate"/>
        </w:r>
        <w:r>
          <w:t>102</w:t>
        </w:r>
        <w:r>
          <w:fldChar w:fldCharType="end"/>
        </w:r>
      </w:hyperlink>
    </w:p>
    <w:p>
      <w:pPr>
        <w:pStyle w:val="TOC9"/>
        <w:rPr>
          <w:rFonts w:asciiTheme="minorHAnsi" w:hAnsiTheme="minorHAnsi"/>
          <w:noProof/>
          <w:sz w:val="22"/>
        </w:rPr>
      </w:pPr>
      <w:hyperlink w:anchor="_Toc256000047" w:history="1">
        <w:r>
          <w:rPr>
            <w:rStyle w:val="Hyperlink"/>
          </w:rPr>
          <w:t>Table 8.1.5 / 4: Reproductive and menstrual history (sleep analysis set)</w:t>
        </w:r>
        <w:r>
          <w:tab/>
        </w:r>
        <w:r>
          <w:fldChar w:fldCharType="begin"/>
        </w:r>
        <w:r>
          <w:instrText xml:space="preserve"> PAGEREF _Toc256000047 \h </w:instrText>
        </w:r>
        <w:r>
          <w:fldChar w:fldCharType="separate"/>
        </w:r>
        <w:r>
          <w:t>104</w:t>
        </w:r>
        <w:r>
          <w:fldChar w:fldCharType="end"/>
        </w:r>
      </w:hyperlink>
    </w:p>
    <w:p>
      <w:pPr>
        <w:pStyle w:val="TOC3"/>
        <w:rPr>
          <w:rFonts w:asciiTheme="minorHAnsi" w:hAnsiTheme="minorHAnsi"/>
          <w:noProof/>
          <w:sz w:val="22"/>
        </w:rPr>
      </w:pPr>
      <w:hyperlink w:anchor="_Toc256000049" w:history="1">
        <w:r>
          <w:rPr>
            <w:rStyle w:val="Hyperlink"/>
          </w:rPr>
          <w:t>8.1.6 Prior and concomitant medication</w:t>
        </w:r>
        <w:r>
          <w:tab/>
        </w:r>
        <w:r>
          <w:fldChar w:fldCharType="begin"/>
        </w:r>
        <w:r>
          <w:instrText xml:space="preserve"> PAGEREF _Toc256000049 \h </w:instrText>
        </w:r>
        <w:r>
          <w:fldChar w:fldCharType="separate"/>
        </w:r>
        <w:r>
          <w:t>106</w:t>
        </w:r>
        <w:r>
          <w:fldChar w:fldCharType="end"/>
        </w:r>
      </w:hyperlink>
    </w:p>
    <w:p>
      <w:pPr>
        <w:pStyle w:val="TOC9"/>
        <w:rPr>
          <w:rFonts w:asciiTheme="minorHAnsi" w:hAnsiTheme="minorHAnsi"/>
          <w:noProof/>
          <w:sz w:val="22"/>
        </w:rPr>
      </w:pPr>
      <w:hyperlink w:anchor="_Toc256000050" w:history="1">
        <w:r>
          <w:rPr>
            <w:rStyle w:val="Hyperlink"/>
          </w:rPr>
          <w:t>Table 8.1.6 / 1: Prior medication: number of subjects (safety analysis set)</w:t>
        </w:r>
        <w:r>
          <w:tab/>
        </w:r>
        <w:r>
          <w:fldChar w:fldCharType="begin"/>
        </w:r>
        <w:r>
          <w:instrText xml:space="preserve"> PAGEREF _Toc256000050 \h </w:instrText>
        </w:r>
        <w:r>
          <w:fldChar w:fldCharType="separate"/>
        </w:r>
        <w:r>
          <w:t>107</w:t>
        </w:r>
        <w:r>
          <w:fldChar w:fldCharType="end"/>
        </w:r>
      </w:hyperlink>
    </w:p>
    <w:p>
      <w:pPr>
        <w:pStyle w:val="TOC9"/>
        <w:rPr>
          <w:rFonts w:asciiTheme="minorHAnsi" w:hAnsiTheme="minorHAnsi"/>
          <w:noProof/>
          <w:sz w:val="22"/>
        </w:rPr>
      </w:pPr>
      <w:hyperlink w:anchor="_Toc256000052" w:history="1">
        <w:r>
          <w:rPr>
            <w:rStyle w:val="Hyperlink"/>
          </w:rPr>
          <w:t>Table 8.1.6 / 2: Concomitant medication: number of subjects (safety analysis set)</w:t>
        </w:r>
        <w:r>
          <w:tab/>
        </w:r>
        <w:r>
          <w:fldChar w:fldCharType="begin"/>
        </w:r>
        <w:r>
          <w:instrText xml:space="preserve"> PAGEREF _Toc256000052 \h </w:instrText>
        </w:r>
        <w:r>
          <w:fldChar w:fldCharType="separate"/>
        </w:r>
        <w:r>
          <w:t>111</w:t>
        </w:r>
        <w:r>
          <w:fldChar w:fldCharType="end"/>
        </w:r>
      </w:hyperlink>
    </w:p>
    <w:p>
      <w:pPr>
        <w:pStyle w:val="TOC9"/>
        <w:rPr>
          <w:rFonts w:asciiTheme="minorHAnsi" w:hAnsiTheme="minorHAnsi"/>
          <w:noProof/>
          <w:sz w:val="22"/>
        </w:rPr>
      </w:pPr>
      <w:hyperlink w:anchor="_Toc256000054" w:history="1">
        <w:r>
          <w:rPr>
            <w:rStyle w:val="Hyperlink"/>
          </w:rPr>
          <w:t>Table 8.1.6 / 3: Post-treatment medication: number of subjects (safety analysis set)</w:t>
        </w:r>
        <w:r>
          <w:tab/>
        </w:r>
        <w:r>
          <w:fldChar w:fldCharType="begin"/>
        </w:r>
        <w:r>
          <w:instrText xml:space="preserve"> PAGEREF _Toc256000054 \h </w:instrText>
        </w:r>
        <w:r>
          <w:fldChar w:fldCharType="separate"/>
        </w:r>
        <w:r>
          <w:t>115</w:t>
        </w:r>
        <w:r>
          <w:fldChar w:fldCharType="end"/>
        </w:r>
      </w:hyperlink>
    </w:p>
    <w:p>
      <w:pPr>
        <w:pStyle w:val="TOC3"/>
        <w:rPr>
          <w:rFonts w:asciiTheme="minorHAnsi" w:hAnsiTheme="minorHAnsi"/>
          <w:noProof/>
          <w:sz w:val="22"/>
        </w:rPr>
      </w:pPr>
      <w:hyperlink w:anchor="_Toc256000056" w:history="1">
        <w:r>
          <w:rPr>
            <w:rStyle w:val="Hyperlink"/>
          </w:rPr>
          <w:t>8.1.7 Intercurrent events</w:t>
        </w:r>
        <w:r>
          <w:tab/>
        </w:r>
        <w:r>
          <w:fldChar w:fldCharType="begin"/>
        </w:r>
        <w:r>
          <w:instrText xml:space="preserve"> PAGEREF _Toc256000056 \h </w:instrText>
        </w:r>
        <w:r>
          <w:fldChar w:fldCharType="separate"/>
        </w:r>
        <w:r>
          <w:t>118</w:t>
        </w:r>
        <w:r>
          <w:fldChar w:fldCharType="end"/>
        </w:r>
      </w:hyperlink>
    </w:p>
    <w:p>
      <w:pPr>
        <w:pStyle w:val="TOC9"/>
        <w:rPr>
          <w:rFonts w:asciiTheme="minorHAnsi" w:hAnsiTheme="minorHAnsi"/>
          <w:noProof/>
          <w:sz w:val="22"/>
        </w:rPr>
      </w:pPr>
      <w:hyperlink w:anchor="_Toc256000057" w:history="1">
        <w:r>
          <w:rPr>
            <w:rStyle w:val="Hyperlink"/>
          </w:rPr>
          <w:t>Table 8.1.7 / 1: Intercurrent events - Permanent discontinuation of randomized treatment up to Week 12: number of subjects by reason (full analysis set)</w:t>
        </w:r>
        <w:r>
          <w:tab/>
        </w:r>
        <w:r>
          <w:fldChar w:fldCharType="begin"/>
        </w:r>
        <w:r>
          <w:instrText xml:space="preserve"> PAGEREF _Toc256000057 \h </w:instrText>
        </w:r>
        <w:r>
          <w:fldChar w:fldCharType="separate"/>
        </w:r>
        <w:r>
          <w:t>119</w:t>
        </w:r>
        <w:r>
          <w:fldChar w:fldCharType="end"/>
        </w:r>
      </w:hyperlink>
    </w:p>
    <w:p>
      <w:pPr>
        <w:pStyle w:val="TOC9"/>
        <w:rPr>
          <w:rFonts w:asciiTheme="minorHAnsi" w:hAnsiTheme="minorHAnsi"/>
          <w:noProof/>
          <w:sz w:val="22"/>
        </w:rPr>
      </w:pPr>
      <w:hyperlink w:anchor="_Toc256000059" w:history="1">
        <w:r>
          <w:rPr>
            <w:rStyle w:val="Hyperlink"/>
          </w:rPr>
          <w:t>Table 8.1.7 / 2: Intercurrent events - Temporary treatment interruption up to Week 12: number of subjects by reason (full analysis set)</w:t>
        </w:r>
        <w:r>
          <w:tab/>
        </w:r>
        <w:r>
          <w:fldChar w:fldCharType="begin"/>
        </w:r>
        <w:r>
          <w:instrText xml:space="preserve"> PAGEREF _Toc256000059 \h </w:instrText>
        </w:r>
        <w:r>
          <w:fldChar w:fldCharType="separate"/>
        </w:r>
        <w:r>
          <w:t>121</w:t>
        </w:r>
        <w:r>
          <w:fldChar w:fldCharType="end"/>
        </w:r>
      </w:hyperlink>
    </w:p>
    <w:p>
      <w:pPr>
        <w:pStyle w:val="TOC9"/>
        <w:rPr>
          <w:rFonts w:asciiTheme="minorHAnsi" w:hAnsiTheme="minorHAnsi"/>
          <w:noProof/>
          <w:sz w:val="22"/>
        </w:rPr>
      </w:pPr>
      <w:hyperlink w:anchor="_Toc256000061" w:history="1">
        <w:r>
          <w:rPr>
            <w:rStyle w:val="Hyperlink"/>
          </w:rPr>
          <w:t>Table 8.1.7 / 3: Intercurrent events - Intake of prohibited concomitant medication having impact on efficacy up to Week 12: number of subjects (full analysis set)</w:t>
        </w:r>
        <w:r>
          <w:tab/>
        </w:r>
        <w:r>
          <w:fldChar w:fldCharType="begin"/>
        </w:r>
        <w:r>
          <w:instrText xml:space="preserve"> PAGEREF _Toc256000061 \h </w:instrText>
        </w:r>
        <w:r>
          <w:fldChar w:fldCharType="separate"/>
        </w:r>
        <w:r>
          <w:t>122</w:t>
        </w:r>
        <w:r>
          <w:fldChar w:fldCharType="end"/>
        </w:r>
      </w:hyperlink>
    </w:p>
    <w:p>
      <w:pPr>
        <w:pStyle w:val="TOC9"/>
        <w:rPr>
          <w:rFonts w:asciiTheme="minorHAnsi" w:hAnsiTheme="minorHAnsi"/>
          <w:noProof/>
          <w:sz w:val="22"/>
        </w:rPr>
      </w:pPr>
      <w:hyperlink w:anchor="_Toc256000063" w:history="1">
        <w:r>
          <w:rPr>
            <w:rStyle w:val="Hyperlink"/>
          </w:rPr>
          <w:t>Table 8.1.7 / 4: Non-compliance related to temporary treatment interruption (estimand definition) up to Week 12 (full analysis set)</w:t>
        </w:r>
        <w:r>
          <w:tab/>
        </w:r>
        <w:r>
          <w:fldChar w:fldCharType="begin"/>
        </w:r>
        <w:r>
          <w:instrText xml:space="preserve"> PAGEREF _Toc256000063 \h </w:instrText>
        </w:r>
        <w:r>
          <w:fldChar w:fldCharType="separate"/>
        </w:r>
        <w:r>
          <w:t>123</w:t>
        </w:r>
        <w:r>
          <w:fldChar w:fldCharType="end"/>
        </w:r>
      </w:hyperlink>
    </w:p>
    <w:p>
      <w:pPr>
        <w:pStyle w:val="TOC9"/>
        <w:rPr>
          <w:rFonts w:asciiTheme="minorHAnsi" w:hAnsiTheme="minorHAnsi"/>
          <w:noProof/>
          <w:sz w:val="22"/>
        </w:rPr>
      </w:pPr>
      <w:hyperlink w:anchor="_Toc256000065" w:history="1">
        <w:r>
          <w:rPr>
            <w:rStyle w:val="Hyperlink"/>
          </w:rPr>
          <w:t>Table 8.1.7 / 5: Time from randomization to permanent discontinuation of randomized treatment up to Week 12: Descriptive statistics (full analysis set)</w:t>
        </w:r>
        <w:r>
          <w:tab/>
        </w:r>
        <w:r>
          <w:fldChar w:fldCharType="begin"/>
        </w:r>
        <w:r>
          <w:instrText xml:space="preserve"> PAGEREF _Toc256000065 \h </w:instrText>
        </w:r>
        <w:r>
          <w:fldChar w:fldCharType="separate"/>
        </w:r>
        <w:r>
          <w:t>124</w:t>
        </w:r>
        <w:r>
          <w:fldChar w:fldCharType="end"/>
        </w:r>
      </w:hyperlink>
    </w:p>
    <w:p>
      <w:pPr>
        <w:pStyle w:val="TOC9"/>
        <w:rPr>
          <w:rFonts w:asciiTheme="minorHAnsi" w:hAnsiTheme="minorHAnsi"/>
          <w:noProof/>
          <w:sz w:val="22"/>
        </w:rPr>
      </w:pPr>
      <w:hyperlink w:anchor="_Toc256000067" w:history="1">
        <w:r>
          <w:rPr>
            <w:rStyle w:val="Hyperlink"/>
          </w:rPr>
          <w:t>Figure 8.1.7 / 1: Kaplan-Meier-Plot of the time from randomization to permanent discontinuation of randomized treatment up to Week 12 (full analysis set)</w:t>
        </w:r>
        <w:r>
          <w:tab/>
        </w:r>
        <w:r>
          <w:fldChar w:fldCharType="begin"/>
        </w:r>
        <w:r>
          <w:instrText xml:space="preserve"> PAGEREF _Toc256000067 \h </w:instrText>
        </w:r>
        <w:r>
          <w:fldChar w:fldCharType="separate"/>
        </w:r>
        <w:r>
          <w:t>125</w:t>
        </w:r>
        <w:r>
          <w:fldChar w:fldCharType="end"/>
        </w:r>
      </w:hyperlink>
    </w:p>
    <w:p>
      <w:pPr>
        <w:pStyle w:val="TOC9"/>
        <w:rPr>
          <w:rFonts w:asciiTheme="minorHAnsi" w:hAnsiTheme="minorHAnsi"/>
          <w:noProof/>
          <w:sz w:val="22"/>
        </w:rPr>
      </w:pPr>
      <w:hyperlink w:anchor="_Toc256000068" w:history="1">
        <w:r>
          <w:rPr>
            <w:rStyle w:val="Hyperlink"/>
          </w:rPr>
          <w:t>Table 8.1.7 / 6: Time from randomization to first intake of prohibited concomitant medication having impact on efficacy up to Week 12: Descriptive statistics (full analysis set)</w:t>
        </w:r>
        <w:r>
          <w:tab/>
        </w:r>
        <w:r>
          <w:fldChar w:fldCharType="begin"/>
        </w:r>
        <w:r>
          <w:instrText xml:space="preserve"> PAGEREF _Toc256000068 \h </w:instrText>
        </w:r>
        <w:r>
          <w:fldChar w:fldCharType="separate"/>
        </w:r>
        <w:r>
          <w:t>126</w:t>
        </w:r>
        <w:r>
          <w:fldChar w:fldCharType="end"/>
        </w:r>
      </w:hyperlink>
    </w:p>
    <w:p>
      <w:pPr>
        <w:pStyle w:val="TOC9"/>
        <w:rPr>
          <w:rFonts w:asciiTheme="minorHAnsi" w:hAnsiTheme="minorHAnsi"/>
          <w:noProof/>
          <w:sz w:val="22"/>
        </w:rPr>
      </w:pPr>
      <w:hyperlink w:anchor="_Toc256000070" w:history="1">
        <w:r>
          <w:rPr>
            <w:rStyle w:val="Hyperlink"/>
          </w:rPr>
          <w:t>Figure 8.1.7 / 2: Kaplan-Meier-Plot of the time from randomization to first intake of prohibited concomitant medication having impact on efficacy up to Week 12 (full analysis set)</w:t>
        </w:r>
        <w:r>
          <w:tab/>
        </w:r>
        <w:r>
          <w:fldChar w:fldCharType="begin"/>
        </w:r>
        <w:r>
          <w:instrText xml:space="preserve"> PAGEREF _Toc256000070 \h </w:instrText>
        </w:r>
        <w:r>
          <w:fldChar w:fldCharType="separate"/>
        </w:r>
        <w:r>
          <w:t>127</w:t>
        </w:r>
        <w:r>
          <w:fldChar w:fldCharType="end"/>
        </w:r>
      </w:hyperlink>
    </w:p>
    <w:p w:rsidR="00572B9E" w:rsidRPr="0063016D" w:rsidP="00572B9E">
      <w:pPr>
        <w:pStyle w:val="BayerBodyTextFull"/>
        <w:rPr>
          <w:b/>
          <w:bCs/>
          <w:noProof/>
          <w:lang w:val="de-DE"/>
        </w:rPr>
        <w:sectPr w:rsidSect="002E0C06">
          <w:headerReference w:type="default" r:id="rId12"/>
          <w:headerReference w:type="first" r:id="rId13"/>
          <w:endnotePr>
            <w:numFmt w:val="decimal"/>
          </w:endnotePr>
          <w:pgSz w:w="11907" w:h="16840" w:code="9"/>
          <w:pgMar w:top="1418" w:right="1418" w:bottom="1418" w:left="1418" w:header="720" w:footer="57" w:gutter="0"/>
          <w:cols w:space="720"/>
          <w:formProt w:val="0"/>
          <w:titlePg/>
          <w:docGrid w:linePitch="326"/>
        </w:sectPr>
      </w:pPr>
      <w:r w:rsidRPr="00B61F8E">
        <w:rPr>
          <w:b/>
          <w:bCs/>
          <w:noProof/>
          <w:lang w:val="de-DE"/>
        </w:rPr>
        <w:fldChar w:fldCharType="end"/>
      </w:r>
    </w:p>
    <w:p>
      <w:pPr>
        <w:pStyle w:val="Heading1"/>
        <w:pageBreakBefore w:val="0"/>
        <w:spacing w:before="240" w:after="120" w:line="240" w:lineRule="auto"/>
        <w:sectPr w:rsidSect="00650FC8">
          <w:headerReference w:type="default" r:id="rId14"/>
          <w:pgSz w:w="16839" w:h="11907" w:orient="landscape" w:code="9"/>
          <w:pgMar w:top="1418" w:right="1418" w:bottom="1418" w:left="1418" w:header="720" w:footer="57" w:gutter="0"/>
          <w:cols w:space="720"/>
          <w:docGrid w:linePitch="326"/>
        </w:sectPr>
      </w:pPr>
      <w:bookmarkStart w:id="8" w:name="_Toc256000000"/>
      <w:r>
        <w:t>8. Tables and figures referred to but not included in the text</w:t>
      </w:r>
      <w:bookmarkEnd w:id="8"/>
    </w:p>
    <w:p>
      <w:pPr>
        <w:pStyle w:val="Heading2"/>
        <w:pageBreakBefore w:val="0"/>
        <w:spacing w:before="240" w:after="120" w:line="240" w:lineRule="auto"/>
        <w:sectPr w:rsidSect="00650FC8">
          <w:headerReference w:type="default" r:id="rId15"/>
          <w:type w:val="nextPage"/>
          <w:pgSz w:w="16839" w:h="11907" w:orient="landscape" w:code="9"/>
          <w:pgMar w:top="1418" w:right="1418" w:bottom="1418" w:left="1418" w:header="720" w:footer="57" w:gutter="0"/>
          <w:cols w:space="720"/>
          <w:vAlign w:val="center"/>
          <w:docGrid w:linePitch="326"/>
        </w:sectPr>
      </w:pPr>
      <w:bookmarkStart w:id="9" w:name="_Toc256000001"/>
      <w:r>
        <w:t>8.1 Demographics</w:t>
      </w:r>
      <w:bookmarkEnd w:id="9"/>
    </w:p>
    <w:p>
      <w:pPr>
        <w:pStyle w:val="Heading3"/>
        <w:pageBreakBefore w:val="0"/>
        <w:spacing w:before="120" w:after="0" w:line="240" w:lineRule="auto"/>
      </w:pPr>
      <w:bookmarkStart w:id="10" w:name="_Toc256000002"/>
      <w:r>
        <w:t>8.1.1 Study periods and sample sizes</w:t>
      </w:r>
      <w:bookmarkEnd w:id="10"/>
    </w:p>
    <w:tbl>
      <w:tblPr>
        <w:tblStyle w:val="TableNormal"/>
        <w:jc w:val="left"/>
        <w:tblInd w:w="80" w:type="dxa"/>
        <w:tblLayout w:type="fixed"/>
        <w:tblCellMar>
          <w:top w:w="0" w:type="dxa"/>
          <w:left w:w="0" w:type="dxa"/>
          <w:bottom w:w="0" w:type="dxa"/>
          <w:right w:w="0" w:type="dxa"/>
        </w:tblCellMar>
      </w:tblPr>
      <w:tblGrid>
        <w:gridCol w:w="800"/>
        <w:gridCol w:w="1545"/>
        <w:gridCol w:w="1325"/>
        <w:gridCol w:w="925"/>
        <w:gridCol w:w="2105"/>
        <w:gridCol w:w="1105"/>
        <w:gridCol w:w="1105"/>
        <w:gridCol w:w="1245"/>
        <w:gridCol w:w="1205"/>
      </w:tblGrid>
      <w:tr>
        <w:tblPrEx>
          <w:jc w:val="left"/>
          <w:tblInd w:w="80" w:type="dxa"/>
          <w:tblLayout w:type="fixed"/>
          <w:tblCellMar>
            <w:top w:w="0" w:type="dxa"/>
            <w:left w:w="0" w:type="dxa"/>
            <w:bottom w:w="0" w:type="dxa"/>
            <w:right w:w="0" w:type="dxa"/>
          </w:tblCellMar>
        </w:tblPrEx>
        <w:trPr>
          <w:cantSplit/>
          <w:tblHeader/>
          <w:jc w:val="left"/>
        </w:trPr>
        <w:tc>
          <w:tcPr>
            <w:tcW w:w="11360" w:type="dxa"/>
            <w:gridSpan w:val="9"/>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1" w:name="_Toc256000003"/>
            <w:r>
              <w:t>Table 8.1.1 / 1: Study sample sizes by trial unit (all enrolled subjects)</w:t>
            </w:r>
            <w:bookmarkEnd w:id="11"/>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6700" w:type="dxa"/>
            <w:gridSpan w:val="5"/>
            <w:tcMar>
              <w:left w:w="80" w:type="dxa"/>
              <w:right w:w="80" w:type="dxa"/>
            </w:tcMar>
            <w:textDirection w:val="lrTb"/>
            <w:vAlign w:val="bottom"/>
          </w:tcPr>
          <w:p>
            <w:pPr>
              <w:pStyle w:val="Smalltext80"/>
              <w:keepNext/>
              <w:jc w:val="center"/>
              <w:rPr>
                <w:rFonts w:ascii="Times" w:hAnsi="Times" w:cs="Times"/>
              </w:rPr>
            </w:pPr>
          </w:p>
        </w:tc>
        <w:tc>
          <w:tcPr>
            <w:tcW w:w="4660" w:type="dxa"/>
            <w:gridSpan w:val="4"/>
            <w:tcMar>
              <w:left w:w="80" w:type="dxa"/>
              <w:right w:w="80" w:type="dxa"/>
            </w:tcMar>
            <w:textDirection w:val="lrTb"/>
            <w:vAlign w:val="bottom"/>
          </w:tcPr>
          <w:p>
            <w:pPr>
              <w:pStyle w:val="Smalltext80"/>
              <w:keepNext/>
              <w:pBdr>
                <w:bottom w:val="single" w:sz="2" w:space="0" w:color="auto"/>
              </w:pBdr>
              <w:jc w:val="center"/>
              <w:rPr>
                <w:rFonts w:ascii="Times" w:hAnsi="Times" w:cs="Times"/>
              </w:rPr>
            </w:pPr>
            <w:r>
              <w:rPr>
                <w:rFonts w:ascii="Times" w:hAnsi="Times" w:cs="Times"/>
              </w:rPr>
              <w:t xml:space="preserve">Number of Subjects </w:t>
            </w:r>
          </w:p>
        </w:tc>
      </w:tr>
      <w:tr>
        <w:tblPrEx>
          <w:jc w:val="left"/>
          <w:tblInd w:w="80" w:type="dxa"/>
          <w:tblLayout w:type="fixed"/>
          <w:tblCellMar>
            <w:top w:w="0" w:type="dxa"/>
            <w:left w:w="0" w:type="dxa"/>
            <w:bottom w:w="0" w:type="dxa"/>
            <w:right w:w="0" w:type="dxa"/>
          </w:tblCellMar>
        </w:tblPrEx>
        <w:trPr>
          <w:cantSplit/>
          <w:tblHeader/>
          <w:jc w:val="left"/>
        </w:trPr>
        <w:tc>
          <w:tcPr>
            <w:tcW w:w="8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Trial Unit</w:t>
            </w:r>
          </w:p>
        </w:tc>
        <w:tc>
          <w:tcPr>
            <w:tcW w:w="15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Date of First Consent</w:t>
            </w:r>
          </w:p>
        </w:tc>
        <w:tc>
          <w:tcPr>
            <w:tcW w:w="13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Date of Last Visit</w:t>
            </w:r>
          </w:p>
        </w:tc>
        <w:tc>
          <w:tcPr>
            <w:tcW w:w="9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Subjects Enrolled</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Planned Treatment Group</w:t>
            </w: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Randomized</w:t>
            </w: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Valid for Full Analysis Set</w:t>
            </w:r>
          </w:p>
        </w:tc>
        <w:tc>
          <w:tcPr>
            <w:tcW w:w="12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Valid for Safety Analysis Set</w:t>
            </w:r>
          </w:p>
        </w:tc>
        <w:tc>
          <w:tcPr>
            <w:tcW w:w="12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Valid for Sleep Analysis Set</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Total</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27AUG2021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1535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393  (  99.2%)</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70  (  17.7%)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35  (  17.6%)</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197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197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195  (  99.0%)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35  (  17.8%)</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14001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05JAN2023</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06JUN2023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04JAN2022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25OCT2023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14005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01FEB2022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10AUG2023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14006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27AUG2021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27SEP2023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14009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02DEC2021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14NOV2023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14016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14JAN2022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04NOV2022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14017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29SEP2021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26OCT2022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14018</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16NOV2021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14019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16SEP2021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05SEP2023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40.0%)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14020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09NOV2021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04OCT2022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14025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01DEC2021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26APR2023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14030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08FEB2022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06NOV2023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14036</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29NOV2021</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26JAN2022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14037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27APR2022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24OCT2023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12  (  60.0%)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9  (  90.0%)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70.0%)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14040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05OCT2021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10OCT2023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14043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02FEB2022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22JUN2023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14046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27AUG2021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21MAR2023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14047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27OCT2021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05SEP2023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33.3%)</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33.3%)</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14049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24FEB2022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09NOV2023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14051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18NOV2021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16OCT2023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14053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15MAR2022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08JUN2023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14054</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25OCT2021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20NOV2023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85.7%)</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80.0%)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14058</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02NOV2021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28MAR2023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14060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27DEC2022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14NOV2023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14072</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15OCT2021</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15OCT2021</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14084</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12NOV2021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01NOV2023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14085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12DEC2022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09OCT2023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14087</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08NOV2021</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11APR2022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14091</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04MAR2022</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14OCT2022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4</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14093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02FEB2022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05OCT2023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14098</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28DEC2021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25AUG2023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14099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16NOV2021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03OCT2023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14105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27OCT2021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04OCT2023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47.1%)</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14106</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29APR2022</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21OCT2022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14110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02NOV2022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14113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22NOV2021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04OCT2023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14114</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27AUG2021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11OCT2023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14119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31JAN2022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09SEP2023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57.1%)</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60.0%)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14125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13SEP2021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19OCT2023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14133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09SEP2022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11JUL2023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14136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16DEC2021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14SEP2023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38.5%)</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37.5%)</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14143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21FEB2022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13SEP2023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88.9%)</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75.0%)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14179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19DEC2022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20NOV2023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14180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06OCT2022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25SEP2023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14188</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20DEC2022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02OCT2023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14189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06SEP2022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14190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31AUG2022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10NOV2023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14193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19SEP2022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14195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10NOV2022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22NOV2023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14197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19OCT2022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13JUL2023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14202</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01MAR2023</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20APR2023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14203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24FEB2023</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16NOV2023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14204</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01FEB2023</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01MAY2023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14206</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01MAR2023</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01MAR2023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14211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14FEB2023</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20NOV2023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24FEB2022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21SEP2023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22002</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06JUL2022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19JAN2023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28MAR2022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26OCT2023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22004</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17OCT2022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25OCT2023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25MAR2022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16NOV2023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22007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14NOV2022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02NOV2023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30001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23AUG2022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23OCT2023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30002</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23MAY2022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31MAY2023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30003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18MAY2022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20JUN2023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28FEB2022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07NOV2023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38002</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06JAN2022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11OCT2022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21DEC2021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21JUN2023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27DEC2021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19SEP2023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17FEB2022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06NOV2023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38009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06JAN2022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02NOV2023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38010</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15FEB2022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02NOV2023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38011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31MAR2022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03OCT2023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39001</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17MAR2022</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04APR2023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39003</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02MAR2023</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16APR2023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39007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11JUL2022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24APR2023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39008</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08FEB2023</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11SEP2023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44001</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21DEC2021</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30OCT2023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66.7%)</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60.0%)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44002</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01FEB2022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11SEP2023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44003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01MAR2022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12SEP2023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44005</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01FEB2022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18AUG2023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46002</w:t>
            </w:r>
          </w:p>
        </w:tc>
        <w:tc>
          <w:tcPr>
            <w:tcW w:w="154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04APR2022</w:t>
            </w:r>
          </w:p>
        </w:tc>
        <w:tc>
          <w:tcPr>
            <w:tcW w:w="13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20JUN2022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46003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07JUN2022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14SEP2023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46006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14JUL2022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27OCT2023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46007</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08APR2022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19OCT2023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46009</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13JUL2022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09NOV2023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right"/>
              <w:rPr>
                <w:rFonts w:ascii="Times" w:hAnsi="Times" w:cs="Times"/>
              </w:rPr>
            </w:pPr>
          </w:p>
        </w:tc>
        <w:tc>
          <w:tcPr>
            <w:tcW w:w="1325" w:type="dxa"/>
            <w:tcMar>
              <w:left w:w="80" w:type="dxa"/>
              <w:right w:w="80" w:type="dxa"/>
            </w:tcMar>
            <w:textDirection w:val="lrTb"/>
            <w:vAlign w:val="top"/>
          </w:tcPr>
          <w:p>
            <w:pPr>
              <w:pStyle w:val="Smalltext80"/>
              <w:jc w:val="righ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49002</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04MAY2022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06OCT2023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49003</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13MAY2022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13SEP2023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49006</w:t>
            </w:r>
          </w:p>
        </w:tc>
        <w:tc>
          <w:tcPr>
            <w:tcW w:w="1545" w:type="dxa"/>
            <w:tcMar>
              <w:left w:w="80" w:type="dxa"/>
              <w:right w:w="80" w:type="dxa"/>
            </w:tcMar>
            <w:textDirection w:val="lrTb"/>
            <w:vAlign w:val="top"/>
          </w:tcPr>
          <w:p>
            <w:pPr>
              <w:pStyle w:val="Smalltext80"/>
              <w:jc w:val="right"/>
              <w:rPr>
                <w:rFonts w:ascii="Times" w:hAnsi="Times" w:cs="Times"/>
              </w:rPr>
            </w:pPr>
            <w:r>
              <w:rPr>
                <w:rFonts w:ascii="Times" w:hAnsi="Times" w:cs="Times"/>
              </w:rPr>
              <w:t>05APR2022</w:t>
            </w:r>
          </w:p>
        </w:tc>
        <w:tc>
          <w:tcPr>
            <w:tcW w:w="1325" w:type="dxa"/>
            <w:tcMar>
              <w:left w:w="80" w:type="dxa"/>
              <w:right w:w="80" w:type="dxa"/>
            </w:tcMar>
            <w:textDirection w:val="lrTb"/>
            <w:vAlign w:val="top"/>
          </w:tcPr>
          <w:p>
            <w:pPr>
              <w:pStyle w:val="Smalltext80"/>
              <w:jc w:val="right"/>
              <w:rPr>
                <w:rFonts w:ascii="Times" w:hAnsi="Times" w:cs="Times"/>
              </w:rPr>
            </w:pPr>
            <w:r>
              <w:rPr>
                <w:rFonts w:ascii="Times" w:hAnsi="Times" w:cs="Times"/>
              </w:rPr>
              <w:t>04OCT2023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right"/>
              <w:rPr>
                <w:rFonts w:ascii="Times" w:hAnsi="Times" w:cs="Times"/>
              </w:rPr>
            </w:pPr>
          </w:p>
        </w:tc>
        <w:tc>
          <w:tcPr>
            <w:tcW w:w="1325" w:type="dxa"/>
            <w:tcMar>
              <w:left w:w="80" w:type="dxa"/>
              <w:right w:w="80" w:type="dxa"/>
            </w:tcMar>
            <w:textDirection w:val="lrTb"/>
            <w:vAlign w:val="top"/>
          </w:tcPr>
          <w:p>
            <w:pPr>
              <w:pStyle w:val="Smalltext80"/>
              <w:spacing w:after="240"/>
              <w:jc w:val="righ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49007</w:t>
            </w:r>
          </w:p>
        </w:tc>
        <w:tc>
          <w:tcPr>
            <w:tcW w:w="1545" w:type="dxa"/>
            <w:tcMar>
              <w:left w:w="80" w:type="dxa"/>
              <w:right w:w="80" w:type="dxa"/>
            </w:tcMar>
            <w:textDirection w:val="lrTb"/>
            <w:vAlign w:val="top"/>
          </w:tcPr>
          <w:p>
            <w:pPr>
              <w:pStyle w:val="Smalltext80"/>
              <w:keepNext/>
              <w:jc w:val="right"/>
              <w:rPr>
                <w:rFonts w:ascii="Times" w:hAnsi="Times" w:cs="Times"/>
              </w:rPr>
            </w:pPr>
            <w:r>
              <w:rPr>
                <w:rFonts w:ascii="Times" w:hAnsi="Times" w:cs="Times"/>
              </w:rPr>
              <w:t>29APR2022</w:t>
            </w:r>
          </w:p>
        </w:tc>
        <w:tc>
          <w:tcPr>
            <w:tcW w:w="1325" w:type="dxa"/>
            <w:tcMar>
              <w:left w:w="80" w:type="dxa"/>
              <w:right w:w="80" w:type="dxa"/>
            </w:tcMar>
            <w:textDirection w:val="lrTb"/>
            <w:vAlign w:val="top"/>
          </w:tcPr>
          <w:p>
            <w:pPr>
              <w:pStyle w:val="Smalltext80"/>
              <w:keepNext/>
              <w:jc w:val="right"/>
              <w:rPr>
                <w:rFonts w:ascii="Times" w:hAnsi="Times" w:cs="Times"/>
              </w:rPr>
            </w:pPr>
            <w:r>
              <w:rPr>
                <w:rFonts w:ascii="Times" w:hAnsi="Times" w:cs="Times"/>
              </w:rPr>
              <w:t>08NOV2022</w:t>
            </w:r>
          </w:p>
        </w:tc>
        <w:tc>
          <w:tcPr>
            <w:tcW w:w="925" w:type="dxa"/>
            <w:tcMar>
              <w:left w:w="80" w:type="dxa"/>
              <w:right w:w="80" w:type="dxa"/>
            </w:tcMar>
            <w:textDirection w:val="lrTb"/>
            <w:vAlign w:val="top"/>
          </w:tcPr>
          <w:p>
            <w:pPr>
              <w:pStyle w:val="Smalltext80"/>
              <w:keepNext/>
              <w:jc w:val="right"/>
              <w:rPr>
                <w:rFonts w:ascii="Times" w:hAnsi="Times" w:cs="Times"/>
              </w:rPr>
            </w:pPr>
            <w:r>
              <w:rPr>
                <w:rFonts w:ascii="Times" w:hAnsi="Times" w:cs="Times"/>
              </w:rPr>
              <w:t>4</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Total</w:t>
            </w:r>
          </w:p>
        </w:tc>
        <w:tc>
          <w:tcPr>
            <w:tcW w:w="1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2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2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11360" w:type="dxa"/>
            <w:gridSpan w:val="9"/>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Number of subjects enrolled is the number of subjects who signed informed consent.</w:t>
            </w:r>
            <w:r>
              <w:rPr>
                <w:rFonts w:ascii="Times" w:hAnsi="Times" w:cs="Times"/>
                <w:b w:val="0"/>
                <w:bCs w:val="0"/>
                <w:i w:val="0"/>
                <w:iCs w:val="0"/>
              </w:rPr>
              <w:br/>
            </w:r>
            <w:r>
              <w:rPr>
                <w:rFonts w:ascii="Times" w:hAnsi="Times" w:cs="Times"/>
                <w:b w:val="0"/>
                <w:bCs w:val="0"/>
                <w:i w:val="0"/>
                <w:iCs w:val="0"/>
              </w:rPr>
              <w:t>Bayer: /var/swan/root/bhc/3427080/21651/stat/main01/prod/analysis/pgms/t_8_1_1_adsl_smpsz.sas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1660"/>
        <w:gridCol w:w="1545"/>
        <w:gridCol w:w="1805"/>
        <w:gridCol w:w="2445"/>
        <w:gridCol w:w="1445"/>
      </w:tblGrid>
      <w:tr>
        <w:tblPrEx>
          <w:jc w:val="left"/>
          <w:tblInd w:w="80" w:type="dxa"/>
          <w:tblLayout w:type="fixed"/>
          <w:tblCellMar>
            <w:top w:w="0" w:type="dxa"/>
            <w:left w:w="0" w:type="dxa"/>
            <w:bottom w:w="0" w:type="dxa"/>
            <w:right w:w="0" w:type="dxa"/>
          </w:tblCellMar>
        </w:tblPrEx>
        <w:trPr>
          <w:cantSplit/>
          <w:tblHeader/>
          <w:jc w:val="left"/>
        </w:trPr>
        <w:tc>
          <w:tcPr>
            <w:tcW w:w="890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2" w:name="_Toc256000005"/>
            <w:r>
              <w:t>Table 8.1.1 / 2: Number of subjects by pooled region and country/region (all randomized subjects)</w:t>
            </w:r>
            <w:bookmarkEnd w:id="12"/>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16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Pooled Region</w:t>
            </w:r>
          </w:p>
        </w:tc>
        <w:tc>
          <w:tcPr>
            <w:tcW w:w="15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Country/Region</w:t>
            </w: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Elinzanetant 120mg</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Placebo - Elinzanetant 120mg</w:t>
            </w:r>
          </w:p>
        </w:tc>
        <w:tc>
          <w:tcPr>
            <w:tcW w:w="1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Total</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All</w:t>
            </w:r>
          </w:p>
        </w:tc>
        <w:tc>
          <w:tcPr>
            <w:tcW w:w="15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199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197  (100.0%)</w:t>
            </w:r>
          </w:p>
        </w:tc>
        <w:tc>
          <w:tcPr>
            <w:tcW w:w="1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396  (100.0%)</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spacing w:after="240"/>
              <w:jc w:val="left"/>
              <w:rPr>
                <w:rFonts w:ascii="Times" w:hAnsi="Times" w:cs="Times"/>
              </w:rPr>
            </w:pPr>
            <w:r>
              <w:rPr>
                <w:rFonts w:ascii="Times" w:hAnsi="Times" w:cs="Times"/>
              </w:rPr>
              <w:t>North America</w:t>
            </w:r>
          </w:p>
        </w:tc>
        <w:tc>
          <w:tcPr>
            <w:tcW w:w="15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118  (  59.3%)</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117  (  59.4%)</w:t>
            </w:r>
          </w:p>
        </w:tc>
        <w:tc>
          <w:tcPr>
            <w:tcW w:w="1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235  (  59.3%)</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spacing w:after="240"/>
              <w:jc w:val="left"/>
              <w:rPr>
                <w:rFonts w:ascii="Times" w:hAnsi="Times" w:cs="Times"/>
              </w:rPr>
            </w:pPr>
          </w:p>
        </w:tc>
        <w:tc>
          <w:tcPr>
            <w:tcW w:w="15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United States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118  (  59.3%)</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117  (  59.4%)</w:t>
            </w:r>
          </w:p>
        </w:tc>
        <w:tc>
          <w:tcPr>
            <w:tcW w:w="1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235  (  59.3%)</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spacing w:after="240"/>
              <w:jc w:val="left"/>
              <w:rPr>
                <w:rFonts w:ascii="Times" w:hAnsi="Times" w:cs="Times"/>
              </w:rPr>
            </w:pPr>
            <w:r>
              <w:rPr>
                <w:rFonts w:ascii="Times" w:hAnsi="Times" w:cs="Times"/>
              </w:rPr>
              <w:t>Rest of the World</w:t>
            </w:r>
          </w:p>
        </w:tc>
        <w:tc>
          <w:tcPr>
            <w:tcW w:w="15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81  (  40.7%)</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80  (  40.6%)</w:t>
            </w:r>
          </w:p>
        </w:tc>
        <w:tc>
          <w:tcPr>
            <w:tcW w:w="1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161  (  40.7%)</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Austria</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7.1%)</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6.8%)</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Czech Republic</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14.7%)</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67  (  16.9%)</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Greece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Hungary</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5.6%)</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5.3%)</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Israel</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jc w:val="left"/>
              <w:rPr>
                <w:rFonts w:ascii="Times" w:hAnsi="Times" w:cs="Times"/>
              </w:rPr>
            </w:pPr>
            <w:r>
              <w:rPr>
                <w:rFonts w:ascii="Times" w:hAnsi="Times" w:cs="Times"/>
              </w:rPr>
              <w:t>Italy</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6.6%)</w:t>
            </w:r>
          </w:p>
        </w:tc>
        <w:tc>
          <w:tcPr>
            <w:tcW w:w="1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5.8%)</w:t>
            </w:r>
          </w:p>
        </w:tc>
      </w:tr>
      <w:tr>
        <w:tblPrEx>
          <w:jc w:val="left"/>
          <w:tblInd w:w="80" w:type="dxa"/>
          <w:tblLayout w:type="fixed"/>
          <w:tblCellMar>
            <w:top w:w="0" w:type="dxa"/>
            <w:left w:w="0" w:type="dxa"/>
            <w:bottom w:w="0" w:type="dxa"/>
            <w:right w:w="0" w:type="dxa"/>
          </w:tblCellMar>
        </w:tblPrEx>
        <w:trPr>
          <w:cantSplit/>
          <w:jc w:val="left"/>
        </w:trPr>
        <w:tc>
          <w:tcPr>
            <w:tcW w:w="1660" w:type="dxa"/>
            <w:tcMar>
              <w:left w:w="80" w:type="dxa"/>
              <w:right w:w="80" w:type="dxa"/>
            </w:tcMar>
            <w:textDirection w:val="lrTb"/>
            <w:vAlign w:val="top"/>
          </w:tcPr>
          <w:p>
            <w:pPr>
              <w:pStyle w:val="Smalltext80"/>
              <w:keepNext/>
              <w:jc w:val="left"/>
              <w:rPr>
                <w:rFonts w:ascii="Times" w:hAnsi="Times" w:cs="Times"/>
              </w:rPr>
            </w:pPr>
          </w:p>
        </w:tc>
        <w:tc>
          <w:tcPr>
            <w:tcW w:w="15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Netherlands</w:t>
            </w:r>
          </w:p>
        </w:tc>
        <w:tc>
          <w:tcPr>
            <w:tcW w:w="18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  (    3.0%)</w:t>
            </w:r>
          </w:p>
        </w:tc>
        <w:tc>
          <w:tcPr>
            <w:tcW w:w="24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9  (    4.6%)</w:t>
            </w:r>
          </w:p>
        </w:tc>
        <w:tc>
          <w:tcPr>
            <w:tcW w:w="14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890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Bayer: /var/swan/root/bhc/3427080/21651/stat/main01/prod/analysis/pgms/t_8_1_1_adsl_sbj_reg.sas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3120"/>
        <w:gridCol w:w="3005"/>
        <w:gridCol w:w="2825"/>
      </w:tblGrid>
      <w:tr>
        <w:tblPrEx>
          <w:jc w:val="left"/>
          <w:tblInd w:w="80" w:type="dxa"/>
          <w:tblLayout w:type="fixed"/>
          <w:tblCellMar>
            <w:top w:w="0" w:type="dxa"/>
            <w:left w:w="0" w:type="dxa"/>
            <w:bottom w:w="0" w:type="dxa"/>
            <w:right w:w="0" w:type="dxa"/>
          </w:tblCellMar>
        </w:tblPrEx>
        <w:trPr>
          <w:cantSplit/>
          <w:tblHeader/>
          <w:jc w:val="left"/>
        </w:trPr>
        <w:tc>
          <w:tcPr>
            <w:tcW w:w="8950" w:type="dxa"/>
            <w:gridSpan w:val="3"/>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3" w:name="_Toc256000007"/>
            <w:r>
              <w:t>Table 8.1.1 / 3: Number of sites by pooled region and country/region (all randomized subjects)</w:t>
            </w:r>
            <w:bookmarkEnd w:id="13"/>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312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Pooled Region</w:t>
            </w:r>
          </w:p>
        </w:tc>
        <w:tc>
          <w:tcPr>
            <w:tcW w:w="300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Country/Region</w:t>
            </w:r>
          </w:p>
        </w:tc>
        <w:tc>
          <w:tcPr>
            <w:tcW w:w="282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Study Sites</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All</w:t>
            </w:r>
          </w:p>
        </w:tc>
        <w:tc>
          <w:tcPr>
            <w:tcW w:w="30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2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77  (100.0%)</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North America</w:t>
            </w: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47  (  61.0%)</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spacing w:after="240"/>
              <w:jc w:val="left"/>
              <w:rPr>
                <w:rFonts w:ascii="Times" w:hAnsi="Times" w:cs="Times"/>
              </w:rPr>
            </w:pPr>
          </w:p>
        </w:tc>
        <w:tc>
          <w:tcPr>
            <w:tcW w:w="30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United States</w:t>
            </w:r>
          </w:p>
        </w:tc>
        <w:tc>
          <w:tcPr>
            <w:tcW w:w="2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47  (  61.0%)</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Rest of the World</w:t>
            </w: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30  (  39.0%)</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Austria</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5.2%)</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Czech Republic</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10.4%)</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Greece</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3.9%)</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Hungary</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5.2%)</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Israel</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2.6%)</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jc w:val="left"/>
              <w:rPr>
                <w:rFonts w:ascii="Times" w:hAnsi="Times" w:cs="Times"/>
              </w:rPr>
            </w:pPr>
            <w:r>
              <w:rPr>
                <w:rFonts w:ascii="Times" w:hAnsi="Times" w:cs="Times"/>
              </w:rPr>
              <w:t>Italy</w:t>
            </w:r>
          </w:p>
        </w:tc>
        <w:tc>
          <w:tcPr>
            <w:tcW w:w="2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7.8%)</w:t>
            </w:r>
          </w:p>
        </w:tc>
      </w:tr>
      <w:tr>
        <w:tblPrEx>
          <w:jc w:val="left"/>
          <w:tblInd w:w="80" w:type="dxa"/>
          <w:tblLayout w:type="fixed"/>
          <w:tblCellMar>
            <w:top w:w="0" w:type="dxa"/>
            <w:left w:w="0" w:type="dxa"/>
            <w:bottom w:w="0" w:type="dxa"/>
            <w:right w:w="0" w:type="dxa"/>
          </w:tblCellMar>
        </w:tblPrEx>
        <w:trPr>
          <w:cantSplit/>
          <w:jc w:val="left"/>
        </w:trPr>
        <w:tc>
          <w:tcPr>
            <w:tcW w:w="3120" w:type="dxa"/>
            <w:tcMar>
              <w:left w:w="80" w:type="dxa"/>
              <w:right w:w="80" w:type="dxa"/>
            </w:tcMar>
            <w:textDirection w:val="lrTb"/>
            <w:vAlign w:val="top"/>
          </w:tcPr>
          <w:p>
            <w:pPr>
              <w:pStyle w:val="Smalltext80"/>
              <w:keepNext/>
              <w:jc w:val="left"/>
              <w:rPr>
                <w:rFonts w:ascii="Times" w:hAnsi="Times" w:cs="Times"/>
              </w:rPr>
            </w:pPr>
          </w:p>
        </w:tc>
        <w:tc>
          <w:tcPr>
            <w:tcW w:w="30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Netherlands</w:t>
            </w:r>
          </w:p>
        </w:tc>
        <w:tc>
          <w:tcPr>
            <w:tcW w:w="28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3  (    3.9%)</w:t>
            </w:r>
          </w:p>
        </w:tc>
      </w:tr>
      <w:tr>
        <w:tblPrEx>
          <w:jc w:val="left"/>
          <w:tblInd w:w="80" w:type="dxa"/>
          <w:tblLayout w:type="fixed"/>
          <w:tblCellMar>
            <w:top w:w="0" w:type="dxa"/>
            <w:left w:w="0" w:type="dxa"/>
            <w:bottom w:w="0" w:type="dxa"/>
            <w:right w:w="0" w:type="dxa"/>
          </w:tblCellMar>
        </w:tblPrEx>
        <w:trPr>
          <w:cantSplit/>
          <w:jc w:val="left"/>
        </w:trPr>
        <w:tc>
          <w:tcPr>
            <w:tcW w:w="8950" w:type="dxa"/>
            <w:gridSpan w:val="3"/>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Bayer: /var/swan/root/bhc/3427080/21651/stat/main01/prod/analysis/pgms/t_8_1_1_adsl_site_reg.sas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1320"/>
        <w:gridCol w:w="1205"/>
        <w:gridCol w:w="805"/>
        <w:gridCol w:w="925"/>
        <w:gridCol w:w="2125"/>
        <w:gridCol w:w="2105"/>
        <w:gridCol w:w="1505"/>
        <w:gridCol w:w="1825"/>
      </w:tblGrid>
      <w:tr>
        <w:tblPrEx>
          <w:jc w:val="left"/>
          <w:tblInd w:w="80" w:type="dxa"/>
          <w:tblLayout w:type="fixed"/>
          <w:tblCellMar>
            <w:top w:w="0" w:type="dxa"/>
            <w:left w:w="0" w:type="dxa"/>
            <w:bottom w:w="0" w:type="dxa"/>
            <w:right w:w="0" w:type="dxa"/>
          </w:tblCellMar>
        </w:tblPrEx>
        <w:trPr>
          <w:cantSplit/>
          <w:tblHeader/>
          <w:jc w:val="left"/>
        </w:trPr>
        <w:tc>
          <w:tcPr>
            <w:tcW w:w="11815" w:type="dxa"/>
            <w:gridSpan w:val="8"/>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4" w:name="_Toc256000009"/>
            <w:r>
              <w:t>Table 8.1.1 / 4: Protocol deviations and screen failures by trial unit (all enrolled subjects)</w:t>
            </w:r>
            <w:bookmarkEnd w:id="14"/>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13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Pooled Region</w:t>
            </w:r>
          </w:p>
        </w:tc>
        <w:tc>
          <w:tcPr>
            <w:tcW w:w="12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Country/Region</w:t>
            </w:r>
          </w:p>
        </w:tc>
        <w:tc>
          <w:tcPr>
            <w:tcW w:w="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Trial Unit</w:t>
            </w:r>
          </w:p>
        </w:tc>
        <w:tc>
          <w:tcPr>
            <w:tcW w:w="9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Enrolled Subjects</w:t>
            </w:r>
          </w:p>
        </w:tc>
        <w:tc>
          <w:tcPr>
            <w:tcW w:w="21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Screening Failures</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Planned Treatment Group</w:t>
            </w:r>
          </w:p>
        </w:tc>
        <w:tc>
          <w:tcPr>
            <w:tcW w:w="15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Subjects Randomized to Treatment</w:t>
            </w: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Subjects with Important Protocol Deviations</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Total</w:t>
            </w: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1535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1139  (  74.2%)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245 ( 61.9%)</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115 ( 57.8%)</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197 (100.0%)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130 ( 66.0%)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North America</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United States</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14001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94.1%)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70.6%)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14005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75.0%)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14006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88.9%)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14009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81.8%)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14016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85.7%)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14017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77.8%)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14018</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87.5%)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14019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73.7%)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14020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14025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14030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84.4%)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14036</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14037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20 (100.0%)</w:t>
            </w:r>
          </w:p>
        </w:tc>
        <w:tc>
          <w:tcPr>
            <w:tcW w:w="182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14 ( 70.0%)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10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140"/>
              <w:jc w:val="left"/>
              <w:rPr>
                <w:rFonts w:ascii="Times" w:hAnsi="Times" w:cs="Times"/>
              </w:rPr>
            </w:pPr>
            <w:r>
              <w:rPr>
                <w:rFonts w:ascii="Times" w:hAnsi="Times" w:cs="Times"/>
              </w:rPr>
              <w:t>10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9 ( 90.0%)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14040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14043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43  (  91.5%)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14046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83.3%)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14047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80.6%)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14049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87.1%)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14051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90.9%)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14053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66.7%)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14054</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75.0%)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( 71.4%)</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14058</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93.8%)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14060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14072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14084</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89.7%)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14085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14087</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5</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14091</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4</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14093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66.7%)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14098</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89.3%)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14099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53</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83.0%)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9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14105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61.4%)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17 (100.0%)</w:t>
            </w:r>
          </w:p>
        </w:tc>
        <w:tc>
          <w:tcPr>
            <w:tcW w:w="182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11 ( 64.7%)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140"/>
              <w:jc w:val="left"/>
              <w:rPr>
                <w:rFonts w:ascii="Times" w:hAnsi="Times" w:cs="Times"/>
              </w:rPr>
            </w:pPr>
            <w:r>
              <w:rPr>
                <w:rFonts w:ascii="Times" w:hAnsi="Times" w:cs="Times"/>
              </w:rPr>
              <w:t>12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8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14106</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15</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15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14110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85.7%)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14113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60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  (  83.3%)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10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( 70.0%)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14114</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81.5%)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14119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72.0%)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14125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64.0%)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9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( 55.6%)</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14133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14136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( 38.5%)</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( 40.0%)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( 37.5%)</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14143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43.8%)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9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( 44.4%)</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( 20.0%)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14179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14180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( 66.7%)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14188</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14189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80.6%)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14190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67.6%)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( 28.6%)</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14193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92.0%)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14195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83.3%)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14197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( 87.5%)</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6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14203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14204</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10</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14206</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14211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77.8%)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Rest of the World</w:t>
            </w: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Austria</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44001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69.0%)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9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( 44.4%)</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( 20.0%)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44002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44003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26</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61.5%)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10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8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( 83.3%)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44005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78.9%)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Czech Republic</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56.7%)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7</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63.6%)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( 37.5%)</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( 40.0%)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13</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38.5%)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( 37.5%)</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( 16.7%)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38009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33.3%)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38010</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20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( 35.0%)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( 25.0%)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8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4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38011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( 40.0%)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( 25.0%)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Greece</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49002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49003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49006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49007</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4</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Hungary</w:t>
            </w: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46002</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2</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46003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6</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66.7%)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46006</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84.2%)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46007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30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60.0%)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12 (100.0%)</w:t>
            </w:r>
          </w:p>
        </w:tc>
        <w:tc>
          <w:tcPr>
            <w:tcW w:w="182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11 ( 91.7%)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6 ( 85.7%)</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46009</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55.6%)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( 25.0%)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Israel</w:t>
            </w: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39001</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9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39003</w:t>
            </w:r>
          </w:p>
        </w:tc>
        <w:tc>
          <w:tcPr>
            <w:tcW w:w="925" w:type="dxa"/>
            <w:tcMar>
              <w:left w:w="80" w:type="dxa"/>
              <w:right w:w="80" w:type="dxa"/>
            </w:tcMar>
            <w:textDirection w:val="lrTb"/>
            <w:vAlign w:val="top"/>
          </w:tcPr>
          <w:p>
            <w:pPr>
              <w:pStyle w:val="Smalltext80"/>
              <w:spacing w:after="240"/>
              <w:jc w:val="right"/>
              <w:rPr>
                <w:rFonts w:ascii="Times" w:hAnsi="Times" w:cs="Times"/>
              </w:rPr>
            </w:pPr>
            <w:r>
              <w:rPr>
                <w:rFonts w:ascii="Times" w:hAnsi="Times" w:cs="Times"/>
              </w:rPr>
              <w:t>1</w:t>
            </w:r>
          </w:p>
        </w:tc>
        <w:tc>
          <w:tcPr>
            <w:tcW w:w="21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39007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5</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80.0%)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39008</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Italy</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16</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81.3%)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87.5%)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24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58.3%)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140"/>
              <w:jc w:val="left"/>
              <w:rPr>
                <w:rFonts w:ascii="Times" w:hAnsi="Times" w:cs="Times"/>
              </w:rPr>
            </w:pPr>
            <w:r>
              <w:rPr>
                <w:rFonts w:ascii="Times" w:hAnsi="Times" w:cs="Times"/>
              </w:rPr>
              <w:t>10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6 ( 60.0%)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5 ( 71.4%)</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22004</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8</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75.0%)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22005</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9</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44.4%)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2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22007</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r>
              <w:rPr>
                <w:rFonts w:ascii="Times" w:hAnsi="Times" w:cs="Times"/>
              </w:rPr>
              <w:t>Netherlands</w:t>
            </w: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30001</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11</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72.7%)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3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( 33.3%)</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30002</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10</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3 ( 75.0%)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spacing w:after="240"/>
              <w:jc w:val="left"/>
              <w:rPr>
                <w:rFonts w:ascii="Times" w:hAnsi="Times" w:cs="Times"/>
              </w:rPr>
            </w:pPr>
          </w:p>
        </w:tc>
        <w:tc>
          <w:tcPr>
            <w:tcW w:w="1205" w:type="dxa"/>
            <w:tcMar>
              <w:left w:w="80" w:type="dxa"/>
              <w:right w:w="80" w:type="dxa"/>
            </w:tcMar>
            <w:textDirection w:val="lrTb"/>
            <w:vAlign w:val="top"/>
          </w:tcPr>
          <w:p>
            <w:pPr>
              <w:pStyle w:val="Smalltext80"/>
              <w:spacing w:after="240"/>
              <w:jc w:val="left"/>
              <w:rPr>
                <w:rFonts w:ascii="Times" w:hAnsi="Times" w:cs="Times"/>
              </w:rPr>
            </w:pPr>
          </w:p>
        </w:tc>
        <w:tc>
          <w:tcPr>
            <w:tcW w:w="805" w:type="dxa"/>
            <w:tcMar>
              <w:left w:w="80" w:type="dxa"/>
              <w:right w:w="80" w:type="dxa"/>
            </w:tcMar>
            <w:textDirection w:val="lrTb"/>
            <w:vAlign w:val="top"/>
          </w:tcPr>
          <w:p>
            <w:pPr>
              <w:pStyle w:val="Smalltext80"/>
              <w:spacing w:after="240"/>
              <w:jc w:val="left"/>
              <w:rPr>
                <w:rFonts w:ascii="Times" w:hAnsi="Times" w:cs="Times"/>
              </w:rPr>
            </w:pPr>
          </w:p>
        </w:tc>
        <w:tc>
          <w:tcPr>
            <w:tcW w:w="925" w:type="dxa"/>
            <w:tcMar>
              <w:left w:w="80" w:type="dxa"/>
              <w:right w:w="80" w:type="dxa"/>
            </w:tcMar>
            <w:textDirection w:val="lrTb"/>
            <w:vAlign w:val="top"/>
          </w:tcPr>
          <w:p>
            <w:pPr>
              <w:pStyle w:val="Smalltext80"/>
              <w:spacing w:after="240"/>
              <w:jc w:val="right"/>
              <w:rPr>
                <w:rFonts w:ascii="Times" w:hAnsi="Times" w:cs="Times"/>
              </w:rPr>
            </w:pPr>
          </w:p>
        </w:tc>
        <w:tc>
          <w:tcPr>
            <w:tcW w:w="2125" w:type="dxa"/>
            <w:tcMar>
              <w:left w:w="80" w:type="dxa"/>
              <w:right w:w="80" w:type="dxa"/>
            </w:tcMar>
            <w:textDirection w:val="lrTb"/>
            <w:vAlign w:val="top"/>
          </w:tcPr>
          <w:p>
            <w:pPr>
              <w:pStyle w:val="Smalltext80"/>
              <w:spacing w:after="240"/>
              <w:jc w:val="left"/>
              <w:rPr>
                <w:rFonts w:ascii="Times" w:hAnsi="Times" w:cs="Times"/>
              </w:rPr>
            </w:pP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c>
          <w:tcPr>
            <w:tcW w:w="1825" w:type="dxa"/>
            <w:tcMar>
              <w:left w:w="80" w:type="dxa"/>
              <w:right w:w="80" w:type="dxa"/>
            </w:tcMar>
            <w:textDirection w:val="lrTb"/>
            <w:vAlign w:val="top"/>
          </w:tcPr>
          <w:p>
            <w:pPr>
              <w:pStyle w:val="Smalltext80"/>
              <w:spacing w:after="240"/>
              <w:ind w:left="210"/>
              <w:jc w:val="left"/>
              <w:rPr>
                <w:rFonts w:ascii="Times" w:hAnsi="Times" w:cs="Times"/>
              </w:rPr>
            </w:pPr>
            <w:r>
              <w:rPr>
                <w:rFonts w:ascii="Times" w:hAnsi="Times" w:cs="Times"/>
              </w:rPr>
              <w:t>1 (100.0%)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r>
              <w:rPr>
                <w:rFonts w:ascii="Times" w:hAnsi="Times" w:cs="Times"/>
              </w:rPr>
              <w:t>30003</w:t>
            </w:r>
          </w:p>
        </w:tc>
        <w:tc>
          <w:tcPr>
            <w:tcW w:w="925" w:type="dxa"/>
            <w:tcMar>
              <w:left w:w="80" w:type="dxa"/>
              <w:right w:w="80" w:type="dxa"/>
            </w:tcMar>
            <w:textDirection w:val="lrTb"/>
            <w:vAlign w:val="top"/>
          </w:tcPr>
          <w:p>
            <w:pPr>
              <w:pStyle w:val="Smalltext80"/>
              <w:jc w:val="right"/>
              <w:rPr>
                <w:rFonts w:ascii="Times" w:hAnsi="Times" w:cs="Times"/>
              </w:rPr>
            </w:pPr>
            <w:r>
              <w:rPr>
                <w:rFonts w:ascii="Times" w:hAnsi="Times" w:cs="Times"/>
              </w:rPr>
              <w:t>14</w:t>
            </w:r>
          </w:p>
        </w:tc>
        <w:tc>
          <w:tcPr>
            <w:tcW w:w="21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Total</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7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( 71.4%)</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jc w:val="left"/>
              <w:rPr>
                <w:rFonts w:ascii="Times" w:hAnsi="Times" w:cs="Times"/>
              </w:rPr>
            </w:pPr>
          </w:p>
        </w:tc>
        <w:tc>
          <w:tcPr>
            <w:tcW w:w="805" w:type="dxa"/>
            <w:tcMar>
              <w:left w:w="80" w:type="dxa"/>
              <w:right w:w="80" w:type="dxa"/>
            </w:tcMar>
            <w:textDirection w:val="lrTb"/>
            <w:vAlign w:val="top"/>
          </w:tcPr>
          <w:p>
            <w:pPr>
              <w:pStyle w:val="Smalltext80"/>
              <w:jc w:val="left"/>
              <w:rPr>
                <w:rFonts w:ascii="Times" w:hAnsi="Times" w:cs="Times"/>
              </w:rPr>
            </w:pPr>
          </w:p>
        </w:tc>
        <w:tc>
          <w:tcPr>
            <w:tcW w:w="925" w:type="dxa"/>
            <w:tcMar>
              <w:left w:w="80" w:type="dxa"/>
              <w:right w:w="80" w:type="dxa"/>
            </w:tcMar>
            <w:textDirection w:val="lrTb"/>
            <w:vAlign w:val="top"/>
          </w:tcPr>
          <w:p>
            <w:pPr>
              <w:pStyle w:val="Smalltext80"/>
              <w:jc w:val="right"/>
              <w:rPr>
                <w:rFonts w:ascii="Times" w:hAnsi="Times" w:cs="Times"/>
              </w:rPr>
            </w:pPr>
          </w:p>
        </w:tc>
        <w:tc>
          <w:tcPr>
            <w:tcW w:w="212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2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( 50.0%)</w:t>
            </w:r>
          </w:p>
        </w:tc>
      </w:tr>
      <w:tr>
        <w:tblPrEx>
          <w:jc w:val="left"/>
          <w:tblInd w:w="80" w:type="dxa"/>
          <w:tblLayout w:type="fixed"/>
          <w:tblCellMar>
            <w:top w:w="0" w:type="dxa"/>
            <w:left w:w="0" w:type="dxa"/>
            <w:bottom w:w="0" w:type="dxa"/>
            <w:right w:w="0" w:type="dxa"/>
          </w:tblCellMar>
        </w:tblPrEx>
        <w:trPr>
          <w:cantSplit/>
          <w:jc w:val="left"/>
        </w:trPr>
        <w:tc>
          <w:tcPr>
            <w:tcW w:w="1320" w:type="dxa"/>
            <w:tcMar>
              <w:left w:w="80" w:type="dxa"/>
              <w:right w:w="80" w:type="dxa"/>
            </w:tcMar>
            <w:textDirection w:val="lrTb"/>
            <w:vAlign w:val="top"/>
          </w:tcPr>
          <w:p>
            <w:pPr>
              <w:pStyle w:val="Smalltext80"/>
              <w:keepNext/>
              <w:jc w:val="left"/>
              <w:rPr>
                <w:rFonts w:ascii="Times" w:hAnsi="Times" w:cs="Times"/>
              </w:rPr>
            </w:pPr>
          </w:p>
        </w:tc>
        <w:tc>
          <w:tcPr>
            <w:tcW w:w="1205" w:type="dxa"/>
            <w:tcMar>
              <w:left w:w="80" w:type="dxa"/>
              <w:right w:w="80" w:type="dxa"/>
            </w:tcMar>
            <w:textDirection w:val="lrTb"/>
            <w:vAlign w:val="top"/>
          </w:tcPr>
          <w:p>
            <w:pPr>
              <w:pStyle w:val="Smalltext80"/>
              <w:keepNext/>
              <w:jc w:val="left"/>
              <w:rPr>
                <w:rFonts w:ascii="Times" w:hAnsi="Times" w:cs="Times"/>
              </w:rPr>
            </w:pPr>
          </w:p>
        </w:tc>
        <w:tc>
          <w:tcPr>
            <w:tcW w:w="805" w:type="dxa"/>
            <w:tcMar>
              <w:left w:w="80" w:type="dxa"/>
              <w:right w:w="80" w:type="dxa"/>
            </w:tcMar>
            <w:textDirection w:val="lrTb"/>
            <w:vAlign w:val="top"/>
          </w:tcPr>
          <w:p>
            <w:pPr>
              <w:pStyle w:val="Smalltext80"/>
              <w:keepNext/>
              <w:jc w:val="left"/>
              <w:rPr>
                <w:rFonts w:ascii="Times" w:hAnsi="Times" w:cs="Times"/>
              </w:rPr>
            </w:pPr>
          </w:p>
        </w:tc>
        <w:tc>
          <w:tcPr>
            <w:tcW w:w="925" w:type="dxa"/>
            <w:tcMar>
              <w:left w:w="80" w:type="dxa"/>
              <w:right w:w="80" w:type="dxa"/>
            </w:tcMar>
            <w:textDirection w:val="lrTb"/>
            <w:vAlign w:val="top"/>
          </w:tcPr>
          <w:p>
            <w:pPr>
              <w:pStyle w:val="Smalltext80"/>
              <w:keepNext/>
              <w:jc w:val="right"/>
              <w:rPr>
                <w:rFonts w:ascii="Times" w:hAnsi="Times" w:cs="Times"/>
              </w:rPr>
            </w:pPr>
          </w:p>
        </w:tc>
        <w:tc>
          <w:tcPr>
            <w:tcW w:w="2125" w:type="dxa"/>
            <w:tcMar>
              <w:left w:w="80" w:type="dxa"/>
              <w:right w:w="80" w:type="dxa"/>
            </w:tcMar>
            <w:textDirection w:val="lrTb"/>
            <w:vAlign w:val="top"/>
          </w:tcPr>
          <w:p>
            <w:pPr>
              <w:pStyle w:val="Smalltext80"/>
              <w:keepNext/>
              <w:jc w:val="left"/>
              <w:rPr>
                <w:rFonts w:ascii="Times" w:hAnsi="Times" w:cs="Times"/>
              </w:rPr>
            </w:pP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Placebo - Elinzanetant 120mg</w:t>
            </w:r>
          </w:p>
        </w:tc>
        <w:tc>
          <w:tcPr>
            <w:tcW w:w="15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(100.0%)</w:t>
            </w:r>
          </w:p>
        </w:tc>
        <w:tc>
          <w:tcPr>
            <w:tcW w:w="18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4 ( 80.0%)</w:t>
            </w:r>
          </w:p>
        </w:tc>
      </w:tr>
      <w:tr>
        <w:tblPrEx>
          <w:jc w:val="left"/>
          <w:tblInd w:w="80" w:type="dxa"/>
          <w:tblLayout w:type="fixed"/>
          <w:tblCellMar>
            <w:top w:w="0" w:type="dxa"/>
            <w:left w:w="0" w:type="dxa"/>
            <w:bottom w:w="0" w:type="dxa"/>
            <w:right w:w="0" w:type="dxa"/>
          </w:tblCellMar>
        </w:tblPrEx>
        <w:trPr>
          <w:cantSplit/>
          <w:jc w:val="left"/>
        </w:trPr>
        <w:tc>
          <w:tcPr>
            <w:tcW w:w="11815" w:type="dxa"/>
            <w:gridSpan w:val="8"/>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Number of subjects enrolled is the number of subjects who signed informed consent.</w:t>
            </w:r>
            <w:r>
              <w:rPr>
                <w:rFonts w:ascii="Times" w:hAnsi="Times" w:cs="Times"/>
                <w:b w:val="0"/>
                <w:bCs w:val="0"/>
                <w:i w:val="0"/>
                <w:iCs w:val="0"/>
              </w:rPr>
              <w:br/>
            </w:r>
            <w:r>
              <w:rPr>
                <w:rFonts w:ascii="Times" w:hAnsi="Times" w:cs="Times"/>
                <w:b w:val="0"/>
                <w:bCs w:val="0"/>
                <w:i w:val="0"/>
                <w:iCs w:val="0"/>
              </w:rPr>
              <w:t>Bayer: /var/swan/root/bhc/3427080/21651/stat/main01/prod/analysis/pgms/t_8_1_1_addv_pdsf_tunt.sas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436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907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5" w:name="_Toc256000011"/>
            <w:r>
              <w:t>Table 8.1.1 / 5: Number of subjects with important protocol deviations (all randomized subjects)</w:t>
            </w:r>
            <w:bookmarkEnd w:id="15"/>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36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Protocol Deviation Category</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Subjects with any important deviation</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115  (  57.8%)</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130  (  66.0%)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245  (  61.9%)</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jc w:val="left"/>
              <w:rPr>
                <w:rFonts w:ascii="Times" w:hAnsi="Times" w:cs="Times"/>
              </w:rPr>
            </w:pPr>
            <w:r>
              <w:rPr>
                <w:rFonts w:ascii="Times" w:hAnsi="Times" w:cs="Times"/>
              </w:rPr>
              <w:t>Procedure deviations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  36.7%)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  (  41.6%)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155  (  39.1%)</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jc w:val="left"/>
              <w:rPr>
                <w:rFonts w:ascii="Times" w:hAnsi="Times" w:cs="Times"/>
              </w:rPr>
            </w:pPr>
            <w:r>
              <w:rPr>
                <w:rFonts w:ascii="Times" w:hAnsi="Times" w:cs="Times"/>
              </w:rPr>
              <w:t>Inclusion/exclusion criteria not met but subject entered treatment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  20.5%)</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jc w:val="left"/>
              <w:rPr>
                <w:rFonts w:ascii="Times" w:hAnsi="Times" w:cs="Times"/>
              </w:rPr>
            </w:pPr>
            <w:r>
              <w:rPr>
                <w:rFonts w:ascii="Times" w:hAnsi="Times" w:cs="Times"/>
              </w:rPr>
              <w:t>Excluded concomitant medication treatment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9.6%)</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jc w:val="left"/>
              <w:rPr>
                <w:rFonts w:ascii="Times" w:hAnsi="Times" w:cs="Times"/>
              </w:rPr>
            </w:pPr>
            <w:r>
              <w:rPr>
                <w:rFonts w:ascii="Times" w:hAnsi="Times" w:cs="Times"/>
              </w:rPr>
              <w:t>Treatment deviations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9.3%)</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jc w:val="left"/>
              <w:rPr>
                <w:rFonts w:ascii="Times" w:hAnsi="Times" w:cs="Times"/>
              </w:rPr>
            </w:pPr>
            <w:r>
              <w:rPr>
                <w:rFonts w:ascii="Times" w:hAnsi="Times" w:cs="Times"/>
              </w:rPr>
              <w:t>Other protocol deviations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43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Randomization errors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90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Subjects may have more than one protocol deviation but are only counted once within each deviation category.</w:t>
            </w:r>
            <w:r>
              <w:rPr>
                <w:rFonts w:ascii="Times" w:hAnsi="Times" w:cs="Times"/>
                <w:b w:val="0"/>
                <w:bCs w:val="0"/>
                <w:i w:val="0"/>
                <w:iCs w:val="0"/>
              </w:rPr>
              <w:br/>
            </w:r>
            <w:r>
              <w:rPr>
                <w:rFonts w:ascii="Times" w:hAnsi="Times" w:cs="Times"/>
                <w:b w:val="0"/>
                <w:bCs w:val="0"/>
                <w:i w:val="0"/>
                <w:iCs w:val="0"/>
              </w:rPr>
              <w:t>Placebo - Elinzanetant 120mg = Placebo for 12 weeks, followed by elinzanetant120 mg for 14 weeks.</w:t>
            </w:r>
            <w:r>
              <w:rPr>
                <w:rFonts w:ascii="Times" w:hAnsi="Times" w:cs="Times"/>
                <w:b w:val="0"/>
                <w:bCs w:val="0"/>
                <w:i w:val="0"/>
                <w:iCs w:val="0"/>
              </w:rPr>
              <w:br/>
            </w:r>
            <w:r>
              <w:rPr>
                <w:rFonts w:ascii="Times" w:hAnsi="Times" w:cs="Times"/>
                <w:b w:val="0"/>
                <w:bCs w:val="0"/>
                <w:i w:val="0"/>
                <w:iCs w:val="0"/>
              </w:rPr>
              <w:t>Bayer: /var/swan/root/bhc/3427080/21651/stat/main01/prod/analysis/pgms/t_8_1_1_addv_sbj_imppd.sas      09JAN2024 15:58</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16" w:name="_Toc256000013"/>
      <w:r>
        <w:t>8.1.2 Subject validity status</w:t>
      </w:r>
      <w:bookmarkEnd w:id="16"/>
    </w:p>
    <w:tbl>
      <w:tblPr>
        <w:tblStyle w:val="TableNormal"/>
        <w:jc w:val="left"/>
        <w:tblInd w:w="80" w:type="dxa"/>
        <w:tblLayout w:type="fixed"/>
        <w:tblCellMar>
          <w:top w:w="0" w:type="dxa"/>
          <w:left w:w="0" w:type="dxa"/>
          <w:bottom w:w="0" w:type="dxa"/>
          <w:right w:w="0" w:type="dxa"/>
        </w:tblCellMar>
      </w:tblPr>
      <w:tblGrid>
        <w:gridCol w:w="8360"/>
        <w:gridCol w:w="1105"/>
        <w:gridCol w:w="1105"/>
        <w:gridCol w:w="1105"/>
      </w:tblGrid>
      <w:tr>
        <w:tblPrEx>
          <w:jc w:val="left"/>
          <w:tblInd w:w="80" w:type="dxa"/>
          <w:tblLayout w:type="fixed"/>
          <w:tblCellMar>
            <w:top w:w="0" w:type="dxa"/>
            <w:left w:w="0" w:type="dxa"/>
            <w:bottom w:w="0" w:type="dxa"/>
            <w:right w:w="0" w:type="dxa"/>
          </w:tblCellMar>
        </w:tblPrEx>
        <w:trPr>
          <w:cantSplit/>
          <w:tblHeader/>
          <w:jc w:val="left"/>
        </w:trPr>
        <w:tc>
          <w:tcPr>
            <w:tcW w:w="1167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7" w:name="_Toc256000014"/>
            <w:r>
              <w:t>Table 8.1.2 / 1: Analysis sets and validity findings (all randomized subjects)</w:t>
            </w:r>
            <w:bookmarkEnd w:id="17"/>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83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Subjects valid for FAS</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Subjects valid for SAF</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195  (  99.0%)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393  (  99.2%)</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Subjects valid for SLAS</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17.6%)</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17.8%)</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  17.7%)</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Excluded from SAF</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Subject did not receive any study drug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Excluded from FAS</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Excluded from SLAS</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164  (  82.4%)</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162  (  82.2%)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326  (  82.3%)</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Randomized subjects who have not signed the informed consent for sleep quality tracking sub-study</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160  (  80.4%)</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156  (  79.2%)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316  (  79.8%)</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Randomized subjects who have signed the informed consent for sleep quality tracking sub-study but dont have any sleep tracking data collected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8360" w:type="dxa"/>
            <w:tcMar>
              <w:left w:w="80" w:type="dxa"/>
              <w:right w:w="80" w:type="dxa"/>
            </w:tcMar>
            <w:textDirection w:val="lrTb"/>
            <w:vAlign w:val="top"/>
          </w:tcPr>
          <w:p>
            <w:pPr>
              <w:pStyle w:val="Smalltext80"/>
              <w:keepNext/>
              <w:jc w:val="left"/>
              <w:rPr>
                <w:rFonts w:ascii="Times" w:hAnsi="Times" w:cs="Times"/>
              </w:rPr>
            </w:pPr>
          </w:p>
        </w:tc>
        <w:tc>
          <w:tcPr>
            <w:tcW w:w="1105" w:type="dxa"/>
            <w:tcMar>
              <w:left w:w="80" w:type="dxa"/>
              <w:right w:w="80" w:type="dxa"/>
            </w:tcMar>
            <w:textDirection w:val="lrTb"/>
            <w:vAlign w:val="top"/>
          </w:tcPr>
          <w:p>
            <w:pPr>
              <w:pStyle w:val="Smalltext80"/>
              <w:keepNext/>
              <w:jc w:val="left"/>
              <w:rPr>
                <w:rFonts w:ascii="Times" w:hAnsi="Times" w:cs="Times"/>
              </w:rPr>
            </w:pPr>
          </w:p>
        </w:tc>
        <w:tc>
          <w:tcPr>
            <w:tcW w:w="1105" w:type="dxa"/>
            <w:tcMar>
              <w:left w:w="80" w:type="dxa"/>
              <w:right w:w="80" w:type="dxa"/>
            </w:tcMar>
            <w:textDirection w:val="lrTb"/>
            <w:vAlign w:val="top"/>
          </w:tcPr>
          <w:p>
            <w:pPr>
              <w:pStyle w:val="Smalltext80"/>
              <w:keepNext/>
              <w:jc w:val="left"/>
              <w:rPr>
                <w:rFonts w:ascii="Times" w:hAnsi="Times" w:cs="Times"/>
              </w:rPr>
            </w:pPr>
          </w:p>
        </w:tc>
        <w:tc>
          <w:tcPr>
            <w:tcW w:w="1105" w:type="dxa"/>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6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If a subject has more than one validity finding that excludes her from an analysis set, all of the findings are displayed.</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SAF = Safety analysis set, FAS = Full analysis set, SLAS = Sleep analysis set.</w:t>
            </w:r>
            <w:r>
              <w:rPr>
                <w:rFonts w:ascii="Times" w:hAnsi="Times" w:cs="Times"/>
                <w:b w:val="0"/>
                <w:bCs w:val="0"/>
                <w:i w:val="0"/>
                <w:iCs w:val="0"/>
              </w:rPr>
              <w:br/>
            </w:r>
            <w:r>
              <w:rPr>
                <w:rFonts w:ascii="Times" w:hAnsi="Times" w:cs="Times"/>
                <w:b w:val="0"/>
                <w:bCs w:val="0"/>
                <w:i w:val="0"/>
                <w:iCs w:val="0"/>
              </w:rPr>
              <w:t>Bayer: /var/swan/root/bhc/3427080/21651/stat/main01/prod/analysis/pgms/t_8_1_2_adsl_sbj_vlty_fnds.sas      09JAN2024 15:58</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18" w:name="_Toc256000016"/>
      <w:r>
        <w:t>8.1.3 Disposition</w:t>
      </w:r>
      <w:bookmarkEnd w:id="18"/>
    </w:p>
    <w:tbl>
      <w:tblPr>
        <w:tblStyle w:val="TableNormal"/>
        <w:jc w:val="left"/>
        <w:tblInd w:w="80" w:type="dxa"/>
        <w:tblLayout w:type="fixed"/>
        <w:tblCellMar>
          <w:top w:w="0" w:type="dxa"/>
          <w:left w:w="0" w:type="dxa"/>
          <w:bottom w:w="0" w:type="dxa"/>
          <w:right w:w="0" w:type="dxa"/>
        </w:tblCellMar>
      </w:tblPr>
      <w:tblGrid>
        <w:gridCol w:w="8040"/>
        <w:gridCol w:w="1105"/>
        <w:gridCol w:w="1105"/>
        <w:gridCol w:w="1185"/>
      </w:tblGrid>
      <w:tr>
        <w:tblPrEx>
          <w:jc w:val="left"/>
          <w:tblInd w:w="80" w:type="dxa"/>
          <w:tblLayout w:type="fixed"/>
          <w:tblCellMar>
            <w:top w:w="0" w:type="dxa"/>
            <w:left w:w="0" w:type="dxa"/>
            <w:bottom w:w="0" w:type="dxa"/>
            <w:right w:w="0" w:type="dxa"/>
          </w:tblCellMar>
        </w:tblPrEx>
        <w:trPr>
          <w:cantSplit/>
          <w:tblHeader/>
          <w:jc w:val="left"/>
        </w:trPr>
        <w:tc>
          <w:tcPr>
            <w:tcW w:w="1143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19" w:name="_Toc256000017"/>
            <w:r>
              <w:t>Table 8.1.3 / 1: Disposition: flow of subjects through study epochs (all enrolled subjects)</w:t>
            </w:r>
            <w:bookmarkEnd w:id="19"/>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804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Number of subjects</w:t>
            </w:r>
          </w:p>
        </w:tc>
        <w:tc>
          <w:tcPr>
            <w:tcW w:w="110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Elinzanetant 120mg</w:t>
            </w:r>
          </w:p>
        </w:tc>
        <w:tc>
          <w:tcPr>
            <w:tcW w:w="110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Placebo - Elinzanetant 120mg</w:t>
            </w:r>
          </w:p>
        </w:tc>
        <w:tc>
          <w:tcPr>
            <w:tcW w:w="118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Total</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r>
              <w:rPr>
                <w:rFonts w:ascii="Times" w:hAnsi="Times" w:cs="Times"/>
              </w:rPr>
              <w:t>Enrolled</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1535  (100.0%)</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Screening failures</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1139  (  74.2%)</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Primary reason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Lost to follow-up</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0.6%)</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Non-compliance with study device</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0.1%)</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Other</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0.5%)</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Physician decision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0.3%)</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Protocol deviation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&lt;0.1%)</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Screen failure</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1087  (  70.8%)</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Subject decision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1.8%)</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r>
              <w:rPr>
                <w:rFonts w:ascii="Times" w:hAnsi="Times" w:cs="Times"/>
              </w:rPr>
              <w:t>Randomized/assigned to treatment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197  (100.0%)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396  (100.0%)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Study drug never administered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Treated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195  (  99.0%)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393  (  99.2%)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r>
              <w:rPr>
                <w:rFonts w:ascii="Times" w:hAnsi="Times" w:cs="Times"/>
              </w:rPr>
              <w:t>Treatment phase</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Started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195  (  99.0%)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393  (  99.2%)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Completed 26 weeks of treatment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156  (  78.4%)</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159  (  80.7%)</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315  (  79.5%)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Did not complete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21.1%)</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18.3%)</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19.7%)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Primary reason</w:t>
            </w:r>
            <w:r>
              <w:rPr>
                <w:rFonts w:ascii="Arial" w:hAnsi="Arial" w:cs="Arial"/>
                <w:sz w:val="20"/>
                <w:szCs w:val="20"/>
                <w:vertAlign w:val="superscript"/>
              </w:rPr>
              <w:t>a</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Adverse event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9.8%)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Lack of efficacy</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Lost to follow-up</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Non-compliance with study drug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Other</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Physician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700"/>
              <w:jc w:val="left"/>
              <w:rPr>
                <w:rFonts w:ascii="Times" w:hAnsi="Times" w:cs="Times"/>
              </w:rPr>
            </w:pPr>
            <w:r>
              <w:rPr>
                <w:rFonts w:ascii="Times" w:hAnsi="Times" w:cs="Times"/>
              </w:rPr>
              <w:t>Randomized by mistake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Subject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Completed placebo-controlled period Week 1-12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171  (  85.9%)</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168  (  85.3%)</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339  (  85.6%)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Permanent discontinuation of study drug during placebo-controlled period Week 1-12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13.6%)</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13.7%)</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  (  13.6%)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Post-treatment</w:t>
            </w:r>
            <w:r>
              <w:rPr>
                <w:rFonts w:ascii="Arial" w:hAnsi="Arial" w:cs="Arial"/>
                <w:sz w:val="20"/>
                <w:szCs w:val="20"/>
                <w:vertAlign w:val="superscript"/>
              </w:rPr>
              <w:t>b</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Started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Completed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910"/>
              <w:jc w:val="left"/>
              <w:rPr>
                <w:rFonts w:ascii="Times" w:hAnsi="Times" w:cs="Times"/>
              </w:rPr>
            </w:pPr>
            <w:r>
              <w:rPr>
                <w:rFonts w:ascii="Times" w:hAnsi="Times" w:cs="Times"/>
              </w:rPr>
              <w:t>Did not complete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120"/>
              <w:jc w:val="left"/>
              <w:rPr>
                <w:rFonts w:ascii="Times" w:hAnsi="Times" w:cs="Times"/>
              </w:rPr>
            </w:pPr>
            <w:r>
              <w:rPr>
                <w:rFonts w:ascii="Times" w:hAnsi="Times" w:cs="Times"/>
              </w:rPr>
              <w:t>Primary reason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Adverse event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1330"/>
              <w:jc w:val="left"/>
              <w:rPr>
                <w:rFonts w:ascii="Times" w:hAnsi="Times" w:cs="Times"/>
              </w:rPr>
            </w:pPr>
            <w:r>
              <w:rPr>
                <w:rFonts w:ascii="Times" w:hAnsi="Times" w:cs="Times"/>
              </w:rPr>
              <w:t>Physician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Follow-up</w:t>
            </w:r>
            <w:r>
              <w:rPr>
                <w:rFonts w:ascii="Arial" w:hAnsi="Arial" w:cs="Arial"/>
                <w:sz w:val="20"/>
                <w:szCs w:val="20"/>
                <w:vertAlign w:val="superscript"/>
              </w:rPr>
              <w:t>c</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Started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Completed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Did not complete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910"/>
              <w:jc w:val="left"/>
              <w:rPr>
                <w:rFonts w:ascii="Times" w:hAnsi="Times" w:cs="Times"/>
              </w:rPr>
            </w:pPr>
            <w:r>
              <w:rPr>
                <w:rFonts w:ascii="Times" w:hAnsi="Times" w:cs="Times"/>
              </w:rPr>
              <w:t>Withdrawal from study during placebo-controlled period Week 1-12</w:t>
            </w:r>
            <w:r>
              <w:rPr>
                <w:rFonts w:ascii="Arial" w:hAnsi="Arial" w:cs="Arial"/>
                <w:sz w:val="20"/>
                <w:szCs w:val="20"/>
                <w:vertAlign w:val="superscript"/>
              </w:rPr>
              <w:t>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9.1%)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120"/>
              <w:jc w:val="left"/>
              <w:rPr>
                <w:rFonts w:ascii="Times" w:hAnsi="Times" w:cs="Times"/>
              </w:rPr>
            </w:pPr>
            <w:r>
              <w:rPr>
                <w:rFonts w:ascii="Times" w:hAnsi="Times" w:cs="Times"/>
              </w:rPr>
              <w:t>Primary reason</w:t>
            </w:r>
            <w:r>
              <w:rPr>
                <w:rFonts w:ascii="Arial" w:hAnsi="Arial" w:cs="Arial"/>
                <w:sz w:val="20"/>
                <w:szCs w:val="20"/>
                <w:vertAlign w:val="superscript"/>
              </w:rPr>
              <w:t>e</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Adverse event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Lack of efficacy</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Lost to follow-up</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Non-compliance with study drug</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Physician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1330"/>
              <w:jc w:val="left"/>
              <w:rPr>
                <w:rFonts w:ascii="Times" w:hAnsi="Times" w:cs="Times"/>
              </w:rPr>
            </w:pPr>
            <w:r>
              <w:rPr>
                <w:rFonts w:ascii="Times" w:hAnsi="Times" w:cs="Times"/>
              </w:rPr>
              <w:t>Subject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Permanent discontinuation of study drug during period Week 13-26</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6.1%)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Follow-up</w:t>
            </w:r>
            <w:r>
              <w:rPr>
                <w:rFonts w:ascii="Arial" w:hAnsi="Arial" w:cs="Arial"/>
                <w:sz w:val="20"/>
                <w:szCs w:val="20"/>
                <w:vertAlign w:val="superscript"/>
              </w:rPr>
              <w:t>c</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Started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Completed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910"/>
              <w:jc w:val="left"/>
              <w:rPr>
                <w:rFonts w:ascii="Times" w:hAnsi="Times" w:cs="Times"/>
              </w:rPr>
            </w:pPr>
            <w:r>
              <w:rPr>
                <w:rFonts w:ascii="Times" w:hAnsi="Times" w:cs="Times"/>
              </w:rPr>
              <w:t>Did not complete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910"/>
              <w:jc w:val="left"/>
              <w:rPr>
                <w:rFonts w:ascii="Times" w:hAnsi="Times" w:cs="Times"/>
              </w:rPr>
            </w:pPr>
            <w:r>
              <w:rPr>
                <w:rFonts w:ascii="Times" w:hAnsi="Times" w:cs="Times"/>
              </w:rPr>
              <w:t>Withdrawal from study during period Week 13-26</w:t>
            </w:r>
            <w:r>
              <w:rPr>
                <w:rFonts w:ascii="Arial" w:hAnsi="Arial" w:cs="Arial"/>
                <w:sz w:val="20"/>
                <w:szCs w:val="20"/>
                <w:vertAlign w:val="superscript"/>
              </w:rPr>
              <w:t>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120"/>
              <w:jc w:val="left"/>
              <w:rPr>
                <w:rFonts w:ascii="Times" w:hAnsi="Times" w:cs="Times"/>
              </w:rPr>
            </w:pPr>
            <w:r>
              <w:rPr>
                <w:rFonts w:ascii="Times" w:hAnsi="Times" w:cs="Times"/>
              </w:rPr>
              <w:t>Primary reason</w:t>
            </w:r>
            <w:r>
              <w:rPr>
                <w:rFonts w:ascii="Arial" w:hAnsi="Arial" w:cs="Arial"/>
                <w:sz w:val="20"/>
                <w:szCs w:val="20"/>
                <w:vertAlign w:val="superscript"/>
              </w:rPr>
              <w:t>e</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Adverse event</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Lost to follow-up</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Other</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Physician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1330"/>
              <w:jc w:val="left"/>
              <w:rPr>
                <w:rFonts w:ascii="Times" w:hAnsi="Times" w:cs="Times"/>
              </w:rPr>
            </w:pPr>
            <w:r>
              <w:rPr>
                <w:rFonts w:ascii="Times" w:hAnsi="Times" w:cs="Times"/>
              </w:rPr>
              <w:t>Randomized by mistake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1330"/>
              <w:jc w:val="left"/>
              <w:rPr>
                <w:rFonts w:ascii="Times" w:hAnsi="Times" w:cs="Times"/>
              </w:rPr>
            </w:pPr>
            <w:r>
              <w:rPr>
                <w:rFonts w:ascii="Times" w:hAnsi="Times" w:cs="Times"/>
              </w:rPr>
              <w:t>Subject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jc w:val="left"/>
              <w:rPr>
                <w:rFonts w:ascii="Times" w:hAnsi="Times" w:cs="Times"/>
              </w:rPr>
            </w:pPr>
            <w:r>
              <w:rPr>
                <w:rFonts w:ascii="Times" w:hAnsi="Times" w:cs="Times"/>
              </w:rPr>
              <w:t>Follow-up phase</w:t>
            </w:r>
            <w:r>
              <w:rPr>
                <w:rFonts w:ascii="Arial" w:hAnsi="Arial" w:cs="Arial"/>
                <w:sz w:val="20"/>
                <w:szCs w:val="20"/>
                <w:vertAlign w:val="superscript"/>
              </w:rPr>
              <w:t>f</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Started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169  (  84.9%)</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167  (  84.8%)</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336  (  84.8%)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280"/>
              <w:jc w:val="left"/>
              <w:rPr>
                <w:rFonts w:ascii="Times" w:hAnsi="Times" w:cs="Times"/>
              </w:rPr>
            </w:pPr>
            <w:r>
              <w:rPr>
                <w:rFonts w:ascii="Times" w:hAnsi="Times" w:cs="Times"/>
              </w:rPr>
              <w:t>Completed</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169  (  84.9%)</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164  (  83.2%)</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333  (  84.1%)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Did not complete</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Primary reason</w:t>
            </w:r>
          </w:p>
        </w:tc>
        <w:tc>
          <w:tcPr>
            <w:tcW w:w="110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ind w:left="700"/>
              <w:jc w:val="left"/>
              <w:rPr>
                <w:rFonts w:ascii="Times" w:hAnsi="Times" w:cs="Times"/>
              </w:rPr>
            </w:pPr>
            <w:r>
              <w:rPr>
                <w:rFonts w:ascii="Times" w:hAnsi="Times" w:cs="Times"/>
              </w:rPr>
              <w:t>Subject decision</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8040" w:type="dxa"/>
            <w:tcMar>
              <w:left w:w="80" w:type="dxa"/>
              <w:right w:w="80" w:type="dxa"/>
            </w:tcMar>
            <w:textDirection w:val="lrTb"/>
            <w:vAlign w:val="top"/>
          </w:tcPr>
          <w:p>
            <w:pPr>
              <w:pStyle w:val="Smalltext80"/>
              <w:keepNext/>
              <w:jc w:val="left"/>
              <w:rPr>
                <w:rFonts w:ascii="Times" w:hAnsi="Times" w:cs="Times"/>
              </w:rPr>
            </w:pPr>
          </w:p>
        </w:tc>
        <w:tc>
          <w:tcPr>
            <w:tcW w:w="1105" w:type="dxa"/>
            <w:tcMar>
              <w:left w:w="80" w:type="dxa"/>
              <w:right w:w="80" w:type="dxa"/>
            </w:tcMar>
            <w:textDirection w:val="lrTb"/>
            <w:vAlign w:val="top"/>
          </w:tcPr>
          <w:p>
            <w:pPr>
              <w:pStyle w:val="Smalltext80"/>
              <w:keepNext/>
              <w:jc w:val="left"/>
              <w:rPr>
                <w:rFonts w:ascii="Times" w:hAnsi="Times" w:cs="Times"/>
              </w:rPr>
            </w:pPr>
          </w:p>
        </w:tc>
        <w:tc>
          <w:tcPr>
            <w:tcW w:w="1105" w:type="dxa"/>
            <w:tcMar>
              <w:left w:w="80" w:type="dxa"/>
              <w:right w:w="80" w:type="dxa"/>
            </w:tcMar>
            <w:textDirection w:val="lrTb"/>
            <w:vAlign w:val="top"/>
          </w:tcPr>
          <w:p>
            <w:pPr>
              <w:pStyle w:val="Smalltext80"/>
              <w:keepNext/>
              <w:jc w:val="left"/>
              <w:rPr>
                <w:rFonts w:ascii="Times" w:hAnsi="Times" w:cs="Times"/>
              </w:rPr>
            </w:pPr>
          </w:p>
        </w:tc>
        <w:tc>
          <w:tcPr>
            <w:tcW w:w="1185" w:type="dxa"/>
            <w:tcMar>
              <w:left w:w="80" w:type="dxa"/>
              <w:right w:w="80" w:type="dxa"/>
            </w:tcMar>
            <w:textDirection w:val="lrTb"/>
            <w:vAlign w:val="top"/>
          </w:tcPr>
          <w:p>
            <w:pPr>
              <w:pStyle w:val="Smalltext80"/>
              <w:keepNext/>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114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Number of subjects enrolled is the number of subjects who signed informed consent.</w:t>
            </w:r>
            <w:r>
              <w:rPr>
                <w:rFonts w:ascii="Times" w:hAnsi="Times" w:cs="Times"/>
                <w:b w:val="0"/>
                <w:bCs w:val="0"/>
                <w:i w:val="0"/>
                <w:iCs w:val="0"/>
              </w:rPr>
              <w:br/>
            </w:r>
            <w:r>
              <w:rPr>
                <w:rFonts w:ascii="Times" w:hAnsi="Times" w:cs="Times"/>
                <w:b w:val="0"/>
                <w:bCs w:val="0"/>
                <w:i w:val="0"/>
                <w:iCs w:val="0"/>
              </w:rPr>
              <w:t>Week 1-12 represents the placebo controlled period of the study.</w:t>
            </w:r>
            <w:r>
              <w:rPr>
                <w:rFonts w:ascii="Times" w:hAnsi="Times" w:cs="Times"/>
                <w:b w:val="0"/>
                <w:bCs w:val="0"/>
                <w:i w:val="0"/>
                <w:iCs w:val="0"/>
              </w:rPr>
              <w:br/>
            </w:r>
            <w:r>
              <w:rPr>
                <w:rFonts w:ascii="Times" w:hAnsi="Times" w:cs="Times"/>
                <w:b w:val="0"/>
                <w:bCs w:val="0"/>
                <w:i w:val="0"/>
                <w:iCs w:val="0"/>
              </w:rPr>
              <w:t>Week 13-26 represents the period at which all participants are treated with elinzanetant.</w:t>
            </w:r>
            <w:r>
              <w:rPr>
                <w:rFonts w:ascii="Times" w:hAnsi="Times" w:cs="Times"/>
                <w:b w:val="0"/>
                <w:bCs w:val="0"/>
                <w:i w:val="0"/>
                <w:iCs w:val="0"/>
              </w:rPr>
              <w:br/>
            </w:r>
            <w:r>
              <w:rPr>
                <w:rFonts w:ascii="Times" w:hAnsi="Times" w:cs="Times"/>
                <w:b w:val="0"/>
                <w:bCs w:val="0"/>
                <w:i w:val="0"/>
                <w:iCs w:val="0"/>
                <w:sz w:val="20"/>
                <w:szCs w:val="20"/>
                <w:vertAlign w:val="superscript"/>
              </w:rPr>
              <w:t>a</w:t>
            </w:r>
            <w:r>
              <w:rPr>
                <w:rFonts w:ascii="Times" w:hAnsi="Times" w:cs="Times"/>
                <w:b w:val="0"/>
                <w:bCs w:val="0"/>
                <w:i w:val="0"/>
                <w:iCs w:val="0"/>
              </w:rPr>
              <w:t>Primary reason for premature discontinuation of study drug during Week 1-26.</w:t>
            </w:r>
            <w:r>
              <w:rPr>
                <w:rFonts w:ascii="Times" w:hAnsi="Times" w:cs="Times"/>
                <w:b w:val="0"/>
                <w:bCs w:val="0"/>
                <w:i w:val="0"/>
                <w:iCs w:val="0"/>
              </w:rPr>
              <w:br/>
            </w:r>
            <w:r>
              <w:rPr>
                <w:rFonts w:ascii="Times" w:hAnsi="Times" w:cs="Times"/>
                <w:b w:val="0"/>
                <w:bCs w:val="0"/>
                <w:i w:val="0"/>
                <w:iCs w:val="0"/>
                <w:sz w:val="20"/>
                <w:szCs w:val="20"/>
                <w:vertAlign w:val="superscript"/>
              </w:rPr>
              <w:t>b</w:t>
            </w:r>
            <w:r>
              <w:rPr>
                <w:rFonts w:ascii="Times" w:hAnsi="Times" w:cs="Times"/>
                <w:b w:val="0"/>
                <w:bCs w:val="0"/>
                <w:i w:val="0"/>
                <w:iCs w:val="0"/>
              </w:rPr>
              <w:t>Prematurely discontinued study drug before Week 12, and continued with scheduled visits/procedures in a post-treatment period.</w:t>
            </w:r>
            <w:r>
              <w:rPr>
                <w:rFonts w:ascii="Times" w:hAnsi="Times" w:cs="Times"/>
                <w:b w:val="0"/>
                <w:bCs w:val="0"/>
                <w:i w:val="0"/>
                <w:iCs w:val="0"/>
              </w:rPr>
              <w:br/>
            </w:r>
            <w:r>
              <w:rPr>
                <w:rFonts w:ascii="Times" w:hAnsi="Times" w:cs="Times"/>
                <w:b w:val="0"/>
                <w:bCs w:val="0"/>
                <w:i w:val="0"/>
                <w:iCs w:val="0"/>
                <w:sz w:val="20"/>
                <w:szCs w:val="20"/>
                <w:vertAlign w:val="superscript"/>
              </w:rPr>
              <w:t>c</w:t>
            </w:r>
            <w:r>
              <w:rPr>
                <w:rFonts w:ascii="Times" w:hAnsi="Times" w:cs="Times"/>
                <w:b w:val="0"/>
                <w:bCs w:val="0"/>
                <w:i w:val="0"/>
                <w:iCs w:val="0"/>
              </w:rPr>
              <w:t>Prematurely discontinued study drug and directly entered follow-up.</w:t>
            </w:r>
            <w:r>
              <w:rPr>
                <w:rFonts w:ascii="Times" w:hAnsi="Times" w:cs="Times"/>
                <w:b w:val="0"/>
                <w:bCs w:val="0"/>
                <w:i w:val="0"/>
                <w:iCs w:val="0"/>
              </w:rPr>
              <w:br/>
            </w:r>
            <w:r>
              <w:rPr>
                <w:rFonts w:ascii="Times" w:hAnsi="Times" w:cs="Times"/>
                <w:b w:val="0"/>
                <w:bCs w:val="0"/>
                <w:i w:val="0"/>
                <w:iCs w:val="0"/>
                <w:sz w:val="20"/>
                <w:szCs w:val="20"/>
                <w:vertAlign w:val="superscript"/>
              </w:rPr>
              <w:t>d</w:t>
            </w:r>
            <w:r>
              <w:rPr>
                <w:rFonts w:ascii="Times" w:hAnsi="Times" w:cs="Times"/>
                <w:b w:val="0"/>
                <w:bCs w:val="0"/>
                <w:i w:val="0"/>
                <w:iCs w:val="0"/>
              </w:rPr>
              <w:t>Premature withdrawal from the study without further follow-up.</w:t>
            </w:r>
            <w:r>
              <w:rPr>
                <w:rFonts w:ascii="Times" w:hAnsi="Times" w:cs="Times"/>
                <w:b w:val="0"/>
                <w:bCs w:val="0"/>
                <w:i w:val="0"/>
                <w:iCs w:val="0"/>
              </w:rPr>
              <w:br/>
            </w:r>
            <w:r>
              <w:rPr>
                <w:rFonts w:ascii="Times" w:hAnsi="Times" w:cs="Times"/>
                <w:b w:val="0"/>
                <w:bCs w:val="0"/>
                <w:i w:val="0"/>
                <w:iCs w:val="0"/>
                <w:sz w:val="20"/>
                <w:szCs w:val="20"/>
                <w:vertAlign w:val="superscript"/>
              </w:rPr>
              <w:t>e</w:t>
            </w:r>
            <w:r>
              <w:rPr>
                <w:rFonts w:ascii="Times" w:hAnsi="Times" w:cs="Times"/>
                <w:b w:val="0"/>
                <w:bCs w:val="0"/>
                <w:i w:val="0"/>
                <w:iCs w:val="0"/>
              </w:rPr>
              <w:t>These reasons are a subset of the primary reason for premature discontinuation of study drug.</w:t>
            </w:r>
            <w:r>
              <w:rPr>
                <w:rFonts w:ascii="Times" w:hAnsi="Times" w:cs="Times"/>
                <w:b w:val="0"/>
                <w:bCs w:val="0"/>
                <w:i w:val="0"/>
                <w:iCs w:val="0"/>
              </w:rPr>
              <w:br/>
            </w:r>
            <w:r>
              <w:rPr>
                <w:rFonts w:ascii="Times" w:hAnsi="Times" w:cs="Times"/>
                <w:b w:val="0"/>
                <w:bCs w:val="0"/>
                <w:i w:val="0"/>
                <w:iCs w:val="0"/>
                <w:sz w:val="20"/>
                <w:szCs w:val="20"/>
                <w:vertAlign w:val="superscript"/>
              </w:rPr>
              <w:t>f</w:t>
            </w:r>
            <w:r>
              <w:rPr>
                <w:rFonts w:ascii="Times" w:hAnsi="Times" w:cs="Times"/>
                <w:b w:val="0"/>
                <w:bCs w:val="0"/>
                <w:i w:val="0"/>
                <w:iCs w:val="0"/>
              </w:rPr>
              <w:t>This includes participants who completed the treatment phase and had a 4-week safety follow-up period or participants who started follow-up after discontinuation of study drug.</w:t>
            </w:r>
            <w:r>
              <w:rPr>
                <w:rFonts w:ascii="Times" w:hAnsi="Times" w:cs="Times"/>
                <w:b w:val="0"/>
                <w:bCs w:val="0"/>
                <w:i w:val="0"/>
                <w:iCs w:val="0"/>
              </w:rPr>
              <w:br/>
            </w:r>
            <w:r>
              <w:rPr>
                <w:rFonts w:ascii="Times" w:hAnsi="Times" w:cs="Times"/>
                <w:b w:val="0"/>
                <w:bCs w:val="0"/>
                <w:i w:val="0"/>
                <w:iCs w:val="0"/>
              </w:rPr>
              <w:t>If a participant discontinued from study drug before week 12 but agreed to stay in the study (i.e., in a post-treatment period), the next scheduled in person visit covered</w:t>
            </w:r>
            <w:r>
              <w:rPr>
                <w:rFonts w:ascii="Times" w:hAnsi="Times" w:cs="Times"/>
                <w:b w:val="0"/>
                <w:bCs w:val="0"/>
                <w:i w:val="0"/>
                <w:iCs w:val="0"/>
              </w:rPr>
              <w:br/>
            </w:r>
            <w:r>
              <w:rPr>
                <w:rFonts w:ascii="Times" w:hAnsi="Times" w:cs="Times"/>
                <w:b w:val="0"/>
                <w:bCs w:val="0"/>
                <w:i w:val="0"/>
                <w:iCs w:val="0"/>
              </w:rPr>
              <w:t>the assessments expected to be performed during the follow-up visit, and therefore no follow-up visit was needed after end of treatment visit.</w:t>
            </w:r>
            <w:r>
              <w:rPr>
                <w:rFonts w:ascii="Times" w:hAnsi="Times" w:cs="Times"/>
                <w:b w:val="0"/>
                <w:bCs w:val="0"/>
                <w:i w:val="0"/>
                <w:iCs w:val="0"/>
              </w:rPr>
              <w:br/>
            </w:r>
            <w:r>
              <w:rPr>
                <w:rFonts w:ascii="Times" w:hAnsi="Times" w:cs="Times"/>
                <w:b w:val="0"/>
                <w:bCs w:val="0"/>
                <w:i w:val="0"/>
                <w:iCs w:val="0"/>
              </w:rPr>
              <w:t>Bayer: /var/swan/root/bhc/3427080/21651/stat/main01/prod/analysis/pgms/t_8_1_3_adds_sbj_disp.sas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5320"/>
        <w:gridCol w:w="1465"/>
        <w:gridCol w:w="2105"/>
        <w:gridCol w:w="1185"/>
      </w:tblGrid>
      <w:tr>
        <w:tblPrEx>
          <w:jc w:val="left"/>
          <w:tblInd w:w="80" w:type="dxa"/>
          <w:tblLayout w:type="fixed"/>
          <w:tblCellMar>
            <w:top w:w="0" w:type="dxa"/>
            <w:left w:w="0" w:type="dxa"/>
            <w:bottom w:w="0" w:type="dxa"/>
            <w:right w:w="0" w:type="dxa"/>
          </w:tblCellMar>
        </w:tblPrEx>
        <w:trPr>
          <w:cantSplit/>
          <w:tblHeader/>
          <w:jc w:val="left"/>
        </w:trPr>
        <w:tc>
          <w:tcPr>
            <w:tcW w:w="1007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0" w:name="_Toc256000019"/>
            <w:r>
              <w:t>Table 8.1.3 / 2: Disposition in overall study (all enrolled subjects)</w:t>
            </w:r>
            <w:bookmarkEnd w:id="20"/>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53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Number of subjects</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Elinzanetant 120mg</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Placebo - Elinzanetant 120mg</w:t>
            </w:r>
          </w:p>
        </w:tc>
        <w:tc>
          <w:tcPr>
            <w:tcW w:w="11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Total</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Enrolled</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1535                 </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Randomized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197  (100.0%)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396  (100.0%)</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Treated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195  (  99.0%)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393  (  99.2%)</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Completed study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154  (  77.4%)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155  (  78.7%)</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309  (  78.0%)</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jc w:val="left"/>
              <w:rPr>
                <w:rFonts w:ascii="Times" w:hAnsi="Times" w:cs="Times"/>
              </w:rPr>
            </w:pPr>
            <w:r>
              <w:rPr>
                <w:rFonts w:ascii="Times" w:hAnsi="Times" w:cs="Times"/>
              </w:rPr>
              <w:t>Did not complete study treatment but completed post-treatment phase/follow-up</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5.1%)</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Did not complete study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16.2%)</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15.4%)</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Primary reason</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Adverse Event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4.0%)</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Lack of Efficacy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Lost to Follow-up</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Non-Compliance with Study Drug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Other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Physician Decision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Randomized by Mistake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Subject Decision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3.5%)</w:t>
            </w:r>
          </w:p>
        </w:tc>
      </w:tr>
      <w:tr>
        <w:tblPrEx>
          <w:jc w:val="left"/>
          <w:tblInd w:w="80" w:type="dxa"/>
          <w:tblLayout w:type="fixed"/>
          <w:tblCellMar>
            <w:top w:w="0" w:type="dxa"/>
            <w:left w:w="0" w:type="dxa"/>
            <w:bottom w:w="0" w:type="dxa"/>
            <w:right w:w="0" w:type="dxa"/>
          </w:tblCellMar>
        </w:tblPrEx>
        <w:trPr>
          <w:cantSplit/>
          <w:jc w:val="left"/>
        </w:trPr>
        <w:tc>
          <w:tcPr>
            <w:tcW w:w="5320" w:type="dxa"/>
            <w:tcMar>
              <w:left w:w="80" w:type="dxa"/>
              <w:right w:w="80" w:type="dxa"/>
            </w:tcMar>
            <w:textDirection w:val="lrTb"/>
            <w:vAlign w:val="top"/>
          </w:tcPr>
          <w:p>
            <w:pPr>
              <w:pStyle w:val="Smalltext80"/>
              <w:keepNext/>
              <w:ind w:left="490"/>
              <w:jc w:val="left"/>
              <w:rPr>
                <w:rFonts w:ascii="Times" w:hAnsi="Times" w:cs="Times"/>
              </w:rPr>
            </w:pPr>
            <w:r>
              <w:rPr>
                <w:rFonts w:ascii="Times" w:hAnsi="Times" w:cs="Times"/>
              </w:rPr>
              <w:t>missing</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  (    1.0%)</w:t>
            </w:r>
          </w:p>
        </w:tc>
        <w:tc>
          <w:tcPr>
            <w:tcW w:w="11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100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Definition of completed study = completed all phases of the study including the last visit.</w:t>
            </w:r>
            <w:r>
              <w:rPr>
                <w:rFonts w:ascii="Times" w:hAnsi="Times" w:cs="Times"/>
                <w:b w:val="0"/>
                <w:bCs w:val="0"/>
                <w:i w:val="0"/>
                <w:iCs w:val="0"/>
              </w:rPr>
              <w:br/>
            </w:r>
            <w:r>
              <w:rPr>
                <w:rFonts w:ascii="Times" w:hAnsi="Times" w:cs="Times"/>
                <w:b w:val="0"/>
                <w:bCs w:val="0"/>
                <w:i w:val="0"/>
                <w:iCs w:val="0"/>
              </w:rPr>
              <w:t>Number of subjects enrolled is the number of subjects who signed informed consent.</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Bayer: /var/swan/root/bhc/3427080/21651/stat/main01/prod/analysis/pgms/t_8_1_3_adds_disp_ovrl.sas      09JAN2024 15:58</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2700"/>
        <w:gridCol w:w="1965"/>
        <w:gridCol w:w="2605"/>
        <w:gridCol w:w="164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1" w:name="_Toc256000021"/>
            <w:r>
              <w:t>Table 8.1.3 / 3: Number of subjects in study by visit (safety analysis set)</w:t>
            </w:r>
            <w:bookmarkEnd w:id="21"/>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27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9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6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6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In study at</w:t>
            </w:r>
          </w:p>
        </w:tc>
        <w:tc>
          <w:tcPr>
            <w:tcW w:w="1965" w:type="dxa"/>
            <w:tcMar>
              <w:left w:w="80" w:type="dxa"/>
              <w:right w:w="80" w:type="dxa"/>
            </w:tcMar>
            <w:textDirection w:val="lrTb"/>
            <w:vAlign w:val="top"/>
          </w:tcPr>
          <w:p>
            <w:pPr>
              <w:pStyle w:val="Smalltext80"/>
              <w:jc w:val="left"/>
              <w:rPr>
                <w:rFonts w:ascii="Times" w:hAnsi="Times" w:cs="Times"/>
              </w:rPr>
            </w:pPr>
          </w:p>
        </w:tc>
        <w:tc>
          <w:tcPr>
            <w:tcW w:w="2605" w:type="dxa"/>
            <w:tcMar>
              <w:left w:w="80" w:type="dxa"/>
              <w:right w:w="80" w:type="dxa"/>
            </w:tcMar>
            <w:textDirection w:val="lrTb"/>
            <w:vAlign w:val="top"/>
          </w:tcPr>
          <w:p>
            <w:pPr>
              <w:pStyle w:val="Smalltext80"/>
              <w:jc w:val="left"/>
              <w:rPr>
                <w:rFonts w:ascii="Times" w:hAnsi="Times" w:cs="Times"/>
              </w:rPr>
            </w:pPr>
          </w:p>
        </w:tc>
        <w:tc>
          <w:tcPr>
            <w:tcW w:w="16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Baseline</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194  (100.0%)</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393  (100.0%)</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4</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189  (  97.4%)</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387  (  98.5%)</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8</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198  (  99.5%)</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186  (  95.9%)</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384  (  97.7%)</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12</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195  (  98.0%)</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182  (  93.8%)</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377  (  95.9%)</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16</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193  (  97.0%)</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181  (  93.3%)</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374  (  95.2%)</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20</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193  (  97.0%)</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181  (  93.3%)</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374  (  95.2%)</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Week 26/End of Treatment</w:t>
            </w:r>
          </w:p>
        </w:tc>
        <w:tc>
          <w:tcPr>
            <w:tcW w:w="1965" w:type="dxa"/>
            <w:tcMar>
              <w:left w:w="80" w:type="dxa"/>
              <w:right w:w="80" w:type="dxa"/>
            </w:tcMar>
            <w:textDirection w:val="lrTb"/>
            <w:vAlign w:val="top"/>
          </w:tcPr>
          <w:p>
            <w:pPr>
              <w:pStyle w:val="Smalltext80"/>
              <w:jc w:val="left"/>
              <w:rPr>
                <w:rFonts w:ascii="Times" w:hAnsi="Times" w:cs="Times"/>
              </w:rPr>
            </w:pPr>
            <w:r>
              <w:rPr>
                <w:rFonts w:ascii="Times" w:hAnsi="Times" w:cs="Times"/>
              </w:rPr>
              <w:t>189  (  95.0%)</w:t>
            </w:r>
          </w:p>
        </w:tc>
        <w:tc>
          <w:tcPr>
            <w:tcW w:w="2605" w:type="dxa"/>
            <w:tcMar>
              <w:left w:w="80" w:type="dxa"/>
              <w:right w:w="80" w:type="dxa"/>
            </w:tcMar>
            <w:textDirection w:val="lrTb"/>
            <w:vAlign w:val="top"/>
          </w:tcPr>
          <w:p>
            <w:pPr>
              <w:pStyle w:val="Smalltext80"/>
              <w:jc w:val="left"/>
              <w:rPr>
                <w:rFonts w:ascii="Times" w:hAnsi="Times" w:cs="Times"/>
              </w:rPr>
            </w:pPr>
            <w:r>
              <w:rPr>
                <w:rFonts w:ascii="Times" w:hAnsi="Times" w:cs="Times"/>
              </w:rPr>
              <w:t>176  (  90.7%)</w:t>
            </w:r>
          </w:p>
        </w:tc>
        <w:tc>
          <w:tcPr>
            <w:tcW w:w="1645" w:type="dxa"/>
            <w:tcMar>
              <w:left w:w="80" w:type="dxa"/>
              <w:right w:w="80" w:type="dxa"/>
            </w:tcMar>
            <w:textDirection w:val="lrTb"/>
            <w:vAlign w:val="top"/>
          </w:tcPr>
          <w:p>
            <w:pPr>
              <w:pStyle w:val="Smalltext80"/>
              <w:jc w:val="left"/>
              <w:rPr>
                <w:rFonts w:ascii="Times" w:hAnsi="Times" w:cs="Times"/>
              </w:rPr>
            </w:pPr>
            <w:r>
              <w:rPr>
                <w:rFonts w:ascii="Times" w:hAnsi="Times" w:cs="Times"/>
              </w:rPr>
              <w:t>365  (  92.9%)</w:t>
            </w:r>
          </w:p>
        </w:tc>
      </w:tr>
      <w:tr>
        <w:tblPrEx>
          <w:jc w:val="left"/>
          <w:tblInd w:w="80" w:type="dxa"/>
          <w:tblLayout w:type="fixed"/>
          <w:tblCellMar>
            <w:top w:w="0" w:type="dxa"/>
            <w:left w:w="0" w:type="dxa"/>
            <w:bottom w:w="0" w:type="dxa"/>
            <w:right w:w="0" w:type="dxa"/>
          </w:tblCellMar>
        </w:tblPrEx>
        <w:trPr>
          <w:cantSplit/>
          <w:jc w:val="left"/>
        </w:trPr>
        <w:tc>
          <w:tcPr>
            <w:tcW w:w="27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Follow-up</w:t>
            </w:r>
          </w:p>
        </w:tc>
        <w:tc>
          <w:tcPr>
            <w:tcW w:w="19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169  (  84.9%)</w:t>
            </w:r>
          </w:p>
        </w:tc>
        <w:tc>
          <w:tcPr>
            <w:tcW w:w="26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163  (  84.0%)</w:t>
            </w:r>
          </w:p>
        </w:tc>
        <w:tc>
          <w:tcPr>
            <w:tcW w:w="16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332  (  84.5%)</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"Subjects in study" includes all subjects irrespective of study drug status.</w:t>
            </w:r>
            <w:r>
              <w:rPr>
                <w:rFonts w:ascii="Times" w:hAnsi="Times" w:cs="Times"/>
                <w:b w:val="0"/>
                <w:bCs w:val="0"/>
                <w:i w:val="0"/>
                <w:iCs w:val="0"/>
              </w:rPr>
              <w:br/>
            </w:r>
            <w:r>
              <w:rPr>
                <w:rFonts w:ascii="Times" w:hAnsi="Times" w:cs="Times"/>
                <w:b w:val="0"/>
                <w:bCs w:val="0"/>
                <w:i w:val="0"/>
                <w:iCs w:val="0"/>
              </w:rPr>
              <w:t>Bayer: /var/swan/root/bhc/3427080/21651/stat/main01/prod/analysis/pgms/t_8_1_3_adsv_sbj_vist.sas      09JAN2024 15:58</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22" w:name="_Toc256000023"/>
      <w:r>
        <w:t>8.1.4 Demographics</w:t>
      </w:r>
      <w:bookmarkEnd w:id="22"/>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3" w:name="_Toc256000024"/>
            <w:r>
              <w:t>Table 8.1.4 / 1: Demographics overall (full analysis set)</w:t>
            </w:r>
            <w:bookmarkEnd w:id="23"/>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199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197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396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151  (  75.9%)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154  (  78.2%)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305  (  77.0%)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  19.2%)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2.0%)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1.8%)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  90.5%)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179  (  90.9%)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359  (  90.7%)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2.0%)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1.5%)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54.5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  (  15.2%)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135  (  67.8%)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134  (  68.0%)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269  (  67.9%)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35  (  17.6%)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16.2%)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67  (  16.9%)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76.17  (14.83)</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74.81  (12.58)</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75.50  (13.76)</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72.40             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50.0,  111.1   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165.45  (7.12)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164.57  (7.07)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165.01  (7.10)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144.7,  184.0   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27.78  (4.84)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27.65  (4.52)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27.72  (4.68)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18.3,  37.7     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  34.7%)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29.4%)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127  (  32.1%)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32.2%)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  37.1%)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137  (  34.6%)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65  (  32.7%)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65  (  33.0%)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130  (  32.8%)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  75.4%)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115  (  58.4%)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265  (  66.9%)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16.8%)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14.9%)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  11.6%)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  24.9%)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72  (  18.2%)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  (  46.7%)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90  (  45.7%)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183  (  46.2%)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22.6%)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20.8%)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86  (  21.7%)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59  (  29.6%)   </w:t>
            </w:r>
          </w:p>
        </w:tc>
        <w:tc>
          <w:tcPr>
            <w:tcW w:w="24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63  (  32.0%)   </w:t>
            </w:r>
          </w:p>
        </w:tc>
        <w:tc>
          <w:tcPr>
            <w:tcW w:w="17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122  (  30.8%)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/var/swan/root/bhc/3427080/21651/stat/main01/prod/analysis/pgms/t_8_1_4_adsl_demo_ovrl.sas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4" w:name="_Toc256000026"/>
            <w:r>
              <w:t>Table 8.1.4 / 2: Demographics overall (safety analysis set)</w:t>
            </w:r>
            <w:bookmarkEnd w:id="24"/>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199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194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393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151  (  75.9%)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154  (  79.4%)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305  (  77.6%)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18.8%)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2.0%)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1.8%)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  90.5%)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176  (  90.7%)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356  (  90.6%)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2.1%)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1.5%)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14.8%)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135  (  67.8%)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133  (  68.6%)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268  (  68.2%)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35  (  17.6%)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16.5%)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67  (  17.0%)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76.17  (14.82)</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74.52  (12.35)</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75.35  (13.67)</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72.28             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73.12             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50.0,  107.0   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165.49  (7.09)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164.49  (7.03)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165.00  (7.07)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164.25             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144.7,  184.0   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27.75  (4.81)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27.58  (4.51)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27.67  (4.66)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18.3,  37.7     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  34.7%)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29.9%)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127  (  32.3%)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32.2%)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  37.6%)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137  (  34.9%)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65  (  32.7%)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62  (  32.0%)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127  (  32.3%)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  75.4%)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112  (  57.7%)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262  (  66.7%)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17.0%)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15.0%)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  11.6%)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  25.3%)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72  (  18.3%)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92  (  46.2%)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89  (  45.9%)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181  (  46.1%)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22.6%)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21.1%)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86  (  21.9%)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60  (  30.2%)   </w:t>
            </w:r>
          </w:p>
        </w:tc>
        <w:tc>
          <w:tcPr>
            <w:tcW w:w="24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61  (  31.4%)   </w:t>
            </w:r>
          </w:p>
        </w:tc>
        <w:tc>
          <w:tcPr>
            <w:tcW w:w="17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121  (  30.8%)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/var/swan/root/bhc/3427080/21651/stat/main01/prod/analysis/pgms/t_8_1_4_adsl_demo_ovrl.sas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85"/>
      </w:tblGrid>
      <w:tr>
        <w:tblPrEx>
          <w:jc w:val="left"/>
          <w:tblInd w:w="80" w:type="dxa"/>
          <w:tblLayout w:type="fixed"/>
          <w:tblCellMar>
            <w:top w:w="0" w:type="dxa"/>
            <w:left w:w="0" w:type="dxa"/>
            <w:bottom w:w="0" w:type="dxa"/>
            <w:right w:w="0" w:type="dxa"/>
          </w:tblCellMar>
        </w:tblPrEx>
        <w:trPr>
          <w:cantSplit/>
          <w:tblHeader/>
          <w:jc w:val="left"/>
        </w:trPr>
        <w:tc>
          <w:tcPr>
            <w:tcW w:w="893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5" w:name="_Toc256000028"/>
            <w:r>
              <w:t>Table 8.1.4 / 3: Demographics overall (sleep analysis set)</w:t>
            </w:r>
            <w:bookmarkEnd w:id="25"/>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N=35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N=35 (100%)</w:t>
            </w:r>
          </w:p>
        </w:tc>
        <w:tc>
          <w:tcPr>
            <w:tcW w:w="16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N=70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35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35  (100.0%)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70  (100.0%)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24  (  68.6%)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28  (  80.0%)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52  (  74.3%)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20.0%)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11  (  15.7%)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5.7%)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29  (  82.9%)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30  (  85.7%)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59  (  84.3%)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12.9%)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2.9%)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2.9%)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55.3  (4.3)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55.9  (4.3)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55.6  (4.3)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45,  63           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46,  64           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45,  64           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26  (  74.3%)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26  (  74.3%)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52  (  74.3%)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14.3%)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17.1%)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  (  15.7%)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75.91  (14.86)</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75.26  (10.50)</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75.58  (12.78)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77.57             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73.80             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75.95             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45.8,  106.1   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55.5,  95.9     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45.8,  106.1   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163.47  (7.56)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163.45  (7.37)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163.46  (7.41)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163.00             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163.50             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147.6,  176.0   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148.5,  180.3   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147.6,  180.3   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28.34  (4.97)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28.29  (4.38)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28.32  (4.65)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28.50             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28.30             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28.35             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19.8,  37.5     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20.0%)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17.1%)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13  (  18.6%)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17  (  48.6%)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18  (  51.4%)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35  (  50.0%)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10  (  28.6%)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  (  31.4%)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21  (  30.0%)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27  (  77.1%)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22  (  62.9%)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49  (  70.0%)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17.1%)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17.1%)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12  (  17.1%)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5.7%)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20.0%)     </w:t>
            </w:r>
          </w:p>
        </w:tc>
        <w:tc>
          <w:tcPr>
            <w:tcW w:w="16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9  (  12.9%)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18  (  51.4%)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18  (  51.4%)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36  (  51.4%)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     </w:t>
            </w:r>
          </w:p>
        </w:tc>
        <w:tc>
          <w:tcPr>
            <w:tcW w:w="16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13  (  37.1%)     </w:t>
            </w:r>
          </w:p>
        </w:tc>
        <w:tc>
          <w:tcPr>
            <w:tcW w:w="24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12  (  34.3%)     </w:t>
            </w:r>
          </w:p>
        </w:tc>
        <w:tc>
          <w:tcPr>
            <w:tcW w:w="16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25  (  35.7%)     </w:t>
            </w:r>
          </w:p>
        </w:tc>
      </w:tr>
      <w:tr>
        <w:tblPrEx>
          <w:jc w:val="left"/>
          <w:tblInd w:w="80" w:type="dxa"/>
          <w:tblLayout w:type="fixed"/>
          <w:tblCellMar>
            <w:top w:w="0" w:type="dxa"/>
            <w:left w:w="0" w:type="dxa"/>
            <w:bottom w:w="0" w:type="dxa"/>
            <w:right w:w="0" w:type="dxa"/>
          </w:tblCellMar>
        </w:tblPrEx>
        <w:trPr>
          <w:cantSplit/>
          <w:jc w:val="left"/>
        </w:trPr>
        <w:tc>
          <w:tcPr>
            <w:tcW w:w="89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/var/swan/root/bhc/3427080/21651/stat/main01/prod/analysis/pgms/t_8_1_4_adsl_demo_ovrl.sas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6" w:name="_Toc256000030"/>
            <w:r>
              <w:t>Table 8.1.4 / 4: Demographics by region (full analysis set)</w:t>
            </w:r>
            <w:bookmarkEnd w:id="26"/>
          </w:p>
          <w:p>
            <w:pPr>
              <w:pStyle w:val="BayerSASCaptionDocFish"/>
              <w:ind w:left="1541" w:hanging="1541"/>
              <w:outlineLvl w:val="3"/>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Region: North America</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N=118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N=117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N=235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118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117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235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  61.0%)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63.2%)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146  (  62.1%)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30.5%)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32.5%)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31.5%)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2.5%)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3.4%)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2.6%)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3.0%)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100  (  84.7%)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100  (  85.5%)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200  (  85.1%)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13.6%)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11.1%)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1.7%)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3.4%)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2.6%)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118                  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55.2  (5.0)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55.1  (4.6)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55.1  (4.8)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12.7%)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12.0%)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  64.4%)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  (  70.1%)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158  (  67.2%)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27  (  22.9%)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21  (  17.9%)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48  (  20.4%)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118                  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77.27  (15.56)</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77.43  (12.25)</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77.35  (13.98)</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77.11             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75.90             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76.60             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55.5,  111.1   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118                  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163.89  (7.20)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163.25  (7.26)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163.57  (7.22)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163.10             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162.56             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162.56             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147.3,  182.9   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144.7,  180.3   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144.7,  182.9   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118                  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28.66  (4.96)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29.08  (4.35)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28.87  (4.66)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28.45             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19.8,  37.7     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27.1%)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  (  22.6%)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32.2%)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38.5%)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83  (  35.3%)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47  (  39.8%)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51  (  43.6%)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98  (  41.7%)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  (  78.8%)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65.8%)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170  (  72.3%)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11.9%)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14.5%)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13.2%)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11  (    9.3%)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  19.7%)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34  (  14.5%)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67  (  56.8%)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  (  51.3%)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127  (  54.0%)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8.5%)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4.3%)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6.4%)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0.9%)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40  (  33.9%)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50  (  42.7%)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90  (  38.3%)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4: Demographics by region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Region: Rest of the World</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N=81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N=80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N=161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81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80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161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  (  97.5%)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(100.0%)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159  (  98.8%)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  98.8%)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  (  98.8%)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159  (  98.8%)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53.6  (4.6)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53.8  (5.2)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53.7  (4.9)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17.3%)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21.3%)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19.3%)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72.8%)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65.0%)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111  (  68.9%)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    9.9%)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11  (  13.8%)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  (  11.8%)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74.58  (13.65)</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70.98  (12.15)</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72.79  (13.01)</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70.80             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53.0,  113.1   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50.0,  98.0     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50.0,  113.1   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167.72  (6.39)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166.50  (6.35)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167.11  (6.38)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167.00             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167.00             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167.00             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158.0,  189.0   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150.0,  184.0   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150.0,  189.0   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26.49  (4.39)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25.57  (3.94)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26.03  (4.19)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25.30             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18.6,  37.2     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18.3,  34.8     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45.7%)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46.3%)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46.0%)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32.1%)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35.0%)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  (  33.5%)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  (  22.2%)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  17.5%)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19.9%)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  (  70.4%)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47.5%)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95  (  59.0%)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14.8%)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20.0%)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  14.8%)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26  (  32.5%)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38  (  23.6%)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32.1%)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37.5%)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34.8%)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43.2%)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45.0%)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  (  44.1%)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1.2%)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19  (  23.5%)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13  (  16.3%)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32  (  19.9%)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840"/>
        <w:gridCol w:w="1825"/>
        <w:gridCol w:w="2465"/>
        <w:gridCol w:w="1765"/>
      </w:tblGrid>
      <w:tr>
        <w:tblPrEx>
          <w:jc w:val="left"/>
          <w:tblInd w:w="80" w:type="dxa"/>
          <w:tblLayout w:type="fixed"/>
          <w:tblCellMar>
            <w:top w:w="0" w:type="dxa"/>
            <w:left w:w="0" w:type="dxa"/>
            <w:bottom w:w="0" w:type="dxa"/>
            <w:right w:w="0" w:type="dxa"/>
          </w:tblCellMar>
        </w:tblPrEx>
        <w:trPr>
          <w:cantSplit/>
          <w:tblHeader/>
          <w:jc w:val="left"/>
        </w:trPr>
        <w:tc>
          <w:tcPr>
            <w:tcW w:w="8895" w:type="dxa"/>
            <w:gridSpan w:val="4"/>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7" w:name="_Toc256000032"/>
            <w:r>
              <w:t>Table 8.1.4 / 5: Demographics by race (full analysis set)</w:t>
            </w:r>
            <w:bookmarkEnd w:id="27"/>
          </w:p>
          <w:p>
            <w:pPr>
              <w:pStyle w:val="BayerSASCaptionDocFish"/>
              <w:ind w:left="1541" w:hanging="1541"/>
              <w:outlineLvl w:val="3"/>
            </w:pPr>
          </w:p>
        </w:tc>
      </w:tr>
      <w:tr>
        <w:tblPrEx>
          <w:jc w:val="left"/>
          <w:tblInd w:w="80" w:type="dxa"/>
          <w:tblLayout w:type="fixed"/>
          <w:tblCellMar>
            <w:top w:w="0" w:type="dxa"/>
            <w:left w:w="80" w:type="dxa"/>
            <w:bottom w:w="0" w:type="dxa"/>
            <w:right w:w="80" w:type="dxa"/>
          </w:tblCellMar>
        </w:tblPrEx>
        <w:trPr>
          <w:cantSplit/>
          <w:tblHeader/>
          <w:jc w:val="left"/>
        </w:trPr>
        <w:tc>
          <w:tcPr>
            <w:tcW w:w="8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White</w:t>
            </w:r>
          </w:p>
        </w:tc>
      </w:tr>
      <w:tr>
        <w:tblPrEx>
          <w:jc w:val="left"/>
          <w:tblInd w:w="80" w:type="dxa"/>
          <w:tblLayout w:type="fixed"/>
          <w:tblCellMar>
            <w:top w:w="0" w:type="dxa"/>
            <w:left w:w="0" w:type="dxa"/>
            <w:bottom w:w="0" w:type="dxa"/>
            <w:right w:w="0" w:type="dxa"/>
          </w:tblCellMar>
        </w:tblPrEx>
        <w:trPr>
          <w:cantSplit/>
          <w:tblHeader/>
          <w:jc w:val="left"/>
        </w:trPr>
        <w:tc>
          <w:tcPr>
            <w:tcW w:w="2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N=151 (100%)</w:t>
            </w:r>
          </w:p>
        </w:tc>
        <w:tc>
          <w:tcPr>
            <w:tcW w:w="2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N=154 (100%)</w:t>
            </w:r>
          </w:p>
        </w:tc>
        <w:tc>
          <w:tcPr>
            <w:tcW w:w="17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N=305 (100%)</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151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154  (100.0%)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305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White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151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154  (100.0%)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305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139  (  92.1%)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141  (  91.6%)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280  (  91.8%)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7.3%)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5.8%)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6.6%)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0.7%)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2.6%)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1.6%)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154                  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305                  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(4.9)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54.4  (4.9)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54.5  (4.9)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14.6%)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15.6%)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15.1%)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101  (  66.9%)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105  (  68.2%)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206  (  67.5%)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28  (  18.5%)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  (  16.2%)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  (  17.4%)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154                  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305                  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75.26  (14.47)</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73.18  (12.11)</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74.21  (13.35)</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73.20             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71.25             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72.30             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49.9,  117.4   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50.0,  107.0   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49.9,  117.4   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154                  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305                  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166.14  (6.98)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164.93  (7.13)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165.53  (7.07)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165.05             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147.3,  189.0   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144.7,  184.0   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154                  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305                  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27.21  (4.62)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26.92  (4.21)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27.06  (4.41)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26.60             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26.25             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26.30             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18.3,  36.9     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36.4%)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  (  33.1%)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106  (  34.8%)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  (  35.1%)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63  (  40.9%)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116  (  38.0%)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42  (  27.8%)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39  (  25.3%)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81  (  26.6%)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112  (  74.2%)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  (  60.4%)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205  (  67.2%)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13.2%)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16.9%)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15.1%)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  (  12.6%)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35  (  22.7%)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54  (  17.7%)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  43.0%)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  49.4%)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141  (  46.2%)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25.2%)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24.0%)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  (  24.6%)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0.7%)   </w:t>
            </w:r>
          </w:p>
        </w:tc>
      </w:tr>
      <w:tr>
        <w:tblPrEx>
          <w:jc w:val="left"/>
          <w:tblInd w:w="80" w:type="dxa"/>
          <w:tblLayout w:type="fixed"/>
          <w:tblCellMar>
            <w:top w:w="0" w:type="dxa"/>
            <w:left w:w="0" w:type="dxa"/>
            <w:bottom w:w="0" w:type="dxa"/>
            <w:right w:w="0" w:type="dxa"/>
          </w:tblCellMar>
        </w:tblPrEx>
        <w:trPr>
          <w:cantSplit/>
          <w:jc w:val="left"/>
        </w:trPr>
        <w:tc>
          <w:tcPr>
            <w:tcW w:w="284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46  (  30.5%)   </w:t>
            </w:r>
          </w:p>
        </w:tc>
        <w:tc>
          <w:tcPr>
            <w:tcW w:w="2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40  (  26.0%)   </w:t>
            </w:r>
          </w:p>
        </w:tc>
        <w:tc>
          <w:tcPr>
            <w:tcW w:w="17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86  (  28.2%)   </w:t>
            </w:r>
          </w:p>
        </w:tc>
      </w:tr>
      <w:tr>
        <w:tblPrEx>
          <w:jc w:val="left"/>
          <w:tblInd w:w="80" w:type="dxa"/>
          <w:tblLayout w:type="fixed"/>
          <w:tblCellMar>
            <w:top w:w="0" w:type="dxa"/>
            <w:left w:w="0" w:type="dxa"/>
            <w:bottom w:w="0" w:type="dxa"/>
            <w:right w:w="0" w:type="dxa"/>
          </w:tblCellMar>
        </w:tblPrEx>
        <w:trPr>
          <w:cantSplit/>
          <w:jc w:val="left"/>
        </w:trPr>
        <w:tc>
          <w:tcPr>
            <w:tcW w:w="8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840"/>
        <w:gridCol w:w="1825"/>
        <w:gridCol w:w="2465"/>
        <w:gridCol w:w="1765"/>
      </w:tblGrid>
      <w:tr>
        <w:tblPrEx>
          <w:jc w:val="left"/>
          <w:tblInd w:w="80" w:type="dxa"/>
          <w:tblLayout w:type="fixed"/>
          <w:tblCellMar>
            <w:top w:w="0" w:type="dxa"/>
            <w:left w:w="0" w:type="dxa"/>
            <w:bottom w:w="0" w:type="dxa"/>
            <w:right w:w="0" w:type="dxa"/>
          </w:tblCellMar>
        </w:tblPrEx>
        <w:trPr>
          <w:cantSplit/>
          <w:tblHeader/>
          <w:jc w:val="left"/>
        </w:trPr>
        <w:tc>
          <w:tcPr>
            <w:tcW w:w="889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5: Demographics by race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Black or African American</w:t>
            </w:r>
          </w:p>
        </w:tc>
      </w:tr>
      <w:tr>
        <w:tblPrEx>
          <w:jc w:val="left"/>
          <w:tblInd w:w="80" w:type="dxa"/>
          <w:tblLayout w:type="fixed"/>
          <w:tblCellMar>
            <w:top w:w="0" w:type="dxa"/>
            <w:left w:w="0" w:type="dxa"/>
            <w:bottom w:w="0" w:type="dxa"/>
            <w:right w:w="0" w:type="dxa"/>
          </w:tblCellMar>
        </w:tblPrEx>
        <w:trPr>
          <w:cantSplit/>
          <w:tblHeader/>
          <w:jc w:val="left"/>
        </w:trPr>
        <w:tc>
          <w:tcPr>
            <w:tcW w:w="2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N=38 (100%)</w:t>
            </w:r>
          </w:p>
        </w:tc>
        <w:tc>
          <w:tcPr>
            <w:tcW w:w="2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N=38 (100%)</w:t>
            </w:r>
          </w:p>
        </w:tc>
        <w:tc>
          <w:tcPr>
            <w:tcW w:w="17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N=76 (100%)</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38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38  (100.0%)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76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Black or African American</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38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38  (100.0%)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76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97.4%)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94.7%)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  96.1%)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2.6%)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3.9%)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55.1  (5.0)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55.4  (4.9)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55.3  (4.9)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13.2%)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13.2%)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68.4%)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68.4%)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68.4%)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18.4%)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18.4%)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  18.4%)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81.74  (15.05)</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79.81  (13.09)</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80.77  (14.04)</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79.55             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83.96             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82.20             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49.0,  112.9   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55.5,  111.1   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49.0,  112.9   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164.02  (7.04)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163.63  (7.07)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163.82  (7.01)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162.68             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162.78             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162.68             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150.0,  182.9   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149.9,  180.3   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149.9,  182.9   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30.32  (4.82)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29.83  (4.67)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30.07  (4.72)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30.95             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30.45             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30.75             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19.1,  37.6     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19.8,  37.7     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19.1,  37.7     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21.1%)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21.1%)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26.3%)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23.7%)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21  (  55.3%)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21  (  55.3%)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42  (  55.3%)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76.3%)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50.0%)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63.2%)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14.5%)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10.5%)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13  (  34.2%)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17  (  22.4%)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52.6%)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36.8%)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44.7%)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10.5%)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14.5%)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2.6%)   </w:t>
            </w:r>
          </w:p>
        </w:tc>
      </w:tr>
      <w:tr>
        <w:tblPrEx>
          <w:jc w:val="left"/>
          <w:tblInd w:w="80" w:type="dxa"/>
          <w:tblLayout w:type="fixed"/>
          <w:tblCellMar>
            <w:top w:w="0" w:type="dxa"/>
            <w:left w:w="0" w:type="dxa"/>
            <w:bottom w:w="0" w:type="dxa"/>
            <w:right w:w="0" w:type="dxa"/>
          </w:tblCellMar>
        </w:tblPrEx>
        <w:trPr>
          <w:cantSplit/>
          <w:jc w:val="left"/>
        </w:trPr>
        <w:tc>
          <w:tcPr>
            <w:tcW w:w="284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11  (  28.9%)   </w:t>
            </w:r>
          </w:p>
        </w:tc>
        <w:tc>
          <w:tcPr>
            <w:tcW w:w="2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18  (  47.4%)   </w:t>
            </w:r>
          </w:p>
        </w:tc>
        <w:tc>
          <w:tcPr>
            <w:tcW w:w="17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29  (  38.2%)   </w:t>
            </w:r>
          </w:p>
        </w:tc>
      </w:tr>
      <w:tr>
        <w:tblPrEx>
          <w:jc w:val="left"/>
          <w:tblInd w:w="80" w:type="dxa"/>
          <w:tblLayout w:type="fixed"/>
          <w:tblCellMar>
            <w:top w:w="0" w:type="dxa"/>
            <w:left w:w="0" w:type="dxa"/>
            <w:bottom w:w="0" w:type="dxa"/>
            <w:right w:w="0" w:type="dxa"/>
          </w:tblCellMar>
        </w:tblPrEx>
        <w:trPr>
          <w:cantSplit/>
          <w:jc w:val="left"/>
        </w:trPr>
        <w:tc>
          <w:tcPr>
            <w:tcW w:w="8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840"/>
        <w:gridCol w:w="1825"/>
        <w:gridCol w:w="2465"/>
        <w:gridCol w:w="1765"/>
      </w:tblGrid>
      <w:tr>
        <w:tblPrEx>
          <w:jc w:val="left"/>
          <w:tblInd w:w="80" w:type="dxa"/>
          <w:tblLayout w:type="fixed"/>
          <w:tblCellMar>
            <w:top w:w="0" w:type="dxa"/>
            <w:left w:w="0" w:type="dxa"/>
            <w:bottom w:w="0" w:type="dxa"/>
            <w:right w:w="0" w:type="dxa"/>
          </w:tblCellMar>
        </w:tblPrEx>
        <w:trPr>
          <w:cantSplit/>
          <w:tblHeader/>
          <w:jc w:val="left"/>
        </w:trPr>
        <w:tc>
          <w:tcPr>
            <w:tcW w:w="889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5: Demographics by race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Asian</w:t>
            </w:r>
          </w:p>
        </w:tc>
      </w:tr>
      <w:tr>
        <w:tblPrEx>
          <w:jc w:val="left"/>
          <w:tblInd w:w="80" w:type="dxa"/>
          <w:tblLayout w:type="fixed"/>
          <w:tblCellMar>
            <w:top w:w="0" w:type="dxa"/>
            <w:left w:w="0" w:type="dxa"/>
            <w:bottom w:w="0" w:type="dxa"/>
            <w:right w:w="0" w:type="dxa"/>
          </w:tblCellMar>
        </w:tblPrEx>
        <w:trPr>
          <w:cantSplit/>
          <w:tblHeader/>
          <w:jc w:val="left"/>
        </w:trPr>
        <w:tc>
          <w:tcPr>
            <w:tcW w:w="2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N=2 (100%)</w:t>
            </w:r>
          </w:p>
        </w:tc>
        <w:tc>
          <w:tcPr>
            <w:tcW w:w="2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 (100%)</w:t>
            </w:r>
          </w:p>
        </w:tc>
        <w:tc>
          <w:tcPr>
            <w:tcW w:w="17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 (100%)</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Asian</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52.5  (2.1)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49.0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51.3  (2.5)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51,  54           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49,  49       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49,  54           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53.97  (11.56)</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80.74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62.89  (17.48)</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53.97             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80.74         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62.14             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45.8,  62.1     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80.7,  80.7</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45.8,  80.7     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153.47  (2.08)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162.56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156.50  (5.45)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153.47             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162.56         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154.94             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152.0,  154.9   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162.6,  162.6</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152.0,  162.6   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22.85  (4.31)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30.50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25.40  (5.37)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22.85             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30.50         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25.90             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19.8,  25.9     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30.5,  30.5</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19.8,  30.5     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c>
          <w:tcPr>
            <w:tcW w:w="17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8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5: Demographics by race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American Indian or Alaska Native</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N=2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(1.4)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55,  55       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53,  53       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53,  55         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83.46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93.08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88.27  (6.80)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83.46         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93.08         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88.27           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83.5,  83.5</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93.1,  93.1</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83.5,  93.1   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153.16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157.48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155.32  (3.05)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153.16         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157.48         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155.32           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153.2,  153.2</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157.5,  157.5</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153.2,  157.5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35.60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37.50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36.55  (1.34)</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35.60         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37.50         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36.55           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35.6,  35.6</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37.5,  37.5</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35.6,  37.5   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840"/>
        <w:gridCol w:w="1825"/>
        <w:gridCol w:w="2465"/>
        <w:gridCol w:w="1765"/>
      </w:tblGrid>
      <w:tr>
        <w:tblPrEx>
          <w:jc w:val="left"/>
          <w:tblInd w:w="80" w:type="dxa"/>
          <w:tblLayout w:type="fixed"/>
          <w:tblCellMar>
            <w:top w:w="0" w:type="dxa"/>
            <w:left w:w="0" w:type="dxa"/>
            <w:bottom w:w="0" w:type="dxa"/>
            <w:right w:w="0" w:type="dxa"/>
          </w:tblCellMar>
        </w:tblPrEx>
        <w:trPr>
          <w:cantSplit/>
          <w:tblHeader/>
          <w:jc w:val="left"/>
        </w:trPr>
        <w:tc>
          <w:tcPr>
            <w:tcW w:w="889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5: Demographics by race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Multiple</w:t>
            </w:r>
          </w:p>
        </w:tc>
      </w:tr>
      <w:tr>
        <w:tblPrEx>
          <w:jc w:val="left"/>
          <w:tblInd w:w="80" w:type="dxa"/>
          <w:tblLayout w:type="fixed"/>
          <w:tblCellMar>
            <w:top w:w="0" w:type="dxa"/>
            <w:left w:w="0" w:type="dxa"/>
            <w:bottom w:w="0" w:type="dxa"/>
            <w:right w:w="0" w:type="dxa"/>
          </w:tblCellMar>
        </w:tblPrEx>
        <w:trPr>
          <w:cantSplit/>
          <w:tblHeader/>
          <w:jc w:val="left"/>
        </w:trPr>
        <w:tc>
          <w:tcPr>
            <w:tcW w:w="2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N=3 (100%)</w:t>
            </w:r>
          </w:p>
        </w:tc>
        <w:tc>
          <w:tcPr>
            <w:tcW w:w="2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N=0 (100%)</w:t>
            </w:r>
          </w:p>
        </w:tc>
        <w:tc>
          <w:tcPr>
            <w:tcW w:w="17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 (100%)</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Multiple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(2.6)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(2.6)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50,  55           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50,  55           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72.66  (10.75)</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72.66  (10.75)</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72.03             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72.03             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62.2,  83.7     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62.2,  83.7     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166.55  (6.06)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166.55  (6.06)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167.64             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167.64             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160.0,  172.0   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160.0,  172.0   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26.07  (2.04)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26.07  (2.04)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25.60             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25.60             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24.3,  28.3     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24.3,  28.3     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7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8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840"/>
        <w:gridCol w:w="1825"/>
        <w:gridCol w:w="2465"/>
        <w:gridCol w:w="1765"/>
      </w:tblGrid>
      <w:tr>
        <w:tblPrEx>
          <w:jc w:val="left"/>
          <w:tblInd w:w="80" w:type="dxa"/>
          <w:tblLayout w:type="fixed"/>
          <w:tblCellMar>
            <w:top w:w="0" w:type="dxa"/>
            <w:left w:w="0" w:type="dxa"/>
            <w:bottom w:w="0" w:type="dxa"/>
            <w:right w:w="0" w:type="dxa"/>
          </w:tblCellMar>
        </w:tblPrEx>
        <w:trPr>
          <w:cantSplit/>
          <w:tblHeader/>
          <w:jc w:val="left"/>
        </w:trPr>
        <w:tc>
          <w:tcPr>
            <w:tcW w:w="889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5: Demographics by race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9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Race: Not reported</w:t>
            </w:r>
          </w:p>
        </w:tc>
      </w:tr>
      <w:tr>
        <w:tblPrEx>
          <w:jc w:val="left"/>
          <w:tblInd w:w="80" w:type="dxa"/>
          <w:tblLayout w:type="fixed"/>
          <w:tblCellMar>
            <w:top w:w="0" w:type="dxa"/>
            <w:left w:w="0" w:type="dxa"/>
            <w:bottom w:w="0" w:type="dxa"/>
            <w:right w:w="0" w:type="dxa"/>
          </w:tblCellMar>
        </w:tblPrEx>
        <w:trPr>
          <w:cantSplit/>
          <w:tblHeader/>
          <w:jc w:val="left"/>
        </w:trPr>
        <w:tc>
          <w:tcPr>
            <w:tcW w:w="284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N=4 (100%)</w:t>
            </w:r>
          </w:p>
        </w:tc>
        <w:tc>
          <w:tcPr>
            <w:tcW w:w="2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N=3 (100%)</w:t>
            </w:r>
          </w:p>
        </w:tc>
        <w:tc>
          <w:tcPr>
            <w:tcW w:w="17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N=7 (100%)</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(100.0%)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85.7%)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25.0%)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14.3%)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50.5  (4.4)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(6.9)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(5.4)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47,  56           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46,  58         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46,  58           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42.9%)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57.1%)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69.95  (17.20)</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87.09  (5.79)</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77.29  (15.59)</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65.52             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85.73           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82.10             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55.3,  93.4     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82.1,  93.4   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55.3,  93.4     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161.10  (6.90)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160.87  (2.93)</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161.00  (5.17)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157.74             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162.56           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158.00             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157.5,  171.5   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157.5,  162.6</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157.5,  171.5   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27.00  (6.99)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33.63  (2.23)</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29.84  (6.22)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24.15             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34.50           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31.10             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22.3,  37.4     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31.1,  35.3   </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22.3,  37.4     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42.9%)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25.0%)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57.1%)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71.4%)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33.3%)</w:t>
            </w:r>
          </w:p>
        </w:tc>
        <w:tc>
          <w:tcPr>
            <w:tcW w:w="17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14.3%)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25" w:type="dxa"/>
            <w:tcMar>
              <w:left w:w="80" w:type="dxa"/>
              <w:right w:w="80" w:type="dxa"/>
            </w:tcMar>
            <w:textDirection w:val="lrTb"/>
            <w:vAlign w:val="top"/>
          </w:tcPr>
          <w:p>
            <w:pPr>
              <w:pStyle w:val="Smalltext80"/>
              <w:jc w:val="left"/>
              <w:rPr>
                <w:rFonts w:ascii="Times" w:hAnsi="Times" w:cs="Times"/>
              </w:rPr>
            </w:pPr>
          </w:p>
        </w:tc>
        <w:tc>
          <w:tcPr>
            <w:tcW w:w="2465" w:type="dxa"/>
            <w:tcMar>
              <w:left w:w="80" w:type="dxa"/>
              <w:right w:w="80" w:type="dxa"/>
            </w:tcMar>
            <w:textDirection w:val="lrTb"/>
            <w:vAlign w:val="top"/>
          </w:tcPr>
          <w:p>
            <w:pPr>
              <w:pStyle w:val="Smalltext80"/>
              <w:jc w:val="left"/>
              <w:rPr>
                <w:rFonts w:ascii="Times" w:hAnsi="Times" w:cs="Times"/>
              </w:rPr>
            </w:pPr>
          </w:p>
        </w:tc>
        <w:tc>
          <w:tcPr>
            <w:tcW w:w="17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42.9%)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84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25.0%)   </w:t>
            </w:r>
          </w:p>
        </w:tc>
        <w:tc>
          <w:tcPr>
            <w:tcW w:w="24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3  (100.0%)</w:t>
            </w:r>
          </w:p>
        </w:tc>
        <w:tc>
          <w:tcPr>
            <w:tcW w:w="176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  (  57.1%)   </w:t>
            </w:r>
          </w:p>
        </w:tc>
      </w:tr>
      <w:tr>
        <w:tblPrEx>
          <w:jc w:val="left"/>
          <w:tblInd w:w="80" w:type="dxa"/>
          <w:tblLayout w:type="fixed"/>
          <w:tblCellMar>
            <w:top w:w="0" w:type="dxa"/>
            <w:left w:w="0" w:type="dxa"/>
            <w:bottom w:w="0" w:type="dxa"/>
            <w:right w:w="0" w:type="dxa"/>
          </w:tblCellMar>
        </w:tblPrEx>
        <w:trPr>
          <w:cantSplit/>
          <w:jc w:val="left"/>
        </w:trPr>
        <w:tc>
          <w:tcPr>
            <w:tcW w:w="889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8" w:name="_Toc256000034"/>
            <w:r>
              <w:t>Table 8.1.4 / 6: Demographics by Ethnicity (full analysis set)</w:t>
            </w:r>
            <w:bookmarkEnd w:id="28"/>
          </w:p>
          <w:p>
            <w:pPr>
              <w:pStyle w:val="BayerSASCaptionDocFish"/>
              <w:ind w:left="1541" w:hanging="1541"/>
              <w:outlineLvl w:val="3"/>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Ethnicity: Not Hispanic or Latino</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N=180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N=179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N=359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180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179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359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139  (  77.2%)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141  (  78.8%)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280  (  78.0%)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20.6%)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20.1%)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  20.3%)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180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179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359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54.7  (4.8)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54.7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54.7  (4.8)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13.9%)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15.6%)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  (  14.8%)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123  (  68.3%)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119  (  66.5%)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242  (  67.4%)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17.8%)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17.9%)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64  (  17.8%)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76.65  (14.75)</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75.07  (12.73)</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75.86  (13.78)</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74.15             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50.0,  111.1   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166.01  (7.01)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165.08  (7.08)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165.55  (7.05)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144.7,  184.0   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180                  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359                  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27.76  (4.78)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27.58  (4.58)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27.67  (4.67)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27.40             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18.3,  37.7     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33.9%)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30.7%)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116  (  32.3%)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32.8%)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35.8%)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123  (  34.3%)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59  (  32.8%)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59  (  33.0%)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118  (  32.9%)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136  (  75.6%)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99  (  55.3%)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  65.5%)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13.3%)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17.9%)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15.6%)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20  (  11.1%)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48  (  26.8%)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68  (  18.9%)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83  (  46.1%)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  (  44.1%)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162  (  45.1%)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25.0%)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22.3%)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85  (  23.7%)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50  (  27.8%)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57  (  31.8%)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107  (  29.8%)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6: Demographics by Ethnicity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Ethnicity: Hispanic or Latino</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N=17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N=14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N=31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17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31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64.7%)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64.3%)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64.5%)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14.3%)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9.7%)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17.6%)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21.4%)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19.4%)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17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31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52.9  (5.5)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52.7  (5.0)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52.8  (5.2)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42,  65           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41,  59           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23.5%)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14.3%)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19.4%)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64.7%)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85.7%)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74.2%)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11.8%)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71.26  (16.10)</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73.28  (11.84)</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72.17  (14.15)</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67.13             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69.44             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49.9,  103.6   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55.7,  93.4     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49.9,  103.6   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159.11  (5.30)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159.82  (4.32)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159.43  (4.82)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158.00             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158.75             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158.00             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152.4,  170.0   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152.4,  169.0   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152.4,  170.0   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28.09  (5.85)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28.67  (4.41)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28.35  (5.17)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26.60             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19.5,  37.6     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22.4,  35.3     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19.5,  37.6     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41.2%)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21.4%)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32.3%)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23.5%)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35.7%)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35.3%)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42.9%)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  38.7%)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76.5%)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85.7%)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80.6%)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7.1%)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17.6%)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7.1%)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12.9%)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52.9%)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57.1%)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54.8%)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7.1%)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8  (  47.1%)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  (  35.7%)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13  (  41.9%)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6: Demographics by Ethnicity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Ethnicity: Not reported</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N=2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N=4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N=6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83.3%)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56.5  (6.4)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(5.4)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54.2  (5.3)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52,  61         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45,  56         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45,  61         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25.0%)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66.7%)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75.48  (4.88)</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68.56  (7.17)</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70.87  (6.96)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75.48           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68.54           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72.0,  78.9   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60.8,  76.4   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60.8,  78.9   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168.28  (4.49)</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158.43  (6.51)</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161.71  (7.43)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168.28           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158.75           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163.83           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165.1,  171.5</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151.1,  165.1</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151.1,  171.5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26.70  (3.11)</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27.28  (1.36)</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27.08  (1.77)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26.70           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24.5,  28.9   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25.3,  28.3   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24.5,  28.9   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83.3%)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83.3%)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66.7%)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50.0%)</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25.0%)</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  (  33.3%)</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29" w:name="_Toc256000036"/>
            <w:r>
              <w:t>Table 8.1.4 / 7: Demographics by Smoking History (full analysis set)</w:t>
            </w:r>
            <w:bookmarkEnd w:id="29"/>
          </w:p>
          <w:p>
            <w:pPr>
              <w:pStyle w:val="BayerSASCaptionDocFish"/>
              <w:ind w:left="1541" w:hanging="1541"/>
              <w:outlineLvl w:val="3"/>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Smoking History: Never</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N=150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N=115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N=265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115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265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112  (  74.7%)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93  (  80.9%)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205  (  77.4%)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19.3%)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16.5%)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18.1%)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2.0%)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2.0%)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1.9%)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136  (  90.7%)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99  (  86.1%)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235  (  88.7%)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8.7%)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10.4%)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9.4%)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0.7%)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3.5%)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1.9%)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54.2  (4.7)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54.9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54.5  (4.8)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15.7%)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14.7%)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109  (  72.7%)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67.0%)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186  (  70.2%)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20  (  13.3%)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20  (  17.4%)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  15.1%)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76.25  (15.07)</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75.16  (12.06)</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75.78  (13.83)</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74.57             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50.5,  111.1   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45.8,  117.4   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165.33  (7.05)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164.05  (7.08)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164.78  (7.08)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164.50             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165.00             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144.7,  180.3   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150                  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115                  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265                  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27.82  (4.85)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27.95  (4.24)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27.88  (4.59)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27.05             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27.90             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19.8,  37.7     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  (  34.0%)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27.0%)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  (  30.9%)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32.7%)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39.1%)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94  (  35.5%)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  32.7%)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39  (  33.9%)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88  (  33.2%)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Never</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115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265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52.0%)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  (  46.1%)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131  (  49.4%)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22.7%)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20.0%)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  (  21.5%)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0.8%)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36  (  24.0%)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38  (  33.0%)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74  (  27.9%)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7: Demographics by Smoking History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Smoking History: Former</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N=26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N=33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N=59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26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33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59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76.9%)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78.8%)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78.0%)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19.2%)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18.2%)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18.6%)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3.8%)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92.3%)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97.0%)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94.9%)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3.4%)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3.8%)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58.3  (3.5)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55.8  (5.0)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56.9  (4.6)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52,  65           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46,  65           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46,  65           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12.1%)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6.8%)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53.8%)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57.6%)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55.9%)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  46.2%)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  30.3%)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  (  37.3%)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73.03  (12.31)</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77.50  (14.07)</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75.53  (13.40)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72.43             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77.29             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49.0,  102.9   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54.0,  107.0   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49.0,  107.0   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165.96  (6.63)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167.40  (7.66)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166.77  (7.20)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167.80             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167.64             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152.4,  180.0   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153.0,  184.0   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152.4,  184.0   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26.62  (4.84)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27.71  (5.07)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27.23  (4.96)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26.55             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26.80             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18.9,  36.2     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18.9,  37.5     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18.9,  37.5     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46.2%)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33.3%)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39.0%)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30.8%)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30.3%)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30.5%)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23.1%)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12  (  36.4%)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  (  30.5%)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Former</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26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33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59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34.6%)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60.6%)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49.2%)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19.2%)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18.2%)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18.6%)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12  (  46.2%)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7  (  21.2%)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19  (  32.2%)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2980"/>
        <w:gridCol w:w="1785"/>
        <w:gridCol w:w="2425"/>
        <w:gridCol w:w="1725"/>
      </w:tblGrid>
      <w:tr>
        <w:tblPrEx>
          <w:jc w:val="left"/>
          <w:tblInd w:w="80" w:type="dxa"/>
          <w:tblLayout w:type="fixed"/>
          <w:tblCellMar>
            <w:top w:w="0" w:type="dxa"/>
            <w:left w:w="0" w:type="dxa"/>
            <w:bottom w:w="0" w:type="dxa"/>
            <w:right w:w="0" w:type="dxa"/>
          </w:tblCellMar>
        </w:tblPrEx>
        <w:trPr>
          <w:cantSplit/>
          <w:tblHeader/>
          <w:jc w:val="left"/>
        </w:trPr>
        <w:tc>
          <w:tcPr>
            <w:tcW w:w="891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7: Demographics by Smoking History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91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Smoking History: Current</w:t>
            </w:r>
          </w:p>
        </w:tc>
      </w:tr>
      <w:tr>
        <w:tblPrEx>
          <w:jc w:val="left"/>
          <w:tblInd w:w="80" w:type="dxa"/>
          <w:tblLayout w:type="fixed"/>
          <w:tblCellMar>
            <w:top w:w="0" w:type="dxa"/>
            <w:left w:w="0" w:type="dxa"/>
            <w:bottom w:w="0" w:type="dxa"/>
            <w:right w:w="0" w:type="dxa"/>
          </w:tblCellMar>
        </w:tblPrEx>
        <w:trPr>
          <w:cantSplit/>
          <w:tblHeader/>
          <w:jc w:val="left"/>
        </w:trPr>
        <w:tc>
          <w:tcPr>
            <w:tcW w:w="298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7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N=23 (100%)</w:t>
            </w:r>
          </w:p>
        </w:tc>
        <w:tc>
          <w:tcPr>
            <w:tcW w:w="24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N=49 (100%)</w:t>
            </w:r>
          </w:p>
        </w:tc>
        <w:tc>
          <w:tcPr>
            <w:tcW w:w="1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N=72 (100%)</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72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82.6%)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71.4%)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  (  75.0%)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17.4%)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26.5%)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23.6%)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87.0%)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98.0%)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94.4%)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13.0%)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5.6%)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52.3  (5.3)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52.8  (4.5)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52.7  (4.8)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45,  65           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34.8%)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18.4%)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23.6%)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52.2%)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77.6%)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  (  69.4%)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13.0%)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4.1%)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6.9%)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79.23  (15.77)</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72.18  (12.52)</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74.43  (13.93)</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78.40             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70.50             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72.70             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53.0,  112.9   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50.0,  112.9   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165.61  (8.32)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163.88  (6.26)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164.43  (6.97)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163.00             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163.50             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152.4,  185.0   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149.9,  180.0   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149.9,  185.0   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28.80  (4.76)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26.92  (4.78)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27.52  (4.82)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29.00             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27.60             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18.6,  36.1     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18.3,  36.3     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18.3,  36.3     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&lt;18.5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18.5 to &lt;25</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26.1%)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32.7%)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30.6%)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25 to &lt;30</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30.4%)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36.7%)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34.7%)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  43.5%)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  28.6%)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  (  33.3%)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7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(100.0%)   </w:t>
            </w:r>
          </w:p>
        </w:tc>
        <w:tc>
          <w:tcPr>
            <w:tcW w:w="24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  (100.0%)   </w:t>
            </w:r>
          </w:p>
        </w:tc>
        <w:tc>
          <w:tcPr>
            <w:tcW w:w="17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72  (100.0%)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785" w:type="dxa"/>
            <w:tcMar>
              <w:left w:w="80" w:type="dxa"/>
              <w:right w:w="80" w:type="dxa"/>
            </w:tcMar>
            <w:textDirection w:val="lrTb"/>
            <w:vAlign w:val="top"/>
          </w:tcPr>
          <w:p>
            <w:pPr>
              <w:pStyle w:val="Smalltext80"/>
              <w:jc w:val="left"/>
              <w:rPr>
                <w:rFonts w:ascii="Times" w:hAnsi="Times" w:cs="Times"/>
              </w:rPr>
            </w:pPr>
          </w:p>
        </w:tc>
        <w:tc>
          <w:tcPr>
            <w:tcW w:w="2425" w:type="dxa"/>
            <w:tcMar>
              <w:left w:w="80" w:type="dxa"/>
              <w:right w:w="80" w:type="dxa"/>
            </w:tcMar>
            <w:textDirection w:val="lrTb"/>
            <w:vAlign w:val="top"/>
          </w:tcPr>
          <w:p>
            <w:pPr>
              <w:pStyle w:val="Smalltext80"/>
              <w:jc w:val="left"/>
              <w:rPr>
                <w:rFonts w:ascii="Times" w:hAnsi="Times" w:cs="Times"/>
              </w:rPr>
            </w:pPr>
          </w:p>
        </w:tc>
        <w:tc>
          <w:tcPr>
            <w:tcW w:w="17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26.1%)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34.7%)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31.9%)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26.1%)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24.5%)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25.0%)   </w:t>
            </w:r>
          </w:p>
        </w:tc>
      </w:tr>
      <w:tr>
        <w:tblPrEx>
          <w:jc w:val="left"/>
          <w:tblInd w:w="80" w:type="dxa"/>
          <w:tblLayout w:type="fixed"/>
          <w:tblCellMar>
            <w:top w:w="0" w:type="dxa"/>
            <w:left w:w="0" w:type="dxa"/>
            <w:bottom w:w="0" w:type="dxa"/>
            <w:right w:w="0" w:type="dxa"/>
          </w:tblCellMar>
        </w:tblPrEx>
        <w:trPr>
          <w:cantSplit/>
          <w:jc w:val="left"/>
        </w:trPr>
        <w:tc>
          <w:tcPr>
            <w:tcW w:w="298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7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4.1%)   </w:t>
            </w:r>
          </w:p>
        </w:tc>
        <w:tc>
          <w:tcPr>
            <w:tcW w:w="17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2.8%)   </w:t>
            </w:r>
          </w:p>
        </w:tc>
      </w:tr>
      <w:tr>
        <w:tblPrEx>
          <w:jc w:val="left"/>
          <w:tblInd w:w="80" w:type="dxa"/>
          <w:tblLayout w:type="fixed"/>
          <w:tblCellMar>
            <w:top w:w="0" w:type="dxa"/>
            <w:left w:w="0" w:type="dxa"/>
            <w:bottom w:w="0" w:type="dxa"/>
            <w:right w:w="0" w:type="dxa"/>
          </w:tblCellMar>
        </w:tblPrEx>
        <w:trPr>
          <w:cantSplit/>
          <w:jc w:val="left"/>
        </w:trPr>
        <w:tc>
          <w:tcPr>
            <w:tcW w:w="298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78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11  (  47.8%)   </w:t>
            </w:r>
          </w:p>
        </w:tc>
        <w:tc>
          <w:tcPr>
            <w:tcW w:w="24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18  (  36.7%)   </w:t>
            </w:r>
          </w:p>
        </w:tc>
        <w:tc>
          <w:tcPr>
            <w:tcW w:w="17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29  (  40.3%)   </w:t>
            </w:r>
          </w:p>
        </w:tc>
      </w:tr>
      <w:tr>
        <w:tblPrEx>
          <w:jc w:val="left"/>
          <w:tblInd w:w="80" w:type="dxa"/>
          <w:tblLayout w:type="fixed"/>
          <w:tblCellMar>
            <w:top w:w="0" w:type="dxa"/>
            <w:left w:w="0" w:type="dxa"/>
            <w:bottom w:w="0" w:type="dxa"/>
            <w:right w:w="0" w:type="dxa"/>
          </w:tblCellMar>
        </w:tblPrEx>
        <w:trPr>
          <w:cantSplit/>
          <w:jc w:val="left"/>
        </w:trPr>
        <w:tc>
          <w:tcPr>
            <w:tcW w:w="89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0" w:name="_Toc256000038"/>
            <w:r>
              <w:t>Table 8.1.4 / 8: Demographics by BMI (full analysis set)</w:t>
            </w:r>
            <w:bookmarkEnd w:id="30"/>
          </w:p>
          <w:p>
            <w:pPr>
              <w:pStyle w:val="BayerSASCaptionDocFish"/>
              <w:ind w:left="1541" w:hanging="1541"/>
              <w:outlineLvl w:val="3"/>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Body Mass Index Group (kg/m2): &lt;18.5</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N=2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51.5  (0.7)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51,  51       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52,  52       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51,  52         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49.90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51.45  (2.19)</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49.90         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51.45           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49.9,  49.9</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53.0,  53.0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49.9,  53.0   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165.10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170.00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167.55  (3.46)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165.10         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170.00         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167.55           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165.1,  165.1</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170.0,  170.0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165.1,  170.0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18.3,  18.3</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18.3,  18.3</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18.3,  18.3   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&lt;18.5</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8: Demographics by BMI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Body Mass Index Group (kg/m2): 18.5 to &lt;25</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N=69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N=58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N=127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69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58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127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55  (  79.7%)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51  (  87.9%)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106  (  83.5%)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13.0%)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12.1%)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12.6%)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4.3%)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2.4%)</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61  (  88.4%)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55  (  94.8%)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116  (  91.3%)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10.1%)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5.2%)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7.9%)</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1.4%)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127                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54.6  (4.4)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53.7  (5.4)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54.2  (4.9)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45,  63         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40,  65         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11.6%)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15  (  25.9%)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18.1%)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49  (  71.0%)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33  (  56.9%)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  (  64.6%)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12  (  17.4%)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10  (  17.2%)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  (  17.3%)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127                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62.98  (7.37)</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62.41  (6.09)</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62.72  (6.79)</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63.00           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61.84           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45.8,  81.5   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50.0,  80.3   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45.8,  81.5   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127                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165.90  (6.75)</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166.40  (7.09)</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166.13  (6.88)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167.00           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168.00           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167.00           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147.3,  182.0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150.0,  184.0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147.3,  184.0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127                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22.83  (1.73)</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22.53  (1.62)</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22.70  (1.68)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23.20           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22.70           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18.6,  24.9   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18.9,  24.9   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18.6,  24.9   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18.5 to &lt;25</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69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58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127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51  (  73.9%)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31  (  53.4%)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82  (  64.6%)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12  (  17.4%)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11  (  19.0%)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18.1%)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8.7%)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  (  27.6%)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22  (  17.3%)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31  (  44.9%)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31  (  53.4%)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  (  48.8%)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18  (  26.1%)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20  (  34.5%)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29.9%)</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1.6%)</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19  (  27.5%)   </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6  (  10.3%)   </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25  (  19.7%)</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8: Demographics by BMI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Body Mass Index Group (kg/m2): 25 to &lt;30</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N=64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N=73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N=137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64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73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137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53  (  82.8%)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63  (  86.3%)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116  (  84.7%)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12.5%)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10  (  13.7%)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13.1%)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3.1%)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59  (  92.2%)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64  (  87.7%)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123  (  89.8%)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6.3%)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6.8%)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6.6%)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1.6%)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5.5%)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3.6%)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55.2  (4.6)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(4.4)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55.1  (4.5)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44,  65         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42,  64         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42,  65         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10.9%)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9.5%)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44  (  68.8%)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56  (  76.7%)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100  (  73.0%)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  (  20.3%)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  (  15.1%)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  (  17.5%)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74.89  (7.84)</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73.28  (6.88)</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74.03  (7.37)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72.12           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72.58           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57.5,  91.2   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60.8,  93.4   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57.5,  93.4   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165.11  (6.85)</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164.13  (7.08)</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164.59  (6.96)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164.00           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164.50           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147.6,  178.0</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149.9,  181.0</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147.6,  181.0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137                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27.40  (1.52)</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27.18  (1.51)</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27.28  (1.51)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27.55           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27.10           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25.0,  29.9   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25.0,  29.9   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25.0,  29.9   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25 to &lt;30</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64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73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137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49  (  76.6%)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45  (  61.6%)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94  (  68.6%)</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12.5%)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10  (  13.7%)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13.1%)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10.9%)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  (  24.7%)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25  (  18.2%)</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31  (  48.4%)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33  (  45.2%)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46.7%)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13  (  20.3%)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14  (  19.2%)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19.7%)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0.7%)</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19  (  29.7%)   </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25  (  34.2%)   </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44  (  32.1%)</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3000"/>
        <w:gridCol w:w="1805"/>
        <w:gridCol w:w="2445"/>
        <w:gridCol w:w="1625"/>
      </w:tblGrid>
      <w:tr>
        <w:tblPrEx>
          <w:jc w:val="left"/>
          <w:tblInd w:w="80" w:type="dxa"/>
          <w:tblLayout w:type="fixed"/>
          <w:tblCellMar>
            <w:top w:w="0" w:type="dxa"/>
            <w:left w:w="0" w:type="dxa"/>
            <w:bottom w:w="0" w:type="dxa"/>
            <w:right w:w="0" w:type="dxa"/>
          </w:tblCellMar>
        </w:tblPrEx>
        <w:trPr>
          <w:cantSplit/>
          <w:tblHeader/>
          <w:jc w:val="left"/>
        </w:trPr>
        <w:tc>
          <w:tcPr>
            <w:tcW w:w="8875" w:type="dxa"/>
            <w:gridSpan w:val="4"/>
            <w:tcMar>
              <w:left w:w="80" w:type="dxa"/>
              <w:right w:w="80" w:type="dxa"/>
            </w:tcMar>
            <w:textDirection w:val="lrTb"/>
            <w:vAlign w:val="bottom"/>
          </w:tcPr>
          <w:p>
            <w:pPr>
              <w:pStyle w:val="BayerSASMono"/>
              <w:keepNext/>
              <w:pageBreakBefore/>
              <w:pBdr>
                <w:bottom w:val="none" w:sz="0" w:space="0" w:color="auto"/>
              </w:pBdr>
              <w:ind w:left="1541" w:hanging="1541"/>
              <w:jc w:val="left"/>
              <w:rPr>
                <w:rFonts w:ascii="Times" w:hAnsi="Times" w:cs="Times"/>
                <w:b w:val="0"/>
                <w:bCs w:val="0"/>
                <w:i w:val="0"/>
                <w:iCs w:val="0"/>
              </w:rPr>
            </w:pPr>
            <w:r>
              <w:t>Table 8.1.4 / 8: Demographics by BMI (full analysis set) (cont.)</w:t>
            </w:r>
          </w:p>
          <w:p>
            <w:pPr>
              <w:pStyle w:val="BayerSASMono"/>
              <w:ind w:left="1541" w:hanging="1541"/>
            </w:pPr>
          </w:p>
        </w:tc>
      </w:tr>
      <w:tr>
        <w:tblPrEx>
          <w:jc w:val="left"/>
          <w:tblInd w:w="80" w:type="dxa"/>
          <w:tblLayout w:type="fixed"/>
          <w:tblCellMar>
            <w:top w:w="0" w:type="dxa"/>
            <w:left w:w="80" w:type="dxa"/>
            <w:bottom w:w="0" w:type="dxa"/>
            <w:right w:w="80" w:type="dxa"/>
          </w:tblCellMar>
        </w:tblPrEx>
        <w:trPr>
          <w:cantSplit/>
          <w:tblHeader/>
          <w:jc w:val="left"/>
        </w:trPr>
        <w:tc>
          <w:tcPr>
            <w:tcW w:w="8875" w:type="dxa"/>
            <w:gridSpan w:val="4"/>
            <w:tcMar>
              <w:left w:w="80" w:type="dxa"/>
              <w:right w:w="80" w:type="dxa"/>
            </w:tcMar>
            <w:textDirection w:val="lrTb"/>
            <w:vAlign w:val="bottom"/>
          </w:tcPr>
          <w:p>
            <w:pPr>
              <w:pStyle w:val="Smalltext80"/>
              <w:keepNext/>
              <w:pBdr>
                <w:bottom w:val="single" w:sz="2" w:space="0" w:color="auto"/>
              </w:pBdr>
              <w:jc w:val="left"/>
              <w:rPr>
                <w:rFonts w:ascii="Times" w:hAnsi="Times" w:cs="Times"/>
              </w:rPr>
            </w:pPr>
            <w:r>
              <w:rPr>
                <w:rFonts w:ascii="Times" w:hAnsi="Times" w:cs="Times"/>
              </w:rPr>
              <w:t>Body Mass Index Group (kg/m2): &gt;=30</w:t>
            </w:r>
          </w:p>
        </w:tc>
      </w:tr>
      <w:tr>
        <w:tblPrEx>
          <w:jc w:val="left"/>
          <w:tblInd w:w="80" w:type="dxa"/>
          <w:tblLayout w:type="fixed"/>
          <w:tblCellMar>
            <w:top w:w="0" w:type="dxa"/>
            <w:left w:w="0" w:type="dxa"/>
            <w:bottom w:w="0" w:type="dxa"/>
            <w:right w:w="0" w:type="dxa"/>
          </w:tblCellMar>
        </w:tblPrEx>
        <w:trPr>
          <w:cantSplit/>
          <w:tblHeader/>
          <w:jc w:val="left"/>
        </w:trPr>
        <w:tc>
          <w:tcPr>
            <w:tcW w:w="30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8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N=65 (100%)</w:t>
            </w:r>
          </w:p>
        </w:tc>
        <w:tc>
          <w:tcPr>
            <w:tcW w:w="24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N=65 (100%)</w:t>
            </w:r>
          </w:p>
        </w:tc>
        <w:tc>
          <w:tcPr>
            <w:tcW w:w="16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N=130 (100%)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Sex</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Female</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65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65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130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Race</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White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42  (  64.6%)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39  (  60.0%)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  62.3%)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Black or African American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21  (  32.3%)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21  (  32.3%)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32.3%)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American Indian or Alaska Native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1.5%)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4.6%)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3.1%)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Ethnicity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Not 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59  (  90.8%)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59  (  90.8%)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118  (  90.8%)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Hispanic or Latino</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9.2%)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9.2%)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9.2%)</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Not reported</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(years)</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53.9  (5.7)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54.8  (4.9)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54.4  (5.3)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41,  65         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Age group</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40 - 49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14  (  21.5%)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10  (  15.4%)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18.5%)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50 - 59 years</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41  (  63.1%)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44  (  67.7%)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85  (  65.4%)</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60 - 65 years</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10  (  15.4%)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11  (  16.9%)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21  (  16.2%)</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Weight (kg)</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91.85  (10.61)</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87.92  (8.63)</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89.89  (9.83)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90.18             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87.09           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89.43           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73.0,  117.4   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67.2,  111.1</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67.2,  117.4</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Height (cm)</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165.29  (7.86)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163.36  (6.84)</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164.32  (7.40)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165.00             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162.56           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164.00           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152.4,  189.0   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144.7,  180.3</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144.7,  189.0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130                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33.54  (2.34)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32.90  (2.08)</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33.22  (2.23)</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33.40             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32.70           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32.90           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30.2,  39.0     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30.0,  37.7   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30.0,  39.0   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Body Mass Index Group (kg/m2)</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&gt;=30</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65  (100.0%)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65  (100.0%)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130  (100.0%)</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Smoking History</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Never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49  (  75.4%)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39  (  60.0%)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88  (  67.7%)</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Former</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9.2%)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12  (  18.5%)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13.8%)</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Current</w:t>
            </w:r>
          </w:p>
        </w:tc>
        <w:tc>
          <w:tcPr>
            <w:tcW w:w="18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10  (  15.4%)     </w:t>
            </w:r>
          </w:p>
        </w:tc>
        <w:tc>
          <w:tcPr>
            <w:tcW w:w="24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  (  21.5%)   </w:t>
            </w:r>
          </w:p>
        </w:tc>
        <w:tc>
          <w:tcPr>
            <w:tcW w:w="16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  (  18.5%)</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Level of Education</w:t>
            </w:r>
          </w:p>
        </w:tc>
        <w:tc>
          <w:tcPr>
            <w:tcW w:w="1805" w:type="dxa"/>
            <w:tcMar>
              <w:left w:w="80" w:type="dxa"/>
              <w:right w:w="80" w:type="dxa"/>
            </w:tcMar>
            <w:textDirection w:val="lrTb"/>
            <w:vAlign w:val="top"/>
          </w:tcPr>
          <w:p>
            <w:pPr>
              <w:pStyle w:val="Smalltext80"/>
              <w:jc w:val="left"/>
              <w:rPr>
                <w:rFonts w:ascii="Times" w:hAnsi="Times" w:cs="Times"/>
              </w:rPr>
            </w:pPr>
          </w:p>
        </w:tc>
        <w:tc>
          <w:tcPr>
            <w:tcW w:w="2445" w:type="dxa"/>
            <w:tcMar>
              <w:left w:w="80" w:type="dxa"/>
              <w:right w:w="80" w:type="dxa"/>
            </w:tcMar>
            <w:textDirection w:val="lrTb"/>
            <w:vAlign w:val="top"/>
          </w:tcPr>
          <w:p>
            <w:pPr>
              <w:pStyle w:val="Smalltext80"/>
              <w:jc w:val="left"/>
              <w:rPr>
                <w:rFonts w:ascii="Times" w:hAnsi="Times" w:cs="Times"/>
              </w:rPr>
            </w:pPr>
          </w:p>
        </w:tc>
        <w:tc>
          <w:tcPr>
            <w:tcW w:w="162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Missing</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College or university education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31  (  47.7%)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25  (  38.5%)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43.1%)</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Professional certification</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14  (  21.5%)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10.8%)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16.2%)</w:t>
            </w:r>
          </w:p>
        </w:tc>
      </w:tr>
      <w:tr>
        <w:tblPrEx>
          <w:jc w:val="left"/>
          <w:tblInd w:w="80" w:type="dxa"/>
          <w:tblLayout w:type="fixed"/>
          <w:tblCellMar>
            <w:top w:w="0" w:type="dxa"/>
            <w:left w:w="0" w:type="dxa"/>
            <w:bottom w:w="0" w:type="dxa"/>
            <w:right w:w="0" w:type="dxa"/>
          </w:tblCellMar>
        </w:tblPrEx>
        <w:trPr>
          <w:cantSplit/>
          <w:jc w:val="left"/>
        </w:trPr>
        <w:tc>
          <w:tcPr>
            <w:tcW w:w="300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Attending college</w:t>
            </w:r>
          </w:p>
        </w:tc>
        <w:tc>
          <w:tcPr>
            <w:tcW w:w="18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4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1.5%)   </w:t>
            </w:r>
          </w:p>
        </w:tc>
        <w:tc>
          <w:tcPr>
            <w:tcW w:w="162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0.8%)</w:t>
            </w:r>
          </w:p>
        </w:tc>
      </w:tr>
      <w:tr>
        <w:tblPrEx>
          <w:jc w:val="left"/>
          <w:tblInd w:w="80" w:type="dxa"/>
          <w:tblLayout w:type="fixed"/>
          <w:tblCellMar>
            <w:top w:w="0" w:type="dxa"/>
            <w:left w:w="0" w:type="dxa"/>
            <w:bottom w:w="0" w:type="dxa"/>
            <w:right w:w="0" w:type="dxa"/>
          </w:tblCellMar>
        </w:tblPrEx>
        <w:trPr>
          <w:cantSplit/>
          <w:jc w:val="left"/>
        </w:trPr>
        <w:tc>
          <w:tcPr>
            <w:tcW w:w="3000" w:type="dxa"/>
            <w:tcBorders>
              <w:bottom w:val="single" w:sz="2" w:space="0" w:color="000000"/>
            </w:tcBorders>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w:t>
            </w:r>
          </w:p>
        </w:tc>
        <w:tc>
          <w:tcPr>
            <w:tcW w:w="180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20  (  30.8%)     </w:t>
            </w:r>
          </w:p>
        </w:tc>
        <w:tc>
          <w:tcPr>
            <w:tcW w:w="244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32  (  49.2%)   </w:t>
            </w:r>
          </w:p>
        </w:tc>
        <w:tc>
          <w:tcPr>
            <w:tcW w:w="1625" w:type="dxa"/>
            <w:tcBorders>
              <w:bottom w:val="single" w:sz="2" w:space="0" w:color="000000"/>
            </w:tcBorders>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52  (  40.0%)</w:t>
            </w:r>
          </w:p>
        </w:tc>
      </w:tr>
      <w:tr>
        <w:tblPrEx>
          <w:jc w:val="left"/>
          <w:tblInd w:w="80" w:type="dxa"/>
          <w:tblLayout w:type="fixed"/>
          <w:tblCellMar>
            <w:top w:w="0" w:type="dxa"/>
            <w:left w:w="0" w:type="dxa"/>
            <w:bottom w:w="0" w:type="dxa"/>
            <w:right w:w="0" w:type="dxa"/>
          </w:tblCellMar>
        </w:tblPrEx>
        <w:trPr>
          <w:cantSplit/>
          <w:jc w:val="left"/>
        </w:trPr>
        <w:tc>
          <w:tcPr>
            <w:tcW w:w="88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SD = Standard Deviation.</w:t>
            </w:r>
            <w:r>
              <w:rPr>
                <w:rFonts w:ascii="Times" w:hAnsi="Times" w:cs="Times"/>
                <w:b w:val="0"/>
                <w:bCs w:val="0"/>
                <w:i w:val="0"/>
                <w:iCs w:val="0"/>
              </w:rPr>
              <w:br/>
            </w:r>
            <w:r>
              <w:rPr>
                <w:rFonts w:ascii="Times" w:hAnsi="Times" w:cs="Times"/>
                <w:b w:val="0"/>
                <w:bCs w:val="0"/>
                <w:i w:val="0"/>
                <w:iCs w:val="0"/>
              </w:rPr>
              <w:t>Bayer: /var/swan/root/bhc/3427080/21651/stat/main01/prod/analysis/pgms/t_8_1_4_adsl_demo_sub.sas      09JAN2024 15:59</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31" w:name="_Toc256000040"/>
      <w:r>
        <w:t>8.1.5 Medical history</w:t>
      </w:r>
      <w:bookmarkEnd w:id="31"/>
    </w:p>
    <w:tbl>
      <w:tblPr>
        <w:tblStyle w:val="TableNormal"/>
        <w:jc w:val="left"/>
        <w:tblInd w:w="80" w:type="dxa"/>
        <w:tblLayout w:type="fixed"/>
        <w:tblCellMar>
          <w:top w:w="0" w:type="dxa"/>
          <w:left w:w="0" w:type="dxa"/>
          <w:bottom w:w="0" w:type="dxa"/>
          <w:right w:w="0" w:type="dxa"/>
        </w:tblCellMar>
      </w:tblPr>
      <w:tblGrid>
        <w:gridCol w:w="462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933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2" w:name="_Toc256000041"/>
            <w:r>
              <w:t>Table 8.1.5 / 1: Medical history: number of subjects with findings by primary system organ class and preferred term (safety analysis set)</w:t>
            </w:r>
            <w:bookmarkEnd w:id="32"/>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62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 xml:space="preserve">Primary system organ class </w:t>
              <w:br/>
              <w:t xml:space="preserve">   Preferred term </w:t>
              <w:br/>
              <w:t xml:space="preserve">   MedDRA version 26.1</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with at least one medical history finding</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189  (  95.0%)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186  (  95.9%)</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375  (  95.4%)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Blood and lymphatic system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Iron deficiency anaemia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Antiphospholipid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Immune thrombocytopenia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Neutropenia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Platelet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Thymus enlargement</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Cardiac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4.6%)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Ventricular extrasystoles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Palpitations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Supraventricular tachycardia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Tachycardia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Angina pectoris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Aortic valve incompetence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Coronary artery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Extrasystoles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Mitral valve incompetence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Sinus bradycardia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Sinus tachycardia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Tachycardia paroxysmal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Wolff-Parkinson-White syndrome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Congenital, familial and genetic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Gilbert's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Factor V Leiden mutation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Type IIa hyperlipidaemia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BRCA1 gene mutation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BRCA2 gene mutation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Congenital aortic valve incompetence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Congenital musculoskeletal disorder of spine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Developmental hip dysplasia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Factor II mutation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Gastrointestinal malformation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Hereditary spherocytosis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Methylenetetrahydrofolate reductase gene mutation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Thalassaemia beta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Thalassaemia minor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Type V hyperlipidaemia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Vaginal septum</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Ear and labyrinth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Tinnitus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Vertigo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Hypoacusis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Deafness unilateral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Meniere's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Otosclerosis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Vertigo positional</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Endocrine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17.0%)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15.0%)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Hypothyroidism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10.2%)</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Autoimmune thyroiditis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3.1%)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Hyperthyroidism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Polycystic ovarian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Thyroid mass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Goitre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Thyroid disorder</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Eye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5.6%)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Dry eye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Cataract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Glaucoma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Myopia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Presbyopia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Visual impairment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Arcus lipoides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Borderline glaucoma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Hypermetropia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Optic atrophy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Retinal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Vision blurred</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Gastrointestinal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23.1%)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20.1%)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85  (  21.6%)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Gastrooesophageal reflux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8.7%)</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Dyspepsia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Constipation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Haemorrhoids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Irritable bowel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Hiatus hernia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Large intestine polyp</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Diverticulum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Colitis microscopic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Diarrhoea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Intestinal polyp</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Pancreatitis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Umbilical hernia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Abdominal distension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Abdominal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Abdominal pain upper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Barrett's oesophagus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Chronic gastritis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Gastric ulcer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Gastrointestinal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Gastrooesophageal sphincter insufficiency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Ileus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Impaired gastric emptying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Intestinal atony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Intussusception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Mechanical ileus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Nausea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Pancreatic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Peptic ulcer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Salivary duct obstruction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Tongue geographic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Tooth loss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Vomiting</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General disorders and administration site conditions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Fatigue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Oedema peripheral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Inflammation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Application site hypersensitivity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Asthenia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Inflammatory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Oedema</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Hepatobiliary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4.1%)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Cholelithiasis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Hepatic steatosis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Cholecystitis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Gallbladder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Hepatic cyst</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Immune system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23.6%)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31.4%)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108  (  27.5%)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Seasonal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  (  14.5%)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 hypersensitivity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10.7%)</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Food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 allergies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Allergy to animal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Rubber 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Allergy to arthropod sting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Iodine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Milk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Mite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Allergy to arthropod bite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Allergy to chemicals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Autoimmune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Dust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Mycotic allergy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Perfume 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Reaction to food additive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Sarcoidosis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Infections and infestations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19.6%)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19.6%)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COVID-19</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Urinary tract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3.1%)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Oral herpes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Papilloma viral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Appendicitis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Diverticulitis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Genital herpes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Tonsillitis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Bacterial vaginosis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Bronchitis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Fungal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Influenza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Salpingitis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Upper respiratory tract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Vulvovaginal mycotic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Acute sinusitis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Candida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Cholecystitis infective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Chronic sinusitis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Coccidioidomycosis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Cystitis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Ear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Endometritis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HIV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Herpes simplex</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Herpes virus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Herpes zoster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Laryngitis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Otitis media chronic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Pilonidal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Pneumonia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Respiratory tract infection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Sinusitis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Tooth abscess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Urosepsis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Vulvovaginal candidiasis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Injury, poisoning and procedural complications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Epicondylitis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Ankle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Ligament rupture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Meniscus injury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Joint injury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Road traffic accident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Ulna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Brachial plexus injury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Cartilage injury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Chemical burns of eye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Concussion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Craniofacial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Femur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Fibula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Foot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Forearm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Foreign body in eye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Humerus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Ligament sprain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Lower limb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Post-traumatic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Postoperative thrombosis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Radius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Rib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Tendon injury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Upper limb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Wrist fracture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Investigations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16.1%)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15.5%)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cholesterol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Arthroscopy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Depression rating scale score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Glycosylated haemoglobin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Biopsy breast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triglycerides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Colonoscopy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Laparoscopy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Mammogram abnormal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Vitamin D decreased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Alanine aminotransferase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thyroid stimulating hormone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murmur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Gamma-glutamyltransferase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Hysteroscopy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Smear cervix abnormal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Activated partial thromboplastin time prolonged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Aspartate aminotransferase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Biopsy cervix</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Biopsy thyroid gland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cholesterol abnormal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creatine phosphokinase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glucose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prolactin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urea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Cystoscopy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Human papilloma virus test positive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International normalised ratio increased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Low density lipoprotein abnormal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Protein C decreased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Prothrombin time prolonged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Serum ferritin decreased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Weight increased</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Metabolism and nutrition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30.7%)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  (  32.0%)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123  (  31.3%)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Obesity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12.0%)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Hypercholesterolaemia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Hyperlipidaemia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6.1%)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Type 2 diabetes mellitus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Glucose tolerance impaired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Diabetes mellitus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Vitamin D deficiency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Dyslipidaemia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Overweight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Hypertriglyceridaemia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Insulin resistance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Dairy intolerance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Fluid retention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Folate deficiency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Gluten sensitivity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Gout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Histamine intolerance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Hypokalaemia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Lactose intolerance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Metabolic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Type 1 diabetes mellitus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Vitamin B12 deficiency</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Musculoskeletal and connective tissue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62  (  32.0%)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118  (  30.0%)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Osteoarthritis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Back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Arthralgia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Arthritis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Rheumatoid arthritis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Intervertebral disc protrusion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Fibromyalgia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osteoarthritis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Intervertebral disc degeneration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Osteopenia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Neck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Osteoporosis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Rotator cuff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Foot deformity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Myalgia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Bursitis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Lumbar spinal stenosis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Muscle spasms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Plantar fasciitis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stenosis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Ankylosing spondylitis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Bone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Chondromalacia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Chronic kidney disease-mineral and bone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Dupuytren's contracture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Greater trochanteric pain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Joint range of motion decreased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Joint swelling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Musculoskeletal discomfort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Periarthritis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Plantar fascial fibromatosis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Psoriatic arthropathy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Sjogren's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Spondylolisthesis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Systemic lupus erythematosus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Tenosynovitis stenosans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Trigger finger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Trigger points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Neoplasms benign, malignant and unspecified (incl cysts and polyps)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  34.7%)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31.4%)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130  (  33.1%)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leiomyoma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23.6%)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24.7%)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95  (  24.2%)</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Basal cell carcinoma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Benign neoplasm of thyroid gland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cancer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Fibroadenoma of breast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Fibroma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Anogenital warts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Benign ovarian tumour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Benign uterine neoplasm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Cervix carcinoma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Squamous cell carcinoma of skin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Adenocarcinoma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Cholesteatoma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Colon cancer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Colorectal adenoma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Diaphragm neoplasm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Ear neoplasm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Haemangioma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Haemangioma of liver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Leiomyoma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Melanocytic naevus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adenoma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epithelial cancer stage I</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fibroma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germ cell teratoma benign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Prolactin-producing pituitary tumour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Renal adenoma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Skin papilloma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Squamous cell carcinoma of the cervix</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Teratoma</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Nervous system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17.6%)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23.7%)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  20.6%)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Migraine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Headache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4.6%)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Sciatica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Carpal tunnel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Migraine without aura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Migraine with aura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Restless legs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Sinus headache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Transient ischaemic attack</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Cerebrovascular accident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Diabetic neuropathy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Dizziness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Epilepsy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Hypersomnia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Hypertonia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Hypoaesthesia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IIIrd nerve paralysis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Lumbar radiculopathy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Motor dysfunction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Multiple sclerosis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Myasthenia gravis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Narcolepsy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Neuralgia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Neuralgic amyotrophy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Parkinson's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Periodic limb movement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Radiculopathy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Sensory disturbance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Subarachnoid haemorrhage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Tension headache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Trigeminal neuralgia</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Pregnancy, puerperium and perinatal conditions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6.9%)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Delivery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3.1%)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Ectopic pregnancy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Abortion spontaneous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Pregnancy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Abortion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Abortion missed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Anembryonic gestation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dilatation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Perineal repair breakdown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Premature labour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Ruptured ectopic pregnancy</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Psychiatric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24.2%)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96  (  24.4%)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Depression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9.9%)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Insomnia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Anxiety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6.9%)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Bipolar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Nicotine dependence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Sleep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Attention deficit hyperactivity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Generalised anxiety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Post-traumatic stress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Schizophrenia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Aerophobia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Depressed mood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Substance abuse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Suicidal ideation</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Renal and urinary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6.4%)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Nephrolithiasis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Hypertonic bladder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Stress urinary incontinence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Chronic kidney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Mixed incontinence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Cystitis interstitial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Micturition urgency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Nocturia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Pollakiuria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Proteinuria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Renal colic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Single functional kidney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Urethral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Urge incontinence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Reproductive system and breast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  36.1%)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136  (  34.6%)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Heavy menstrual bleeding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Endometriosis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6.4%)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5.3%)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dysplasia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Abnormal uterine bleeding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Atrophic vulvovaginitis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Fibrocystic breast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Intermenstrual bleeding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prolapse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Dysmenorrhoea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Pelvic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Vulvovaginal dryness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Cystocele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Dyspareunia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Menometrorrhagia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Vaginal haemorrhage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Adenomyosis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Adnexa uteri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Amenorrhoea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Menopausal symptoms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Pelvic adhesions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Rectocele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haemorrhage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Bartholin's cyst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calcifications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enlargement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hyperplasia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polyp</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Cervix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Cervix scarring</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Endometrial hyperplasia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Pelvic congestion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Pelvic organ prolapse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Polycystic ovaries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Premenstrual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enlargement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fibrosis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scar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Vulva cyst</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Respiratory, thoracic and mediastinal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11.2%)</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Asthma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6.1%)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Chronic obstructive pulmonary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Rhinitis allergic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Obstructive sleep apnoea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Pulmonary embolism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Sleep apnoea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septum deviation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Asthma exercise induced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Bronchial hyperreactivity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Bronchitis chronic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Central sleep apnoea syndrome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Cough</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Hypersensitivity pneumonitis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turbinate abnormality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Respiratory disorder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Sinus disorder</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Skin and subcutaneous tissue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10.2%)</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Psoriasis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Acne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Eczema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Dermatitis atopic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Lichen sclerosus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Rash</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Rosacea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Dermatitis contact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 eruption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Urticaria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Alopecia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Mechanical urticaria</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Neurodermatitis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Skin lesion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Skin tightness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Social circumstances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Denture wearer</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Surgical and medical procedures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143  (  71.9%)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139  (  71.6%)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282  (  71.8%)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Hysterectomy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67  (  33.7%)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30.4%)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126  (  32.1%)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Caesarean section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11.2%)</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Hysterosalpingo-oophorectomy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8.7%)</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Appendicectomy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8.4%)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Cholecystectomy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8.4%)</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Mammoplasty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7.1%)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Tonsillectomy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Female sterilisation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6.1%)</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Salpingo-oophorectomy bilateral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5.3%)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Oophorectomy bilateral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Oophorectomy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Endometrial ablation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Intervertebral disc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Salpingo-oophorectomy unilateral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Salpingectomy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Adhesiolysis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conisation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Gastric bypass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Myomectomy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dilation and curettage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Abdominoplasty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Carpal tunnel decompression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fusion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Bunion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Endometriosis ablation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Eyeglasses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Knee arthroplasty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Varicose vein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Abortion induced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Hip arthroplasty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Mastectomy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Meniscus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Rotator cuff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Umbilical hernia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Urinary bladder suspension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Adenoidectomy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conserving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cyst excision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Cataract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Haemorrhoid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Knee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Limb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Loop electrosurgical excision procedure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septal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Shoulder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laminectomy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Sterilisation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Thyroidectomy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Toe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Adenotonsillectomy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Ankle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reconstruction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ablation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Cyst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Debridement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Endodontic procedure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Fallopian tube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Hernia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Hysterosalpingectomy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Keratomileusis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Rectocele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Renal stone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Splenectomy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Ankle arthroplasty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Benign breast lump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Bone graft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capsulectomy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Breast prosthesis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diathermy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Cervical polypectomy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Cervicectomy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Cervix cryotherapy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Chondroplasty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Colporrhaphy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Contact lens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Cranial nerve decompression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Dental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Epidural injection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Eye laser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Fasciotomy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Gastric polypectomy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High frequency ablation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Hip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Ileectomy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 vitro fertilisation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Inguinal hernia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Internal fixation of fracture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Internal fixation of spine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Joint arthroplasty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Laparotomy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Ligament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Liposuction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Lithotripsy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Mass excision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Medical device implantation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Medical device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Medical diet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Metabolic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Nerve block</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Omentectomy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Ovarian cystectomy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Pancreatectomy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Pelvic floor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Peripheral nerve transposition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Radical hysterectomy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Radioactive iodine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Rectal polypectomy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Removal of internal fixation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Rhinoplasty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Salivary gland resection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Salpingo-oophorectomy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Sclerotherapy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Sleeve gastrectomy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Small intestinal resection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Spinal nerve stimulator implantation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Stapedectomy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Stent placement</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Synovial cyst removal</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Temporomandibular joint surgery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Tendon sheath incision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Tenoplasty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Thymectomy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Tooth extraction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Tumour excision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Turbinoplasty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Urethral dilation procedure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Uterine prolapse repair</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Uvulectomy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Vaginal operation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Vaginoperineoplasty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Vaginoplasty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Wisdom teeth removal</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Vascular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29.9%)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114  (  29.0%)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Hypertension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  (  25.6%)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  (  26.3%)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102  (  26.0%)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Deep vein thrombosis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Raynaud's phenomenon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Varicose vein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Essential hypertension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Hypotension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Peripheral venous disease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6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Thrombosis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93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A subject is counted only once within each primary SOC/preferred term.</w:t>
            </w:r>
            <w:r>
              <w:rPr>
                <w:rFonts w:ascii="Times" w:hAnsi="Times" w:cs="Times"/>
                <w:b w:val="0"/>
                <w:bCs w:val="0"/>
                <w:i w:val="0"/>
                <w:iCs w:val="0"/>
              </w:rPr>
              <w:br/>
            </w:r>
            <w:r>
              <w:rPr>
                <w:rFonts w:ascii="Times" w:hAnsi="Times" w:cs="Times"/>
                <w:b w:val="0"/>
                <w:bCs w:val="0"/>
                <w:i w:val="0"/>
                <w:iCs w:val="0"/>
              </w:rPr>
              <w:t>Medical history terms are sorted by alphabetical order of the SOC and by frequency of the PTs.</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Bayer: /var/swan/root/bhc/3427080/21651/stat/main01/prod/analysis/pgms/t_8_1_5_admh_socpt.sas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4860"/>
        <w:gridCol w:w="1465"/>
        <w:gridCol w:w="2105"/>
        <w:gridCol w:w="1285"/>
      </w:tblGrid>
      <w:tr>
        <w:tblPrEx>
          <w:jc w:val="left"/>
          <w:tblInd w:w="80" w:type="dxa"/>
          <w:tblLayout w:type="fixed"/>
          <w:tblCellMar>
            <w:top w:w="0" w:type="dxa"/>
            <w:left w:w="0" w:type="dxa"/>
            <w:bottom w:w="0" w:type="dxa"/>
            <w:right w:w="0" w:type="dxa"/>
          </w:tblCellMar>
        </w:tblPrEx>
        <w:trPr>
          <w:cantSplit/>
          <w:tblHeader/>
          <w:jc w:val="left"/>
        </w:trPr>
        <w:tc>
          <w:tcPr>
            <w:tcW w:w="971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3" w:name="_Toc256000043"/>
            <w:r>
              <w:t>Table 8.1.5 / 2: Reproductive and menstrual history (full analysis set)</w:t>
            </w:r>
            <w:bookmarkEnd w:id="33"/>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8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2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(1.8)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(1.6)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9.8%)</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16.2%)</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  (  28.6%)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123  (  31.1%)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22.1%)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18.3%)</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  20.2%)</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11.7%)</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5.1%)</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6</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9</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197                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396                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(1.2)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(1.3)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(1.2)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0,  5           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15.2%)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  (  13.6%)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20.8%)</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90  (  22.7%)</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  36.2%)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  (  40.1%)</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151  (  38.1%)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15.2%)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17.2%)</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6</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Duration of being amenorrheic (years)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198                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196                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394                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7.18  (6.40)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7.08  (6.44)</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7.13  (6.41)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0.2,  30.0   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0.1,  26.0   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0.1,  30.0   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Hysterectomy</w:t>
            </w:r>
            <w:r>
              <w:rPr>
                <w:rFonts w:ascii="Arial" w:hAnsi="Arial" w:cs="Arial"/>
                <w:sz w:val="20"/>
                <w:szCs w:val="20"/>
                <w:vertAlign w:val="superscript"/>
              </w:rPr>
              <w:t>a</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115  (  57.8%)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115  (  58.4%)</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230  (  58.1%)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84  (  42.2%)</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82  (  41.6%)</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166  (  41.9%)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Oophorectomy</w:t>
            </w:r>
            <w:r>
              <w:rPr>
                <w:rFonts w:ascii="Arial" w:hAnsi="Arial" w:cs="Arial"/>
                <w:sz w:val="20"/>
                <w:szCs w:val="20"/>
                <w:vertAlign w:val="superscript"/>
              </w:rPr>
              <w:t>b</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148  (  74.4%)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148  (  75.1%)</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296  (  74.7%)</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51  (  25.6%)</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49  (  24.9%)</w:t>
            </w:r>
          </w:p>
        </w:tc>
        <w:tc>
          <w:tcPr>
            <w:tcW w:w="12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100  (  25.3%)</w:t>
            </w:r>
          </w:p>
        </w:tc>
      </w:tr>
      <w:tr>
        <w:tblPrEx>
          <w:jc w:val="left"/>
          <w:tblInd w:w="80" w:type="dxa"/>
          <w:tblLayout w:type="fixed"/>
          <w:tblCellMar>
            <w:top w:w="0" w:type="dxa"/>
            <w:left w:w="0" w:type="dxa"/>
            <w:bottom w:w="0" w:type="dxa"/>
            <w:right w:w="0" w:type="dxa"/>
          </w:tblCellMar>
        </w:tblPrEx>
        <w:trPr>
          <w:cantSplit/>
          <w:jc w:val="left"/>
        </w:trPr>
        <w:tc>
          <w:tcPr>
            <w:tcW w:w="97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Based on Medical History. PTs considered for hysterectomy are: Hysterectomy, Hysterosalpingectomy, Hysterosalpingo-oophorectomy and Radical hysterectomy.</w:t>
            </w:r>
            <w:r>
              <w:rPr>
                <w:rFonts w:ascii="Times" w:hAnsi="Times" w:cs="Times"/>
                <w:b w:val="0"/>
                <w:bCs w:val="0"/>
                <w:i w:val="0"/>
                <w:iCs w:val="0"/>
              </w:rPr>
              <w:br/>
            </w:r>
            <w:r>
              <w:rPr>
                <w:rFonts w:ascii="Arial" w:hAnsi="Arial" w:cs="Arial"/>
                <w:b w:val="0"/>
                <w:bCs w:val="0"/>
                <w:i w:val="0"/>
                <w:iCs w:val="0"/>
                <w:sz w:val="20"/>
                <w:szCs w:val="20"/>
                <w:vertAlign w:val="superscript"/>
              </w:rPr>
              <w:t>b</w:t>
            </w:r>
            <w:r>
              <w:rPr>
                <w:rFonts w:ascii="Times" w:hAnsi="Times" w:cs="Times"/>
                <w:b w:val="0"/>
                <w:bCs w:val="0"/>
                <w:i w:val="0"/>
                <w:iCs w:val="0"/>
              </w:rPr>
              <w:t>Based on Medical History. PTs considered for oophorectomy are: Hysterosalpingo-oophorectomy, Oophorectomy,</w:t>
            </w:r>
            <w:r>
              <w:rPr>
                <w:rFonts w:ascii="Times" w:hAnsi="Times" w:cs="Times"/>
                <w:b w:val="0"/>
                <w:bCs w:val="0"/>
                <w:i w:val="0"/>
                <w:iCs w:val="0"/>
              </w:rPr>
              <w:br/>
            </w:r>
            <w:r>
              <w:rPr>
                <w:rFonts w:ascii="Times" w:hAnsi="Times" w:cs="Times"/>
                <w:b w:val="0"/>
                <w:bCs w:val="0"/>
                <w:i w:val="0"/>
                <w:iCs w:val="0"/>
              </w:rPr>
              <w:t>Oophorectomy bilateral, Salpingo-oophorectomy, Salpingo-oophorectomy bilateral, Salpingo-oophorectomy unilateral.</w:t>
            </w:r>
            <w:r>
              <w:rPr>
                <w:rFonts w:ascii="Times" w:hAnsi="Times" w:cs="Times"/>
                <w:b w:val="0"/>
                <w:bCs w:val="0"/>
                <w:i w:val="0"/>
                <w:iCs w:val="0"/>
              </w:rPr>
              <w:br/>
            </w:r>
            <w:r>
              <w:rPr>
                <w:rFonts w:ascii="Times" w:hAnsi="Times" w:cs="Times"/>
                <w:b w:val="0"/>
                <w:bCs w:val="0"/>
                <w:i w:val="0"/>
                <w:iCs w:val="0"/>
              </w:rPr>
              <w:t>Bayer: /var/swan/root/bhc/3427080/21651/stat/main01/prod/analysis/pgms/t_8_1_5_adrp_rpmens_hist.sas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860"/>
        <w:gridCol w:w="1465"/>
        <w:gridCol w:w="2105"/>
        <w:gridCol w:w="1285"/>
      </w:tblGrid>
      <w:tr>
        <w:tblPrEx>
          <w:jc w:val="left"/>
          <w:tblInd w:w="80" w:type="dxa"/>
          <w:tblLayout w:type="fixed"/>
          <w:tblCellMar>
            <w:top w:w="0" w:type="dxa"/>
            <w:left w:w="0" w:type="dxa"/>
            <w:bottom w:w="0" w:type="dxa"/>
            <w:right w:w="0" w:type="dxa"/>
          </w:tblCellMar>
        </w:tblPrEx>
        <w:trPr>
          <w:cantSplit/>
          <w:tblHeader/>
          <w:jc w:val="left"/>
        </w:trPr>
        <w:tc>
          <w:tcPr>
            <w:tcW w:w="971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4" w:name="_Toc256000045"/>
            <w:r>
              <w:t>Table 8.1.5 / 3: Reproductive and menstrual history (safety analysis set)</w:t>
            </w:r>
            <w:bookmarkEnd w:id="34"/>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8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2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(1.8)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(1.6)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10.8%)</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18.6%)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16.3%)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57  (  28.6%)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  33.5%)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122  (  31.0%)</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22.1%)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  20.4%)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11.9%)</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6</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9</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199                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194                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393                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(1.2)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(1.3)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(1.2)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0,  5           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0,  7           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13.2%)</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21.1%)</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90  (  22.9%)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  36.2%)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40.2%)</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150  (  38.2%)</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15.5%)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17.3%)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6</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7</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Duration of being amenorrheic (years)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198                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193                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391                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7.23  (6.41)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7.06  (6.47)</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7.15  (6.43)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5.00           </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0.2,  30.0   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0.1,  26.0   </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0.1,  30.0   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Hysterectomy</w:t>
            </w:r>
            <w:r>
              <w:rPr>
                <w:rFonts w:ascii="Arial" w:hAnsi="Arial" w:cs="Arial"/>
                <w:sz w:val="20"/>
                <w:szCs w:val="20"/>
                <w:vertAlign w:val="superscript"/>
              </w:rPr>
              <w:t>a</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115  (  57.8%)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115  (  59.3%)</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230  (  58.5%)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84  (  42.2%)</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79  (  40.7%)</w:t>
            </w:r>
          </w:p>
        </w:tc>
        <w:tc>
          <w:tcPr>
            <w:tcW w:w="128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163  (  41.5%)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Oophorectomy</w:t>
            </w:r>
            <w:r>
              <w:rPr>
                <w:rFonts w:ascii="Arial" w:hAnsi="Arial" w:cs="Arial"/>
                <w:sz w:val="20"/>
                <w:szCs w:val="20"/>
                <w:vertAlign w:val="superscript"/>
              </w:rPr>
              <w:t>b</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148  (  74.4%)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147  (  75.8%)</w:t>
            </w:r>
          </w:p>
        </w:tc>
        <w:tc>
          <w:tcPr>
            <w:tcW w:w="1285" w:type="dxa"/>
            <w:tcMar>
              <w:left w:w="80" w:type="dxa"/>
              <w:right w:w="80" w:type="dxa"/>
            </w:tcMar>
            <w:textDirection w:val="lrTb"/>
            <w:vAlign w:val="top"/>
          </w:tcPr>
          <w:p>
            <w:pPr>
              <w:pStyle w:val="Smalltext80"/>
              <w:jc w:val="left"/>
              <w:rPr>
                <w:rFonts w:ascii="Times" w:hAnsi="Times" w:cs="Times"/>
              </w:rPr>
            </w:pPr>
            <w:r>
              <w:rPr>
                <w:rFonts w:ascii="Times" w:hAnsi="Times" w:cs="Times"/>
              </w:rPr>
              <w:t>295  (  75.1%)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51  (  25.6%)</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47  (  24.2%)</w:t>
            </w:r>
          </w:p>
        </w:tc>
        <w:tc>
          <w:tcPr>
            <w:tcW w:w="12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98  (  24.9%)</w:t>
            </w:r>
          </w:p>
        </w:tc>
      </w:tr>
      <w:tr>
        <w:tblPrEx>
          <w:jc w:val="left"/>
          <w:tblInd w:w="80" w:type="dxa"/>
          <w:tblLayout w:type="fixed"/>
          <w:tblCellMar>
            <w:top w:w="0" w:type="dxa"/>
            <w:left w:w="0" w:type="dxa"/>
            <w:bottom w:w="0" w:type="dxa"/>
            <w:right w:w="0" w:type="dxa"/>
          </w:tblCellMar>
        </w:tblPrEx>
        <w:trPr>
          <w:cantSplit/>
          <w:jc w:val="left"/>
        </w:trPr>
        <w:tc>
          <w:tcPr>
            <w:tcW w:w="971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Based on Medical History. PTs considered for hysterectomy are: Hysterectomy, Hysterosalpingectomy, Hysterosalpingo-oophorectomy and Radical hysterectomy.</w:t>
            </w:r>
            <w:r>
              <w:rPr>
                <w:rFonts w:ascii="Times" w:hAnsi="Times" w:cs="Times"/>
                <w:b w:val="0"/>
                <w:bCs w:val="0"/>
                <w:i w:val="0"/>
                <w:iCs w:val="0"/>
              </w:rPr>
              <w:br/>
            </w:r>
            <w:r>
              <w:rPr>
                <w:rFonts w:ascii="Arial" w:hAnsi="Arial" w:cs="Arial"/>
                <w:b w:val="0"/>
                <w:bCs w:val="0"/>
                <w:i w:val="0"/>
                <w:iCs w:val="0"/>
                <w:sz w:val="20"/>
                <w:szCs w:val="20"/>
                <w:vertAlign w:val="superscript"/>
              </w:rPr>
              <w:t>b</w:t>
            </w:r>
            <w:r>
              <w:rPr>
                <w:rFonts w:ascii="Times" w:hAnsi="Times" w:cs="Times"/>
                <w:b w:val="0"/>
                <w:bCs w:val="0"/>
                <w:i w:val="0"/>
                <w:iCs w:val="0"/>
              </w:rPr>
              <w:t>Based on Medical History. PTs considered for oophorectomy are: Hysterosalpingo-oophorectomy, Oophorectomy,</w:t>
            </w:r>
            <w:r>
              <w:rPr>
                <w:rFonts w:ascii="Times" w:hAnsi="Times" w:cs="Times"/>
                <w:b w:val="0"/>
                <w:bCs w:val="0"/>
                <w:i w:val="0"/>
                <w:iCs w:val="0"/>
              </w:rPr>
              <w:br/>
            </w:r>
            <w:r>
              <w:rPr>
                <w:rFonts w:ascii="Times" w:hAnsi="Times" w:cs="Times"/>
                <w:b w:val="0"/>
                <w:bCs w:val="0"/>
                <w:i w:val="0"/>
                <w:iCs w:val="0"/>
              </w:rPr>
              <w:t>Oophorectomy bilateral, Salpingo-oophorectomy, Salpingo-oophorectomy bilateral, Salpingo-oophorectomy unilateral.</w:t>
            </w:r>
            <w:r>
              <w:rPr>
                <w:rFonts w:ascii="Times" w:hAnsi="Times" w:cs="Times"/>
                <w:b w:val="0"/>
                <w:bCs w:val="0"/>
                <w:i w:val="0"/>
                <w:iCs w:val="0"/>
              </w:rPr>
              <w:br/>
            </w:r>
            <w:r>
              <w:rPr>
                <w:rFonts w:ascii="Times" w:hAnsi="Times" w:cs="Times"/>
                <w:b w:val="0"/>
                <w:bCs w:val="0"/>
                <w:i w:val="0"/>
                <w:iCs w:val="0"/>
              </w:rPr>
              <w:t>Bayer: /var/swan/root/bhc/3427080/21651/stat/main01/prod/analysis/pgms/t_8_1_5_adrp_rpmens_hist.sas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rPr>
          <w:rFonts w:ascii="Times" w:hAnsi="Times" w:cs="Times"/>
          <w:vanish/>
          <w:color w:val="000000"/>
          <w:sz w:val="2"/>
          <w:szCs w:val="16"/>
        </w:rPr>
      </w:pPr>
    </w:p>
    <w:tbl>
      <w:tblPr>
        <w:tblStyle w:val="TableNormal"/>
        <w:jc w:val="left"/>
        <w:tblInd w:w="80" w:type="dxa"/>
        <w:tblLayout w:type="fixed"/>
        <w:tblCellMar>
          <w:top w:w="0" w:type="dxa"/>
          <w:left w:w="0" w:type="dxa"/>
          <w:bottom w:w="0" w:type="dxa"/>
          <w:right w:w="0" w:type="dxa"/>
        </w:tblCellMar>
      </w:tblPr>
      <w:tblGrid>
        <w:gridCol w:w="486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957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5" w:name="_Toc256000047"/>
            <w:r>
              <w:t>Table 8.1.5 / 4: Reproductive and menstrual history (sleep analysis set)</w:t>
            </w:r>
            <w:bookmarkEnd w:id="35"/>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86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N=35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N=35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N=70 (100%)</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70                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(1.5)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(2.1)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(1.8)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0,  6           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0,  9           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pregnancies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8.6%)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11.4%)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10  (  28.6%)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12  (  34.3%)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22  (  31.4%)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20.0%)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  (  17.1%)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17.1%)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17.1%)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6</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9</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2.9%)</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70                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(1.3)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(1.2)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(1.3)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0,  5           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0,  5           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0,  5           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Number of births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0</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12.9%)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20.0%)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11  (  15.7%)</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2</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13  (  37.1%)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14  (  40.0%)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27  (  38.6%)</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3</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20.0%)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  (  17.1%)</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350"/>
              <w:jc w:val="left"/>
              <w:rPr>
                <w:rFonts w:ascii="Times" w:hAnsi="Times" w:cs="Times"/>
              </w:rPr>
            </w:pPr>
            <w:r>
              <w:rPr>
                <w:rFonts w:ascii="Times" w:hAnsi="Times" w:cs="Times"/>
              </w:rPr>
              <w:t>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14.3%)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8.6%)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11.4%)</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350"/>
              <w:jc w:val="left"/>
              <w:rPr>
                <w:rFonts w:ascii="Times" w:hAnsi="Times" w:cs="Times"/>
              </w:rPr>
            </w:pPr>
            <w:r>
              <w:rPr>
                <w:rFonts w:ascii="Times" w:hAnsi="Times" w:cs="Times"/>
              </w:rPr>
              <w:t>5</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5.7%)</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2.9%)</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4.3%)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Duration of being amenorrheic (years)</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35                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70                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Mean (SD)</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8.63  (7.10)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8.96  (7.49)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8.80  (7.25)</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Median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Min, Max</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1.0,  30.0   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0.7,  25.0   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0.7,  30.0   </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Hysterectomy</w:t>
            </w:r>
            <w:r>
              <w:rPr>
                <w:rFonts w:ascii="Arial" w:hAnsi="Arial" w:cs="Arial"/>
                <w:sz w:val="20"/>
                <w:szCs w:val="20"/>
                <w:vertAlign w:val="superscript"/>
              </w:rPr>
              <w:t>a</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18  (  51.4%)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21  (  60.0%)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39  (  55.7%)</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  (  48.6%)</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14  (  40.0%)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31  (  44.3%)</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Oophorectomy</w:t>
            </w:r>
            <w:r>
              <w:rPr>
                <w:rFonts w:ascii="Arial" w:hAnsi="Arial" w:cs="Arial"/>
                <w:sz w:val="20"/>
                <w:szCs w:val="20"/>
                <w:vertAlign w:val="superscript"/>
              </w:rPr>
              <w:t>b</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30  (  85.7%)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28  (  80.0%)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58  (  82.9%)</w:t>
            </w:r>
          </w:p>
        </w:tc>
      </w:tr>
      <w:tr>
        <w:tblPrEx>
          <w:jc w:val="left"/>
          <w:tblInd w:w="80" w:type="dxa"/>
          <w:tblLayout w:type="fixed"/>
          <w:tblCellMar>
            <w:top w:w="0" w:type="dxa"/>
            <w:left w:w="0" w:type="dxa"/>
            <w:bottom w:w="0" w:type="dxa"/>
            <w:right w:w="0" w:type="dxa"/>
          </w:tblCellMar>
        </w:tblPrEx>
        <w:trPr>
          <w:cantSplit/>
          <w:jc w:val="left"/>
        </w:trPr>
        <w:tc>
          <w:tcPr>
            <w:tcW w:w="48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  (  14.3%)</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7  (  20.0%)</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12  (  17.1%)</w:t>
            </w:r>
          </w:p>
        </w:tc>
      </w:tr>
      <w:tr>
        <w:tblPrEx>
          <w:jc w:val="left"/>
          <w:tblInd w:w="80" w:type="dxa"/>
          <w:tblLayout w:type="fixed"/>
          <w:tblCellMar>
            <w:top w:w="0" w:type="dxa"/>
            <w:left w:w="0" w:type="dxa"/>
            <w:bottom w:w="0" w:type="dxa"/>
            <w:right w:w="0" w:type="dxa"/>
          </w:tblCellMar>
        </w:tblPrEx>
        <w:trPr>
          <w:cantSplit/>
          <w:jc w:val="left"/>
        </w:trPr>
        <w:tc>
          <w:tcPr>
            <w:tcW w:w="95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Based on Medical History. PTs considered for hysterectomy are: Hysterectomy, Hysterosalpingectomy, Hysterosalpingo-oophorectomy and Radical hysterectomy.</w:t>
            </w:r>
            <w:r>
              <w:rPr>
                <w:rFonts w:ascii="Times" w:hAnsi="Times" w:cs="Times"/>
                <w:b w:val="0"/>
                <w:bCs w:val="0"/>
                <w:i w:val="0"/>
                <w:iCs w:val="0"/>
              </w:rPr>
              <w:br/>
            </w:r>
            <w:r>
              <w:rPr>
                <w:rFonts w:ascii="Arial" w:hAnsi="Arial" w:cs="Arial"/>
                <w:b w:val="0"/>
                <w:bCs w:val="0"/>
                <w:i w:val="0"/>
                <w:iCs w:val="0"/>
                <w:sz w:val="20"/>
                <w:szCs w:val="20"/>
                <w:vertAlign w:val="superscript"/>
              </w:rPr>
              <w:t>b</w:t>
            </w:r>
            <w:r>
              <w:rPr>
                <w:rFonts w:ascii="Times" w:hAnsi="Times" w:cs="Times"/>
                <w:b w:val="0"/>
                <w:bCs w:val="0"/>
                <w:i w:val="0"/>
                <w:iCs w:val="0"/>
              </w:rPr>
              <w:t>Based on Medical History. PTs considered for oophorectomy are: Hysterosalpingo-oophorectomy, Oophorectomy,</w:t>
            </w:r>
            <w:r>
              <w:rPr>
                <w:rFonts w:ascii="Times" w:hAnsi="Times" w:cs="Times"/>
                <w:b w:val="0"/>
                <w:bCs w:val="0"/>
                <w:i w:val="0"/>
                <w:iCs w:val="0"/>
              </w:rPr>
              <w:br/>
            </w:r>
            <w:r>
              <w:rPr>
                <w:rFonts w:ascii="Times" w:hAnsi="Times" w:cs="Times"/>
                <w:b w:val="0"/>
                <w:bCs w:val="0"/>
                <w:i w:val="0"/>
                <w:iCs w:val="0"/>
              </w:rPr>
              <w:t>Oophorectomy bilateral, Salpingo-oophorectomy, Salpingo-oophorectomy bilateral, Salpingo-oophorectomy unilateral.</w:t>
            </w:r>
            <w:r>
              <w:rPr>
                <w:rFonts w:ascii="Times" w:hAnsi="Times" w:cs="Times"/>
                <w:b w:val="0"/>
                <w:bCs w:val="0"/>
                <w:i w:val="0"/>
                <w:iCs w:val="0"/>
              </w:rPr>
              <w:br/>
            </w:r>
            <w:r>
              <w:rPr>
                <w:rFonts w:ascii="Times" w:hAnsi="Times" w:cs="Times"/>
                <w:b w:val="0"/>
                <w:bCs w:val="0"/>
                <w:i w:val="0"/>
                <w:iCs w:val="0"/>
              </w:rPr>
              <w:t>Bayer: /var/swan/root/bhc/3427080/21651/stat/main01/prod/analysis/pgms/t_8_1_5_adrp_rpmens_hist.sas      09JAN2024 15:59</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36" w:name="_Toc256000049"/>
      <w:r>
        <w:t>8.1.6 Prior and concomitant medication</w:t>
      </w:r>
      <w:bookmarkEnd w:id="36"/>
    </w:p>
    <w:tbl>
      <w:tblPr>
        <w:tblStyle w:val="TableNormal"/>
        <w:jc w:val="left"/>
        <w:tblInd w:w="80" w:type="dxa"/>
        <w:tblLayout w:type="fixed"/>
        <w:tblCellMar>
          <w:top w:w="0" w:type="dxa"/>
          <w:left w:w="0" w:type="dxa"/>
          <w:bottom w:w="0" w:type="dxa"/>
          <w:right w:w="0" w:type="dxa"/>
        </w:tblCellMar>
      </w:tblPr>
      <w:tblGrid>
        <w:gridCol w:w="652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1123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7" w:name="_Toc256000050"/>
            <w:r>
              <w:t>Table 8.1.6 / 1: Prior medication: number of subjects (safety analysis set)</w:t>
            </w:r>
            <w:bookmarkEnd w:id="37"/>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652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 xml:space="preserve">ATC CLASS </w:t>
              <w:br/>
              <w:t xml:space="preserve">   SUBCLASS </w:t>
              <w:br/>
              <w:t xml:space="preserve">      WHO-DD Version 2023SEP</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who took at least one medication before start of study drug</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167  (  83.9%)</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168  (  86.6%)</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335  (  85.2%)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ALIMENTARY TRACT AND METABOLISM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122  (  61.3%)</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128  (  66.0%)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250  (  63.6%)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MINERAL SUPPLEMENTS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69  (  35.6%)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135  (  34.4%)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VITAMINS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61  (  31.4%)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127  (  32.3%)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ACID RELATED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15.6%)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19.1%)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17.3%)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STOMATOLOGICAL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16.6%)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17.0%)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16.8%)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USED IN DIABETES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7.6%)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CONSTIPATION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5.6%)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ALIMENTARY TRACT AND METABOLISM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5.1%)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ANTIDIARRHEALS, INTESTINAL ANTIINFLAMMATORY/ANTIINFECTIVE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FUNCTIONAL GASTROINTESTINAL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BILE AND LIVER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3.6%)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ANTIOBESITY PREPARATIONS, EXCL. DIET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ANTIEMETICS AND ANTINAUSEANTS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DIGESTIVES, INCL. ENZYMES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APPETITE STIMULANTS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ANTIINFECTIVES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19.6%)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18.0%)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18.8%)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VACCINES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ANTIBACTERIALS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4.6%)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ANTIVIRALS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ANTIMYCOTICS FOR SYSTEMIC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ANTINEOPLASTIC AND IMMUNOMODULATING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9.7%)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ENDOCRINE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IMMUNOSUPPRESSANTS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IMMUNOSTIMULANTS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ANTINEOPLASTIC AGENTS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ANTIPARASITIC PRODUCTS, INSECTICIDES AND REPELLENTS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ANTIPROTOZOALS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ECTOPARASITICIDES, INCL. SCABICIDES, INSECTICIDES AND REPELLENTS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BLOOD AND BLOOD FORMING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19.8%)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SUBSTITUTES AND PERFUSION SOLUTIONS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11.2%)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ANTIANEMIC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ANTITHROMBOTIC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4.1%)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ANTIHEMORRHAGICS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HEMATOLOGICAL AGENTS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CARDIOVASCULAR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90  (  45.2%)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92  (  47.4%)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182  (  46.3%)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LIPID MODIFYING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21.1%)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21.6%)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84  (  21.4%)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AGENTS ACTING ON THE RENIN-ANGIOTENSIN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16.0%)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13.2%)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10.7%)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BETA BLOCKING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DIURETICS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CALCIUM CHANNEL BLOCKERS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7.1%)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VASOPROTECTIVES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PERIPHERAL VASODILATORS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ANTIHYPERTENSIVES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DERMATOLOGICALS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  36.2%)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80  (  41.2%)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152  (  38.7%)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89  (  22.6%)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ANTIPRURITICS, INCL. ANTIHISTAMINES, ANESTHETICS, ETC.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17.0%)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14.0%)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ANTI-ACNE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9.7%)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CORTICOSTEROIDS,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6.4%)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EMOLLIENTS AND 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PREPARATIONS FOR TREATMENT OF WOUNDS AND ULCERS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ANTIBIOTICS AND CHEMOTHERAPEUTICS FOR DERMATOLOGICAL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3.1%)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MEDICATED DRESSINGS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ANTIPSORIATICS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ANTIFUNGALS FOR DERMATOLOGICAL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GENITO URINARY SYSTEM AND SEX HORMONES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35.1%)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134  (  34.1%)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GYNECOLOGICALS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19.6%)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SEX HORMONES AND MODULATORS OF THE GENITAL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10.4%)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8.9%)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GYNECOLOGICAL ANTIINFECTIVES AND ANTISEPTICS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    7.2%)</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MUSCULO-SKELETAL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24.7%)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104  (  26.5%)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ANTIINFLAMMATORY AND ANTIRHEUMATIC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23.1%)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18.0%)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  20.6%)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TOPICAL PRODUCTS FOR JOINT AND MUSCULAR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43  (  21.6%)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  (  18.1%)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MUSCLE RELAXANTS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TREATMENT OF BONE DISEASES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DRUGS FOR DISORDERS OF THE MUSCULO-SKELETAL SYSTEM</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NERVOUS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  (  30.2%)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72  (  37.1%)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132  (  33.6%)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ANALGESICS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23.2%)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81  (  20.6%)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15.6%)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59  (  15.0%)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PSYCHOANALEPTICS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11.5%)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NERVOUS SYSTEM DRUGS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8.9%)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ANTIEPILEPTICS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5.6%)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ANESTHETICS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3.3%)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ANTI-PARKINSON DRUGS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RESPIRATORY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27.6%)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63  (  32.5%)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118  (  30.0%)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ANTIHISTAMINES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12.0%)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THROAT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10.7%)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OBSTRUCTIVE AIRWAY DISEASES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9.2%)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7.1%)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COUGH AND COLD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5.3%)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RESPIRATORY SYSTEM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DRUG WITH NO SUBCLASS DEFINED</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SENSORY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105  (  26.7%)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OPHTHALMOLOGICALS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105  (  26.7%)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OPHTHALMOLOGICAL AND OTOLOGICAL PREPARATIONS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SYSTEMIC HORMONAL PREPARATIONS, EXCL. SEX HORMONES AND INSULINS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16.0%)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14.2%)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THYROID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CORTICOSTEROIDS FOR SYSTEMIC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VARIOUS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43  (  21.6%)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24.7%)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91  (  23.2%)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HOMEOPATHIC PREPARATION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  (  12.7%)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UNSPECIFIED HERBAL AND TRADITIONAL MEDICINE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43  (  10.9%)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 OTHER THERAPEUTIC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8.7%)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GENERAL NUTRIENTS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7.6%)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 OTHER NON-THERAPEUTIC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5.6%)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DIAGNOSTIC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ALLERGENS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112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Medications taken before the start of study drug (regardless of when they ended) are included in this table.</w:t>
            </w:r>
            <w:r>
              <w:rPr>
                <w:rFonts w:ascii="Times" w:hAnsi="Times" w:cs="Times"/>
                <w:b w:val="0"/>
                <w:bCs w:val="0"/>
                <w:i w:val="0"/>
                <w:iCs w:val="0"/>
              </w:rPr>
              <w:br/>
            </w:r>
            <w:r>
              <w:rPr>
                <w:rFonts w:ascii="Times" w:hAnsi="Times" w:cs="Times"/>
                <w:b w:val="0"/>
                <w:bCs w:val="0"/>
                <w:i w:val="0"/>
                <w:iCs w:val="0"/>
              </w:rPr>
              <w:t>Multiple ATC codes per drug are possible. Therefore, the same drug may be counted in more than one category for an individual subject.</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Medications are displayed in alphabetical order by ATC class and in decreasing frequency by ATC subclass.</w:t>
            </w:r>
            <w:r>
              <w:rPr>
                <w:rFonts w:ascii="Times" w:hAnsi="Times" w:cs="Times"/>
                <w:b w:val="0"/>
                <w:bCs w:val="0"/>
                <w:i w:val="0"/>
                <w:iCs w:val="0"/>
              </w:rPr>
              <w:br/>
            </w:r>
            <w:r>
              <w:rPr>
                <w:rFonts w:ascii="Times" w:hAnsi="Times" w:cs="Times"/>
                <w:b w:val="0"/>
                <w:bCs w:val="0"/>
                <w:i w:val="0"/>
                <w:iCs w:val="0"/>
              </w:rPr>
              <w:t>ATC = Anatomical Therapeutic Chemical</w:t>
            </w:r>
            <w:r>
              <w:rPr>
                <w:rFonts w:ascii="Times" w:hAnsi="Times" w:cs="Times"/>
                <w:b w:val="0"/>
                <w:bCs w:val="0"/>
                <w:i w:val="0"/>
                <w:iCs w:val="0"/>
              </w:rPr>
              <w:br/>
            </w:r>
            <w:r>
              <w:rPr>
                <w:rFonts w:ascii="Times" w:hAnsi="Times" w:cs="Times"/>
                <w:b w:val="0"/>
                <w:bCs w:val="0"/>
                <w:i w:val="0"/>
                <w:iCs w:val="0"/>
              </w:rPr>
              <w:t>Bayer: /var/swan/root/bhc/3427080/21651/stat/main01/prod/analysis/pgms/t_8_1_6_adcm_sbj_prior_cm.sas      09JAN2024 15:59</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652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1123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8" w:name="_Toc256000052"/>
            <w:r>
              <w:t>Table 8.1.6 / 2: Concomitant medication: number of subjects (safety analysis set)</w:t>
            </w:r>
            <w:bookmarkEnd w:id="38"/>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652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 xml:space="preserve">ATC CLASS </w:t>
              <w:br/>
              <w:t xml:space="preserve">   SUBCLASS </w:t>
              <w:br/>
              <w:t xml:space="preserve">      WHO-DD Version 2023SEP</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who took at least one concomitant medication</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176  (  88.4%)</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173  (  89.2%)</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349  (  88.8%)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ALIMENTARY TRACT AND METABOLISM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137  (  68.8%)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134  (  69.1%)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271  (  69.0%)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MINERAL SUPPLEMENTS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79  (  39.7%)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84  (  43.3%)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163  (  41.5%)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VITAMINS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  (  37.7%)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39.7%)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152  (  38.7%)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ACID RELATED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19.6%)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19.8%)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STOMATOLOGICAL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18.0%)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75  (  19.1%)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ANTIDIARRHEALS, INTESTINAL ANTIINFLAMMATORY/ANTIINFECTIVE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9.4%)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USED IN DIABETES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CONSTIPATION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7.6%)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6.9%)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ALIMENTARY TRACT AND METABOLISM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6.6%)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FUNCTIONAL GASTROINTESTINAL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BILE AND LIVER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4.6%)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ANTIEMETICS AND ANTINAUSEANTS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ANTIOBESITY PREPARATIONS, EXCL. DIET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DIGESTIVES, INCL. ENZYMES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3.1%)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ANABOLIC AGENTS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APPETITE STIMULANTS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ANTIINFECTIVES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36  (  18.6%)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76  (  19.3%)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ANTIBACTERIALS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12.5%)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ANTIVIRALS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4.1%)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VACCINES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4.1%)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ANTIMYCOTICS FOR SYSTEMIC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ANTINEOPLASTIC AND IMMUNOMODULATING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IMMUNOSUPPRESSANTS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2.8%)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ANTINEOPLASTIC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IMMUNOSTIMULANTS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ENDOCRINE THERAPY</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ANTIPARASITIC PRODUCTS, INSECTICIDES AND REPELLENTS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ANTIPROTOZOALS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ECTOPARASITICIDES, INCL. SCABICIDES, INSECTICIDES AND REPELLENTS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BLOOD AND BLOOD FORMING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40  (  20.1%)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24.2%)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87  (  22.1%)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SUBSTITUTES AND PERFUSION SOLUTIONS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  (  12.7%)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ANTIANEMIC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8.7%)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ANTITHROMBOTIC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ANTIHEMORRHAGICS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HEMATOLOGICAL AGENTS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CARDIOVASCULAR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97  (  48.7%)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105  (  54.1%)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202  (  51.4%)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LIPID MODIFYING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24.1%)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24.2%)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95  (  24.2%)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AGENTS ACTING ON THE RENIN-ANGIOTENSIN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17.5%)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  (  15.3%)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14.4%)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54  (  13.7%)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VASOPROTECTIVES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8.7%)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BETA BLOCKING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DIURETICS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CALCIUM CHANNEL BLOCKERS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7.1%)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PERIPHERAL VASODILATORS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DERMATOLOGICALS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78  (  39.2%)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86  (  44.3%)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164  (  41.7%)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44  (  22.1%)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21.1%)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85  (  21.6%)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ANTIPRURITICS, INCL. ANTIHISTAMINES, ANESTHETICS, ETC.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32  (  16.5%)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14.8%)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ANTI-ACNE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51  (  13.0%)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CORTICOSTEROIDS,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39  (    9.9%)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ANTIBIOTICS AND CHEMOTHERAPEUTICS FOR DERMATOLOGICAL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5.3%)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EMOLLIENTS AND 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PREPARATIONS FOR TREATMENT OF WOUNDS AND ULCERS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MEDICATED DRESSINGS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2.5%)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ANTIFUNGALS FOR DERMATOLOGICAL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ANTIPSORIATICS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ANTISEPTICS AND DISINFECTANTS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DRUG WITH NO SUBCLASS DEFINED</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GENITO URINARY SYSTEM AND SEX HORMONES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63  (  31.7%)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58  (  29.9%)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121  (  30.8%)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GYNECOLOGICALS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37  (  18.6%)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34  (  17.5%)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71  (  18.1%)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GYNECOLOGICAL ANTIINFECTIVES AND ANTISEPTICS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24  (  12.4%)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12.5%)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UROLOGICALS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33  (    8.4%)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MUSCULO-SKELETAL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34.2%)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60  (  30.9%)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128  (  32.6%)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ANTIINFLAMMATORY AND ANTIRHEUMATIC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27.6%)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49  (  25.3%)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104  (  26.5%)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TOPICAL PRODUCTS FOR JOINT AND MUSCULAR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50  (  25.1%)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45  (  23.2%)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95  (  24.2%)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MUSCLE RELAXANTS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4.8%)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TREATMENT OF BONE DISEASES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DRUGS FOR DISORDERS OF THE MUSCULO-SKELETAL SYSTEM</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NERVOUS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68  (  34.2%)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77  (  39.7%)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145  (  36.9%)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ANALGESICS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53  (  26.6%)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28.9%)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109  (  27.7%)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13.2%)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NERVOUS SYSTEM DRUGS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8.4%)</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PSYCHOANALEPTICS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9.3%)</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28  (    7.1%)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ANTIEPILEPTICS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5.5%)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4.6%)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ANESTHETICS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ANTI-PARKINSON DRUGS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    2.0%)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RESPIRATORY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74  (  38.1%)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140  (  35.6%)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THROAT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27  (  13.9%)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56  (  14.2%)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ANTIHISTAMINES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15.5%)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14.0%)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OBSTRUCTIVE AIRWAY DISEASES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42  (  10.7%)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COUGH AND COLD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9.7%)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RESPIRATORY SYSTEM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DRUG WITH NO SUBCLASS DEFINED</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SENSORY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65  (  33.5%)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131  (  33.3%)</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OPHTHALMOLOGICALS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66  (  33.2%)</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64  (  33.0%)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130  (  33.1%)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7.6%)</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OPHTHALMOLOGICAL AND OTOLOGICAL PREPARATIONS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15  (    3.8%)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SYSTEMIC HORMONAL PREPARATIONS, EXCL. SEX HORMONES AND INSULINS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41  (  21.1%)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70  (  17.8%)</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THYROID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22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47  (  12.0%)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CORTICOSTEROIDS FOR SYSTEMIC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16  (    8.2%)</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24  (    6.1%)</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VARIOUS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48  (  24.1%)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55  (  28.4%)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103  (  26.2%)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HOMEOPATHIC PREPARATION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11.6%)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29  (  14.9%)</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52  (  13.2%)</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 OTHER THERAPEUTIC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10.1%)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26  (  13.4%)</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UNSPECIFIED HERBAL AND TRADITIONAL MEDICINE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25  (  12.6%)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10.8%)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46  (  11.7%)</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GENERAL NUTRIENTS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31  (    7.9%)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 OTHER NON-THERAPEUTIC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7.5%)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23  (    5.9%)</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DIAGNOSTIC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52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ALLERGENS</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1123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Medications taken within the treatment period are included in this table.</w:t>
            </w:r>
            <w:r>
              <w:rPr>
                <w:rFonts w:ascii="Times" w:hAnsi="Times" w:cs="Times"/>
                <w:b w:val="0"/>
                <w:bCs w:val="0"/>
                <w:i w:val="0"/>
                <w:iCs w:val="0"/>
              </w:rPr>
              <w:br/>
            </w:r>
            <w:r>
              <w:rPr>
                <w:rFonts w:ascii="Times" w:hAnsi="Times" w:cs="Times"/>
                <w:b w:val="0"/>
                <w:bCs w:val="0"/>
                <w:i w:val="0"/>
                <w:iCs w:val="0"/>
              </w:rPr>
              <w:t>Multiple ATC codes per drug are possible. Therefore, the same drug may be counted in more than one category for an individual subject.</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Medications are displayed in alphabetical order by ATC class and in decreasing frequency by ATC subclass.</w:t>
            </w:r>
            <w:r>
              <w:rPr>
                <w:rFonts w:ascii="Times" w:hAnsi="Times" w:cs="Times"/>
                <w:b w:val="0"/>
                <w:bCs w:val="0"/>
                <w:i w:val="0"/>
                <w:iCs w:val="0"/>
              </w:rPr>
              <w:br/>
            </w:r>
            <w:r>
              <w:rPr>
                <w:rFonts w:ascii="Times" w:hAnsi="Times" w:cs="Times"/>
                <w:b w:val="0"/>
                <w:bCs w:val="0"/>
                <w:i w:val="0"/>
                <w:iCs w:val="0"/>
              </w:rPr>
              <w:t>ATC = Anatomical Therapeutic Chemical</w:t>
            </w:r>
            <w:r>
              <w:rPr>
                <w:rFonts w:ascii="Times" w:hAnsi="Times" w:cs="Times"/>
                <w:b w:val="0"/>
                <w:bCs w:val="0"/>
                <w:i w:val="0"/>
                <w:iCs w:val="0"/>
              </w:rPr>
              <w:br/>
            </w:r>
            <w:r>
              <w:rPr>
                <w:rFonts w:ascii="Times" w:hAnsi="Times" w:cs="Times"/>
                <w:b w:val="0"/>
                <w:bCs w:val="0"/>
                <w:i w:val="0"/>
                <w:iCs w:val="0"/>
              </w:rPr>
              <w:t>Bayer: /var/swan/root/bhc/3427080/21651/stat/main01/prod/analysis/pgms/t_8_1_6_adcm_sbj_cm.sas      09JAN2024 16:00</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6460"/>
        <w:gridCol w:w="1465"/>
        <w:gridCol w:w="2105"/>
        <w:gridCol w:w="1145"/>
      </w:tblGrid>
      <w:tr>
        <w:tblPrEx>
          <w:jc w:val="left"/>
          <w:tblInd w:w="80" w:type="dxa"/>
          <w:tblLayout w:type="fixed"/>
          <w:tblCellMar>
            <w:top w:w="0" w:type="dxa"/>
            <w:left w:w="0" w:type="dxa"/>
            <w:bottom w:w="0" w:type="dxa"/>
            <w:right w:w="0" w:type="dxa"/>
          </w:tblCellMar>
        </w:tblPrEx>
        <w:trPr>
          <w:cantSplit/>
          <w:tblHeader/>
          <w:jc w:val="left"/>
        </w:trPr>
        <w:tc>
          <w:tcPr>
            <w:tcW w:w="11175" w:type="dxa"/>
            <w:gridSpan w:val="4"/>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39" w:name="_Toc256000054"/>
            <w:r>
              <w:t>Table 8.1.6 / 3: Post-treatment medication: number of subjects (safety analysis set)</w:t>
            </w:r>
            <w:bookmarkEnd w:id="39"/>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6460"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 xml:space="preserve">ATC CLASS </w:t>
              <w:br/>
              <w:t xml:space="preserve">   SUBCLASS </w:t>
              <w:br/>
              <w:t xml:space="preserve">      WHO-DD Version 2023SEP</w:t>
            </w: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N=194 (100%)</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N=393 (100%)</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who took at least one medication that started after stop of study treatment</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25  (  12.6%)</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33  (  17.0%)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58  (  14.8%)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ALIMENTARY TRACT AND METABOLISM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33  (    8.4%)</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STOMATOLOGICAL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17  (    4.3%)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ACID RELATED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  (    2.5%)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VITAMINS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MINERAL SUPPLEMENTS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ALIMENTARY TRACT AND METABOLISM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TONICS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BILE AND LIVER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CONSTIPATION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DRUGS FOR FUNCTIONAL GASTROINTESTINAL DISORDERS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ANTIEMETICS AND ANTINAUSEANTS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ANTIINFECTIVES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11  (    2.8%)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ANTIBACTERIALS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2.3%)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ANTIMYCOTICS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ANTIVIRALS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VACCINES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ANTINEOPLASTIC AND IMMUNOMODULATING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ENDOCRINE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ANTINEOPLASTIC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IMMUNOSTIMULANTS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ANTIPARASITIC PRODUCTS, INSECTICIDES AND REPELLENTS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ANTIPROTOZOALS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BLOOD AND BLOOD FORMING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ANTITHROMBOTIC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BLOOD SUBSTITUTES AND PERFUSION SOLUTIONS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ANTIANEMIC PREPARATIONS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CARDIOVASCULAR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20  (    5.1%)</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CARDIAC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17  (    4.3%)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VASOPROTECTIVES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  (    2.5%)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DIURETICS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LIPID MODIFYING AGENTS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DERMATOLOGICALS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  (    7.0%)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17  (    8.8%)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31  (    7.9%)</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16  (    4.1%)</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ANTI-ACNE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  (    3.1%)</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ANTIPRURITICS, INCL. ANTIHISTAMINES, ANESTHETICS, ETC.</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3.6%)</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12  (    3.1%)</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ANTIBIOTICS AND CHEMOTHERAPEUTICS FOR DERMATOLOGICAL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1.8%)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CORTICOSTEROIDS, DERMATOLOGICAL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ANTIFUNGALS FOR DERMATOLOGICAL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ANTIPSORIATICS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EMOLLIENTS AND PROTECTIVES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MEDICATED DRESSINGS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GENITO URINARY SYSTEM AND SEX HORMONES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12  (    6.0%)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19  (    9.8%)</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31  (    7.9%)</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OTHER GYNECOLOGICALS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18  (    4.6%)</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UROLOGICALS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  (    3.3%)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SEX HORMONES AND MODULATORS OF THE GENITAL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GYNECOLOGICAL ANTIINFECTIVES AND ANTISEPTICS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MUSCULO-SKELETAL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19  (    4.8%)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TOPICAL PRODUCTS FOR JOINT AND MUSCULAR PAIN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10  (    5.2%)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18  (    4.6%)</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ANTIINFLAMMATORY AND ANTIRHEUMATIC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15  (    3.8%)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MUSCLE RELAXANTS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NERVOUS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10  (    5.0%)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23  (    5.9%)</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ANALGESICS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  (    2.5%)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ANESTHETICS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3.1%)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10  (    2.5%)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PSYCHOANALEPTICS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PSYCHOLEPTICS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ANTIEPILEPTICS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NERVOUS SYSTEM DRUGS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RESPIRATORY SYSTEM</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13  (    6.7%)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22  (    5.6%)</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THROAT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3.5%)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11  (    5.7%)</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18  (    4.6%)</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COUGH AND COLD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ANTIHISTAMINES FOR SYSTEMIC USE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NASAL PREPARATIONS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OTHER RESPIRATORY SYSTEM PRODUCTS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SENSORY ORGANS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21  (    5.3%)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OPHTHALMOLOGICALS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4.5%)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12  (    6.2%)</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21  (    5.3%)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OTOLOGICALS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4.1%)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13  (    3.3%)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OPHTHALMOLOGICAL AND OTOLOGICAL PREPARATIONS</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SYSTEMIC HORMONAL PREPARATIONS, EXCL. SEX HORMONES AND INSULINS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THYROID THERAPY</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spacing w:after="240"/>
              <w:ind w:left="280"/>
              <w:jc w:val="left"/>
              <w:rPr>
                <w:rFonts w:ascii="Times" w:hAnsi="Times" w:cs="Times"/>
              </w:rPr>
            </w:pPr>
            <w:r>
              <w:rPr>
                <w:rFonts w:ascii="Times" w:hAnsi="Times" w:cs="Times"/>
              </w:rPr>
              <w:t>CORTICOSTEROIDS FOR SYSTEMIC USE</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jc w:val="left"/>
              <w:rPr>
                <w:rFonts w:ascii="Times" w:hAnsi="Times" w:cs="Times"/>
              </w:rPr>
            </w:pPr>
            <w:r>
              <w:rPr>
                <w:rFonts w:ascii="Times" w:hAnsi="Times" w:cs="Times"/>
              </w:rPr>
              <w:t>VARIOUS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2.1%)</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ALL OTHER THERAPEUTIC PRODUCTS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GENERAL NUTRIENTS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UNSPECIFIED HERBAL AND TRADITIONAL MEDICINE</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DIAGNOSTIC AGENTS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w:t>
            </w: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6460" w:type="dxa"/>
            <w:tcMar>
              <w:left w:w="80" w:type="dxa"/>
              <w:right w:w="80" w:type="dxa"/>
            </w:tcMar>
            <w:textDirection w:val="lrTb"/>
            <w:vAlign w:val="top"/>
          </w:tcPr>
          <w:p>
            <w:pPr>
              <w:pStyle w:val="Smalltext80"/>
              <w:keepNext/>
              <w:ind w:left="280"/>
              <w:jc w:val="left"/>
              <w:rPr>
                <w:rFonts w:ascii="Times" w:hAnsi="Times" w:cs="Times"/>
              </w:rPr>
            </w:pPr>
            <w:r>
              <w:rPr>
                <w:rFonts w:ascii="Times" w:hAnsi="Times" w:cs="Times"/>
              </w:rPr>
              <w:t>HOMEOPATHIC PREPARATION</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0.5%)</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0.3%)</w:t>
            </w:r>
          </w:p>
        </w:tc>
      </w:tr>
      <w:tr>
        <w:tblPrEx>
          <w:jc w:val="left"/>
          <w:tblInd w:w="80" w:type="dxa"/>
          <w:tblLayout w:type="fixed"/>
          <w:tblCellMar>
            <w:top w:w="0" w:type="dxa"/>
            <w:left w:w="0" w:type="dxa"/>
            <w:bottom w:w="0" w:type="dxa"/>
            <w:right w:w="0" w:type="dxa"/>
          </w:tblCellMar>
        </w:tblPrEx>
        <w:trPr>
          <w:cantSplit/>
          <w:jc w:val="left"/>
        </w:trPr>
        <w:tc>
          <w:tcPr>
            <w:tcW w:w="11175" w:type="dxa"/>
            <w:gridSpan w:val="4"/>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Post-treatment medication is defined as medications started after last day of study drug intake.</w:t>
            </w:r>
            <w:r>
              <w:rPr>
                <w:rFonts w:ascii="Times" w:hAnsi="Times" w:cs="Times"/>
                <w:b w:val="0"/>
                <w:bCs w:val="0"/>
                <w:i w:val="0"/>
                <w:iCs w:val="0"/>
              </w:rPr>
              <w:br/>
            </w:r>
            <w:r>
              <w:rPr>
                <w:rFonts w:ascii="Times" w:hAnsi="Times" w:cs="Times"/>
                <w:b w:val="0"/>
                <w:bCs w:val="0"/>
                <w:i w:val="0"/>
                <w:iCs w:val="0"/>
              </w:rPr>
              <w:t>Multiple ATC codes per drug are possible. Therefore, the same drug may be counted in more than one category for an individual subject.</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Medications are displayed in alphabetical order by ATC class and in decreasing frequency by ATC subclass.</w:t>
            </w:r>
            <w:r>
              <w:rPr>
                <w:rFonts w:ascii="Times" w:hAnsi="Times" w:cs="Times"/>
                <w:b w:val="0"/>
                <w:bCs w:val="0"/>
                <w:i w:val="0"/>
                <w:iCs w:val="0"/>
              </w:rPr>
              <w:br/>
            </w:r>
            <w:r>
              <w:rPr>
                <w:rFonts w:ascii="Times" w:hAnsi="Times" w:cs="Times"/>
                <w:b w:val="0"/>
                <w:bCs w:val="0"/>
                <w:i w:val="0"/>
                <w:iCs w:val="0"/>
              </w:rPr>
              <w:t>ATC = Anatomical Therapeutic Chemical</w:t>
            </w:r>
            <w:r>
              <w:rPr>
                <w:rFonts w:ascii="Times" w:hAnsi="Times" w:cs="Times"/>
                <w:b w:val="0"/>
                <w:bCs w:val="0"/>
                <w:i w:val="0"/>
                <w:iCs w:val="0"/>
              </w:rPr>
              <w:br/>
            </w:r>
            <w:r>
              <w:rPr>
                <w:rFonts w:ascii="Times" w:hAnsi="Times" w:cs="Times"/>
                <w:b w:val="0"/>
                <w:bCs w:val="0"/>
                <w:i w:val="0"/>
                <w:iCs w:val="0"/>
              </w:rPr>
              <w:t>Bayer: /var/swan/root/bhc/3427080/21651/stat/main01/prod/analysis/pgms/t_8_1_6_adcm_sbj_psttrtmed.sas      09JAN2024 16:00</w:t>
            </w:r>
            <w:r>
              <w:rPr>
                <w:rFonts w:ascii="Times" w:hAnsi="Times" w:cs="Times"/>
                <w:b w:val="0"/>
                <w:bCs w:val="0"/>
                <w:i w:val="0"/>
                <w:iCs w:val="0"/>
              </w:rPr>
              <w:br/>
            </w:r>
            <w:r>
              <w:rPr>
                <w:rFonts w:ascii="Times" w:hAnsi="Times" w:cs="Times"/>
                <w:b w:val="0"/>
                <w:bCs w:val="0"/>
                <w:i w:val="0"/>
                <w:iCs w:val="0"/>
              </w:rPr>
              <w:t>End of table</w:t>
            </w:r>
          </w:p>
        </w:tc>
      </w:tr>
    </w:tbl>
    <w:p>
      <w:pPr>
        <w:pStyle w:val="Heading3"/>
        <w:pageBreakBefore/>
        <w:spacing w:before="120" w:after="0" w:line="240" w:lineRule="auto"/>
      </w:pPr>
      <w:bookmarkStart w:id="40" w:name="_Toc256000056"/>
      <w:r>
        <w:t>8.1.7 Intercurrent events</w:t>
      </w:r>
      <w:bookmarkEnd w:id="40"/>
    </w:p>
    <w:tbl>
      <w:tblPr>
        <w:tblStyle w:val="TableNormal"/>
        <w:jc w:val="left"/>
        <w:tblInd w:w="80" w:type="dxa"/>
        <w:tblLayout w:type="fixed"/>
        <w:tblCellMar>
          <w:top w:w="0" w:type="dxa"/>
          <w:left w:w="0" w:type="dxa"/>
          <w:bottom w:w="0" w:type="dxa"/>
          <w:right w:w="0" w:type="dxa"/>
        </w:tblCellMar>
      </w:tblPr>
      <w:tblGrid>
        <w:gridCol w:w="4300"/>
        <w:gridCol w:w="1145"/>
        <w:gridCol w:w="1465"/>
        <w:gridCol w:w="2105"/>
        <w:gridCol w:w="1265"/>
      </w:tblGrid>
      <w:tr>
        <w:tblPrEx>
          <w:jc w:val="left"/>
          <w:tblInd w:w="80" w:type="dxa"/>
          <w:tblLayout w:type="fixed"/>
          <w:tblCellMar>
            <w:top w:w="0" w:type="dxa"/>
            <w:left w:w="0" w:type="dxa"/>
            <w:bottom w:w="0" w:type="dxa"/>
            <w:right w:w="0" w:type="dxa"/>
          </w:tblCellMar>
        </w:tblPrEx>
        <w:trPr>
          <w:cantSplit/>
          <w:tblHeader/>
          <w:jc w:val="left"/>
        </w:trPr>
        <w:tc>
          <w:tcPr>
            <w:tcW w:w="1028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1" w:name="_Toc256000057"/>
            <w:r>
              <w:t>Table 8.1.7 / 1: Intercurrent events - Permanent discontinuation of randomized treatment up to Week 12: number of subjects by reason (full analysis set)</w:t>
            </w:r>
            <w:bookmarkEnd w:id="41"/>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3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Reasons for permanent discontinuation of randomized treatment</w:t>
            </w:r>
          </w:p>
        </w:tc>
        <w:tc>
          <w:tcPr>
            <w:tcW w:w="114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2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Any reason</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23  (  11.6%)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27  (  13.7%)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50  (  12.6%)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8.7%)</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22.2%)</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16.0%)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34.8%)</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40.7%)</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38.0%)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60.9%)</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21  (  77.8%)</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35  (  70.0%)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23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27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50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Adverse event</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14  (    7.0%)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14  (    7.1%)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28  (    7.1%)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7.1%)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28.6%)</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17.9%)</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7  (  50.0%)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50.0%)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11  (  78.6%)</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9  (  64.3%)</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20  (  71.4%)</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14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28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Lack of efficacy</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0.5%)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Lost to follow-up</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Non-compliance with study drug</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1.0%)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33.3%)</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25.0%)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75.0%)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4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Physician decision</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Randomized by mistake</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(100.0%)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Subject decision</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1.5%)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8  (    2.0%)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12.5%)</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25.0%)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62.5%)</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spacing w:after="240"/>
              <w:jc w:val="left"/>
              <w:rPr>
                <w:rFonts w:ascii="Times" w:hAnsi="Times" w:cs="Times"/>
              </w:rPr>
            </w:pPr>
          </w:p>
        </w:tc>
        <w:tc>
          <w:tcPr>
            <w:tcW w:w="11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8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r>
              <w:rPr>
                <w:rFonts w:ascii="Times" w:hAnsi="Times" w:cs="Times"/>
              </w:rPr>
              <w:t>Other</w:t>
            </w:r>
          </w:p>
        </w:tc>
        <w:tc>
          <w:tcPr>
            <w:tcW w:w="114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0.3%)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jc w:val="left"/>
              <w:rPr>
                <w:rFonts w:ascii="Times" w:hAnsi="Times" w:cs="Times"/>
              </w:rPr>
            </w:pPr>
          </w:p>
        </w:tc>
        <w:tc>
          <w:tcPr>
            <w:tcW w:w="1145" w:type="dxa"/>
            <w:tcMar>
              <w:left w:w="80" w:type="dxa"/>
              <w:right w:w="80" w:type="dxa"/>
            </w:tcMar>
            <w:textDirection w:val="lrTb"/>
            <w:vAlign w:val="top"/>
          </w:tcPr>
          <w:p>
            <w:pPr>
              <w:pStyle w:val="Smalltext80"/>
              <w:jc w:val="left"/>
              <w:rPr>
                <w:rFonts w:ascii="Times" w:hAnsi="Times" w:cs="Times"/>
              </w:rPr>
            </w:pPr>
            <w:r>
              <w:rPr>
                <w:rFonts w:ascii="Times" w:hAnsi="Times" w:cs="Times"/>
              </w:rPr>
              <w:t>Up to Week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4300" w:type="dxa"/>
            <w:tcMar>
              <w:left w:w="80" w:type="dxa"/>
              <w:right w:w="80" w:type="dxa"/>
            </w:tcMar>
            <w:textDirection w:val="lrTb"/>
            <w:vAlign w:val="top"/>
          </w:tcPr>
          <w:p>
            <w:pPr>
              <w:pStyle w:val="Smalltext80"/>
              <w:keepNext/>
              <w:jc w:val="left"/>
              <w:rPr>
                <w:rFonts w:ascii="Times" w:hAnsi="Times" w:cs="Times"/>
              </w:rPr>
            </w:pPr>
          </w:p>
        </w:tc>
        <w:tc>
          <w:tcPr>
            <w:tcW w:w="11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Up to Week 12</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(100.0%)</w:t>
            </w:r>
          </w:p>
        </w:tc>
      </w:tr>
      <w:tr>
        <w:tblPrEx>
          <w:jc w:val="left"/>
          <w:tblInd w:w="80" w:type="dxa"/>
          <w:tblLayout w:type="fixed"/>
          <w:tblCellMar>
            <w:top w:w="0" w:type="dxa"/>
            <w:left w:w="0" w:type="dxa"/>
            <w:bottom w:w="0" w:type="dxa"/>
            <w:right w:w="0" w:type="dxa"/>
          </w:tblCellMar>
        </w:tblPrEx>
        <w:trPr>
          <w:cantSplit/>
          <w:jc w:val="left"/>
        </w:trPr>
        <w:tc>
          <w:tcPr>
            <w:tcW w:w="1028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Percentages within sub-categories use the total number within this sub-category as denominator.</w:t>
            </w:r>
            <w:r>
              <w:rPr>
                <w:rFonts w:ascii="Times" w:hAnsi="Times" w:cs="Times"/>
                <w:b w:val="0"/>
                <w:bCs w:val="0"/>
                <w:i w:val="0"/>
                <w:iCs w:val="0"/>
              </w:rPr>
              <w:br/>
            </w:r>
            <w:r>
              <w:rPr>
                <w:rFonts w:ascii="Times" w:hAnsi="Times" w:cs="Times"/>
                <w:b w:val="0"/>
                <w:bCs w:val="0"/>
                <w:i w:val="0"/>
                <w:iCs w:val="0"/>
              </w:rPr>
              <w:t>Bayer: /var/swan/root/bhc/3427080/21651/stat/main01/prod/analysis/pgms/t_8_1_7_ice_adds_rsn.sas      09JAN2024 16:00</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4600"/>
        <w:gridCol w:w="1605"/>
        <w:gridCol w:w="1465"/>
        <w:gridCol w:w="2105"/>
        <w:gridCol w:w="1265"/>
      </w:tblGrid>
      <w:tr>
        <w:tblPrEx>
          <w:jc w:val="left"/>
          <w:tblInd w:w="80" w:type="dxa"/>
          <w:tblLayout w:type="fixed"/>
          <w:tblCellMar>
            <w:top w:w="0" w:type="dxa"/>
            <w:left w:w="0" w:type="dxa"/>
            <w:bottom w:w="0" w:type="dxa"/>
            <w:right w:w="0" w:type="dxa"/>
          </w:tblCellMar>
        </w:tblPrEx>
        <w:trPr>
          <w:cantSplit/>
          <w:tblHeader/>
          <w:jc w:val="left"/>
        </w:trPr>
        <w:tc>
          <w:tcPr>
            <w:tcW w:w="1104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2" w:name="_Toc256000059"/>
            <w:r>
              <w:t>Table 8.1.7 / 2: Intercurrent events - Temporary treatment interruption up to Week 12: number of subjects by reason (full analysis set)</w:t>
            </w:r>
            <w:bookmarkEnd w:id="42"/>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460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Reasons for temporary treatment interruption</w:t>
            </w:r>
            <w:r>
              <w:rPr>
                <w:rFonts w:ascii="Arial" w:hAnsi="Arial" w:cs="Arial"/>
                <w:sz w:val="20"/>
                <w:szCs w:val="20"/>
                <w:vertAlign w:val="superscript"/>
              </w:rPr>
              <w:t>a</w:t>
            </w:r>
          </w:p>
        </w:tc>
        <w:tc>
          <w:tcPr>
            <w:tcW w:w="16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2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2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Any interruption</w:t>
            </w:r>
          </w:p>
        </w:tc>
        <w:tc>
          <w:tcPr>
            <w:tcW w:w="160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9  (    4.5%)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5  (    2.5%)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14  (    3.5%)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14.3%)</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3 &amp;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44.4%)</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4  (  28.6%)</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7 &amp;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11.1%)</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40.0%)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21.4%)</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spacing w:after="240"/>
              <w:jc w:val="left"/>
              <w:rPr>
                <w:rFonts w:ascii="Times" w:hAnsi="Times" w:cs="Times"/>
              </w:rPr>
            </w:pPr>
          </w:p>
        </w:tc>
        <w:tc>
          <w:tcPr>
            <w:tcW w:w="16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During Week 11 &amp;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  33.3%)</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  40.0%)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5  (  35.7%)</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Adverse event</w:t>
            </w:r>
          </w:p>
        </w:tc>
        <w:tc>
          <w:tcPr>
            <w:tcW w:w="160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5  (    2.5%)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  (    0.5%)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6  (    1.5%)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33.3%)</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3 &amp;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60.0%)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50.0%)</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7 &amp;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spacing w:after="240"/>
              <w:jc w:val="left"/>
              <w:rPr>
                <w:rFonts w:ascii="Times" w:hAnsi="Times" w:cs="Times"/>
              </w:rPr>
            </w:pPr>
          </w:p>
        </w:tc>
        <w:tc>
          <w:tcPr>
            <w:tcW w:w="16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During Week 11 &amp;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20.0%)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  16.7%)</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Other reason (not prespecified, non-safety related)</w:t>
            </w:r>
          </w:p>
        </w:tc>
        <w:tc>
          <w:tcPr>
            <w:tcW w:w="160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2  (    1.0%)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1  (    0.5%)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0.8%)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3 &amp;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7 &amp;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spacing w:after="240"/>
              <w:jc w:val="left"/>
              <w:rPr>
                <w:rFonts w:ascii="Times" w:hAnsi="Times" w:cs="Times"/>
              </w:rPr>
            </w:pPr>
          </w:p>
        </w:tc>
        <w:tc>
          <w:tcPr>
            <w:tcW w:w="16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During Week 11 &amp; 12</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2  (100.0%)</w:t>
            </w:r>
          </w:p>
        </w:tc>
        <w:tc>
          <w:tcPr>
            <w:tcW w:w="2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1  (100.0%)</w:t>
            </w:r>
          </w:p>
        </w:tc>
        <w:tc>
          <w:tcPr>
            <w:tcW w:w="12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 xml:space="preserve">        3  (100.0%)</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r>
              <w:rPr>
                <w:rFonts w:ascii="Times" w:hAnsi="Times" w:cs="Times"/>
              </w:rPr>
              <w:t>Subject error</w:t>
            </w:r>
          </w:p>
        </w:tc>
        <w:tc>
          <w:tcPr>
            <w:tcW w:w="1605" w:type="dxa"/>
            <w:tcMar>
              <w:left w:w="80" w:type="dxa"/>
              <w:right w:w="80" w:type="dxa"/>
            </w:tcMar>
            <w:textDirection w:val="lrTb"/>
            <w:vAlign w:val="top"/>
          </w:tcPr>
          <w:p>
            <w:pPr>
              <w:pStyle w:val="Smalltext80"/>
              <w:jc w:val="left"/>
              <w:rPr>
                <w:rFonts w:ascii="Times" w:hAnsi="Times" w:cs="Times"/>
              </w:rPr>
            </w:pP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2  (    1.0%)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3  (    1.5%)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1.3%)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465" w:type="dxa"/>
            <w:tcMar>
              <w:left w:w="80" w:type="dxa"/>
              <w:right w:w="80" w:type="dxa"/>
            </w:tcMar>
            <w:textDirection w:val="lrTb"/>
            <w:vAlign w:val="top"/>
          </w:tcPr>
          <w:p>
            <w:pPr>
              <w:pStyle w:val="Smalltext80"/>
              <w:jc w:val="left"/>
              <w:rPr>
                <w:rFonts w:ascii="Times" w:hAnsi="Times" w:cs="Times"/>
              </w:rPr>
            </w:pPr>
          </w:p>
        </w:tc>
        <w:tc>
          <w:tcPr>
            <w:tcW w:w="2105" w:type="dxa"/>
            <w:tcMar>
              <w:left w:w="80" w:type="dxa"/>
              <w:right w:w="80" w:type="dxa"/>
            </w:tcMar>
            <w:textDirection w:val="lrTb"/>
            <w:vAlign w:val="top"/>
          </w:tcPr>
          <w:p>
            <w:pPr>
              <w:pStyle w:val="Smalltext80"/>
              <w:jc w:val="left"/>
              <w:rPr>
                <w:rFonts w:ascii="Times" w:hAnsi="Times" w:cs="Times"/>
              </w:rPr>
            </w:pPr>
          </w:p>
        </w:tc>
        <w:tc>
          <w:tcPr>
            <w:tcW w:w="126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1</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3 &amp; 4</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7 &amp; 8</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50.0%)</w:t>
            </w:r>
          </w:p>
        </w:tc>
        <w:tc>
          <w:tcPr>
            <w:tcW w:w="2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66.7%)</w:t>
            </w:r>
          </w:p>
        </w:tc>
        <w:tc>
          <w:tcPr>
            <w:tcW w:w="12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60.0%)</w:t>
            </w:r>
          </w:p>
        </w:tc>
      </w:tr>
      <w:tr>
        <w:tblPrEx>
          <w:jc w:val="left"/>
          <w:tblInd w:w="80" w:type="dxa"/>
          <w:tblLayout w:type="fixed"/>
          <w:tblCellMar>
            <w:top w:w="0" w:type="dxa"/>
            <w:left w:w="0" w:type="dxa"/>
            <w:bottom w:w="0" w:type="dxa"/>
            <w:right w:w="0" w:type="dxa"/>
          </w:tblCellMar>
        </w:tblPrEx>
        <w:trPr>
          <w:cantSplit/>
          <w:jc w:val="left"/>
        </w:trPr>
        <w:tc>
          <w:tcPr>
            <w:tcW w:w="4600" w:type="dxa"/>
            <w:tcMar>
              <w:left w:w="80" w:type="dxa"/>
              <w:right w:w="80" w:type="dxa"/>
            </w:tcMar>
            <w:textDirection w:val="lrTb"/>
            <w:vAlign w:val="top"/>
          </w:tcPr>
          <w:p>
            <w:pPr>
              <w:pStyle w:val="Smalltext80"/>
              <w:keepNext/>
              <w:jc w:val="left"/>
              <w:rPr>
                <w:rFonts w:ascii="Times" w:hAnsi="Times" w:cs="Times"/>
              </w:rPr>
            </w:pPr>
          </w:p>
        </w:tc>
        <w:tc>
          <w:tcPr>
            <w:tcW w:w="16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During Week 11 &amp; 12</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0                 </w:t>
            </w:r>
          </w:p>
        </w:tc>
        <w:tc>
          <w:tcPr>
            <w:tcW w:w="2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33.3%)</w:t>
            </w:r>
          </w:p>
        </w:tc>
        <w:tc>
          <w:tcPr>
            <w:tcW w:w="12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1  (  20.0%)</w:t>
            </w:r>
          </w:p>
        </w:tc>
      </w:tr>
      <w:tr>
        <w:tblPrEx>
          <w:jc w:val="left"/>
          <w:tblInd w:w="80" w:type="dxa"/>
          <w:tblLayout w:type="fixed"/>
          <w:tblCellMar>
            <w:top w:w="0" w:type="dxa"/>
            <w:left w:w="0" w:type="dxa"/>
            <w:bottom w:w="0" w:type="dxa"/>
            <w:right w:w="0" w:type="dxa"/>
          </w:tblCellMar>
        </w:tblPrEx>
        <w:trPr>
          <w:cantSplit/>
          <w:jc w:val="left"/>
        </w:trPr>
        <w:tc>
          <w:tcPr>
            <w:tcW w:w="1104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A participant could have single day treatment interruptions without reason.</w:t>
            </w: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There can be several reasons for temporary treatment interruptions per subject and considered time. Therefore, one subject can be counted in more than one reason category.</w:t>
            </w:r>
            <w:r>
              <w:rPr>
                <w:rFonts w:ascii="Times" w:hAnsi="Times" w:cs="Times"/>
                <w:b w:val="0"/>
                <w:bCs w:val="0"/>
                <w:i w:val="0"/>
                <w:iCs w:val="0"/>
              </w:rPr>
              <w:br/>
            </w:r>
            <w:r>
              <w:rPr>
                <w:rFonts w:ascii="Times" w:hAnsi="Times" w:cs="Times"/>
                <w:b w:val="0"/>
                <w:bCs w:val="0"/>
                <w:i w:val="0"/>
                <w:iCs w:val="0"/>
              </w:rPr>
              <w:t>The reason for a temporary treatment interruption is only collected if a subject interrupted treatment for more than 2 consecutive days.</w:t>
            </w:r>
            <w:r>
              <w:rPr>
                <w:rFonts w:ascii="Times" w:hAnsi="Times" w:cs="Times"/>
                <w:b w:val="0"/>
                <w:bCs w:val="0"/>
                <w:i w:val="0"/>
                <w:iCs w:val="0"/>
              </w:rPr>
              <w:br/>
            </w:r>
            <w:r>
              <w:rPr>
                <w:rFonts w:ascii="Times" w:hAnsi="Times" w:cs="Times"/>
                <w:b w:val="0"/>
                <w:bCs w:val="0"/>
                <w:i w:val="0"/>
                <w:iCs w:val="0"/>
              </w:rPr>
              <w:t>Percentages within sub-categories use the total number within this sub-category as denominator.</w:t>
            </w:r>
            <w:r>
              <w:rPr>
                <w:rFonts w:ascii="Times" w:hAnsi="Times" w:cs="Times"/>
                <w:b w:val="0"/>
                <w:bCs w:val="0"/>
                <w:i w:val="0"/>
                <w:iCs w:val="0"/>
              </w:rPr>
              <w:br/>
            </w:r>
            <w:r>
              <w:rPr>
                <w:rFonts w:ascii="Times" w:hAnsi="Times" w:cs="Times"/>
                <w:b w:val="0"/>
                <w:bCs w:val="0"/>
                <w:i w:val="0"/>
                <w:iCs w:val="0"/>
              </w:rPr>
              <w:t>Bayer: /var/swan/root/bhc/3427080/21651/stat/main01/prod/analysis/pgms/t_8_1_7_ice_adex_rsn.sas      09JAN2024 16:00</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6280"/>
        <w:gridCol w:w="1245"/>
        <w:gridCol w:w="1185"/>
        <w:gridCol w:w="1185"/>
        <w:gridCol w:w="1185"/>
      </w:tblGrid>
      <w:tr>
        <w:tblPrEx>
          <w:jc w:val="left"/>
          <w:tblInd w:w="80" w:type="dxa"/>
          <w:tblLayout w:type="fixed"/>
          <w:tblCellMar>
            <w:top w:w="0" w:type="dxa"/>
            <w:left w:w="0" w:type="dxa"/>
            <w:bottom w:w="0" w:type="dxa"/>
            <w:right w:w="0" w:type="dxa"/>
          </w:tblCellMar>
        </w:tblPrEx>
        <w:trPr>
          <w:cantSplit/>
          <w:tblHeader/>
          <w:jc w:val="left"/>
        </w:trPr>
        <w:tc>
          <w:tcPr>
            <w:tcW w:w="1108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3" w:name="_Toc256000061"/>
            <w:r>
              <w:t>Table 8.1.7 / 3: Intercurrent events - Intake of prohibited concomitant medication having impact on efficacy up to Week 12: number of subjects (full analysis set)</w:t>
            </w:r>
            <w:bookmarkEnd w:id="43"/>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7525" w:type="dxa"/>
            <w:gridSpan w:val="2"/>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1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 (100%)</w:t>
            </w:r>
          </w:p>
        </w:tc>
        <w:tc>
          <w:tcPr>
            <w:tcW w:w="11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 (100%)</w:t>
            </w:r>
          </w:p>
        </w:tc>
        <w:tc>
          <w:tcPr>
            <w:tcW w:w="118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 (100%)</w:t>
            </w: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jc w:val="left"/>
              <w:rPr>
                <w:rFonts w:ascii="Times" w:hAnsi="Times" w:cs="Times"/>
              </w:rPr>
            </w:pPr>
            <w:r>
              <w:rPr>
                <w:rFonts w:ascii="Times" w:hAnsi="Times" w:cs="Times"/>
              </w:rPr>
              <w:t>Intake of prohibited concomitant medication having impact on efficacy</w:t>
            </w:r>
            <w:r>
              <w:rPr>
                <w:rFonts w:ascii="Arial" w:hAnsi="Arial" w:cs="Arial"/>
                <w:sz w:val="20"/>
                <w:szCs w:val="20"/>
                <w:vertAlign w:val="superscript"/>
              </w:rPr>
              <w:t>a</w:t>
            </w:r>
          </w:p>
        </w:tc>
        <w:tc>
          <w:tcPr>
            <w:tcW w:w="124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4  (    2.0%)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5  (    2.5%)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9  (    2.3%)      </w:t>
            </w: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jc w:val="left"/>
              <w:rPr>
                <w:rFonts w:ascii="Times" w:hAnsi="Times" w:cs="Times"/>
              </w:rPr>
            </w:pP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Time</w:t>
            </w:r>
          </w:p>
        </w:tc>
        <w:tc>
          <w:tcPr>
            <w:tcW w:w="118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c>
          <w:tcPr>
            <w:tcW w:w="118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keepNext/>
              <w:jc w:val="left"/>
              <w:rPr>
                <w:rFonts w:ascii="Times" w:hAnsi="Times" w:cs="Times"/>
              </w:rPr>
            </w:pP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1</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11.1%)</w:t>
            </w: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keepNext/>
              <w:jc w:val="left"/>
              <w:rPr>
                <w:rFonts w:ascii="Times" w:hAnsi="Times" w:cs="Times"/>
              </w:rPr>
            </w:pP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4</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0                 </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20.0%)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  (  11.1%)</w:t>
            </w: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keepNext/>
              <w:jc w:val="left"/>
              <w:rPr>
                <w:rFonts w:ascii="Times" w:hAnsi="Times" w:cs="Times"/>
              </w:rPr>
            </w:pPr>
          </w:p>
        </w:tc>
        <w:tc>
          <w:tcPr>
            <w:tcW w:w="1245" w:type="dxa"/>
            <w:tcMar>
              <w:left w:w="80" w:type="dxa"/>
              <w:right w:w="80" w:type="dxa"/>
            </w:tcMar>
            <w:textDirection w:val="lrTb"/>
            <w:vAlign w:val="top"/>
          </w:tcPr>
          <w:p>
            <w:pPr>
              <w:pStyle w:val="Smalltext80"/>
              <w:jc w:val="left"/>
              <w:rPr>
                <w:rFonts w:ascii="Times" w:hAnsi="Times" w:cs="Times"/>
              </w:rPr>
            </w:pPr>
            <w:r>
              <w:rPr>
                <w:rFonts w:ascii="Times" w:hAnsi="Times" w:cs="Times"/>
              </w:rPr>
              <w:t>During Week 8</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2  (  50.0%)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  (  60.0%)</w:t>
            </w:r>
          </w:p>
        </w:tc>
        <w:tc>
          <w:tcPr>
            <w:tcW w:w="118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55.6%)</w:t>
            </w:r>
          </w:p>
        </w:tc>
      </w:tr>
      <w:tr>
        <w:tblPrEx>
          <w:jc w:val="left"/>
          <w:tblInd w:w="80" w:type="dxa"/>
          <w:tblLayout w:type="fixed"/>
          <w:tblCellMar>
            <w:top w:w="0" w:type="dxa"/>
            <w:left w:w="0" w:type="dxa"/>
            <w:bottom w:w="0" w:type="dxa"/>
            <w:right w:w="0" w:type="dxa"/>
          </w:tblCellMar>
        </w:tblPrEx>
        <w:trPr>
          <w:cantSplit/>
          <w:jc w:val="left"/>
        </w:trPr>
        <w:tc>
          <w:tcPr>
            <w:tcW w:w="6280" w:type="dxa"/>
            <w:tcMar>
              <w:left w:w="80" w:type="dxa"/>
              <w:right w:w="80" w:type="dxa"/>
            </w:tcMar>
            <w:textDirection w:val="lrTb"/>
            <w:vAlign w:val="top"/>
          </w:tcPr>
          <w:p>
            <w:pPr>
              <w:pStyle w:val="Smalltext80"/>
              <w:keepNext/>
              <w:jc w:val="left"/>
              <w:rPr>
                <w:rFonts w:ascii="Times" w:hAnsi="Times" w:cs="Times"/>
              </w:rPr>
            </w:pPr>
          </w:p>
        </w:tc>
        <w:tc>
          <w:tcPr>
            <w:tcW w:w="1245" w:type="dxa"/>
            <w:tcMar>
              <w:left w:w="80" w:type="dxa"/>
              <w:right w:w="80" w:type="dxa"/>
            </w:tcMar>
            <w:textDirection w:val="lrTb"/>
            <w:vAlign w:val="top"/>
          </w:tcPr>
          <w:p>
            <w:pPr>
              <w:pStyle w:val="Smalltext80"/>
              <w:keepNext/>
              <w:jc w:val="left"/>
              <w:rPr>
                <w:rFonts w:ascii="Times" w:hAnsi="Times" w:cs="Times"/>
              </w:rPr>
            </w:pPr>
            <w:r>
              <w:rPr>
                <w:rFonts w:ascii="Times" w:hAnsi="Times" w:cs="Times"/>
              </w:rPr>
              <w:t>During Week 12</w:t>
            </w:r>
          </w:p>
        </w:tc>
        <w:tc>
          <w:tcPr>
            <w:tcW w:w="11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4  (100.0%)</w:t>
            </w:r>
          </w:p>
        </w:tc>
        <w:tc>
          <w:tcPr>
            <w:tcW w:w="11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5  (100.0%)</w:t>
            </w:r>
          </w:p>
        </w:tc>
        <w:tc>
          <w:tcPr>
            <w:tcW w:w="1185" w:type="dxa"/>
            <w:tcMar>
              <w:left w:w="80" w:type="dxa"/>
              <w:right w:w="80" w:type="dxa"/>
            </w:tcMar>
            <w:textDirection w:val="lrTb"/>
            <w:vAlign w:val="top"/>
          </w:tcPr>
          <w:p>
            <w:pPr>
              <w:pStyle w:val="Smalltext80"/>
              <w:keepNext/>
              <w:jc w:val="left"/>
              <w:rPr>
                <w:rFonts w:ascii="Times" w:hAnsi="Times" w:cs="Times"/>
              </w:rPr>
            </w:pPr>
            <w:r>
              <w:rPr>
                <w:rFonts w:ascii="Times" w:hAnsi="Times" w:cs="Times"/>
              </w:rPr>
              <w:t xml:space="preserve">      9  (100.0%)</w:t>
            </w:r>
          </w:p>
        </w:tc>
      </w:tr>
      <w:tr>
        <w:tblPrEx>
          <w:jc w:val="left"/>
          <w:tblInd w:w="80" w:type="dxa"/>
          <w:tblLayout w:type="fixed"/>
          <w:tblCellMar>
            <w:top w:w="0" w:type="dxa"/>
            <w:left w:w="0" w:type="dxa"/>
            <w:bottom w:w="0" w:type="dxa"/>
            <w:right w:w="0" w:type="dxa"/>
          </w:tblCellMar>
        </w:tblPrEx>
        <w:trPr>
          <w:cantSplit/>
          <w:jc w:val="left"/>
        </w:trPr>
        <w:tc>
          <w:tcPr>
            <w:tcW w:w="1108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Subjects who took more than one prohibited concomitant medication per considered time are counted once.</w:t>
            </w:r>
            <w:r>
              <w:rPr>
                <w:rFonts w:ascii="Times" w:hAnsi="Times" w:cs="Times"/>
                <w:b w:val="0"/>
                <w:bCs w:val="0"/>
                <w:i w:val="0"/>
                <w:iCs w:val="0"/>
              </w:rPr>
              <w:br/>
            </w:r>
            <w:r>
              <w:rPr>
                <w:rFonts w:ascii="Times" w:hAnsi="Times" w:cs="Times"/>
                <w:b w:val="0"/>
                <w:bCs w:val="0"/>
                <w:i w:val="0"/>
                <w:iCs w:val="0"/>
              </w:rPr>
              <w:t>Any intake of prohibited medication is counted for all the time where it is considered as an intercurrent event, i.e. including the pre-defined washout time period.</w:t>
            </w:r>
            <w:r>
              <w:rPr>
                <w:rFonts w:ascii="Times" w:hAnsi="Times" w:cs="Times"/>
                <w:b w:val="0"/>
                <w:bCs w:val="0"/>
                <w:i w:val="0"/>
                <w:iCs w:val="0"/>
              </w:rPr>
              <w:br/>
            </w:r>
            <w:r>
              <w:rPr>
                <w:rFonts w:ascii="Times" w:hAnsi="Times" w:cs="Times"/>
                <w:b w:val="0"/>
                <w:bCs w:val="0"/>
                <w:i w:val="0"/>
                <w:iCs w:val="0"/>
              </w:rPr>
              <w:t>Percentages within sub-categories use the total number within this sub-category as denominator.</w:t>
            </w:r>
            <w:r>
              <w:rPr>
                <w:rFonts w:ascii="Times" w:hAnsi="Times" w:cs="Times"/>
                <w:b w:val="0"/>
                <w:bCs w:val="0"/>
                <w:i w:val="0"/>
                <w:iCs w:val="0"/>
              </w:rPr>
              <w:br/>
            </w:r>
            <w:r>
              <w:rPr>
                <w:rFonts w:ascii="Times" w:hAnsi="Times" w:cs="Times"/>
                <w:b w:val="0"/>
                <w:bCs w:val="0"/>
                <w:i w:val="0"/>
                <w:iCs w:val="0"/>
              </w:rPr>
              <w:t>Bayer: /var/swan/root/bhc/3427080/21651/stat/main01/prod/analysis/pgms/t_8_1_7_ice_adcm_rsn.sas      09JAN2024 16:00</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740"/>
        <w:gridCol w:w="6865"/>
        <w:gridCol w:w="1465"/>
        <w:gridCol w:w="1665"/>
        <w:gridCol w:w="1105"/>
      </w:tblGrid>
      <w:tr>
        <w:tblPrEx>
          <w:jc w:val="left"/>
          <w:tblInd w:w="80" w:type="dxa"/>
          <w:tblLayout w:type="fixed"/>
          <w:tblCellMar>
            <w:top w:w="0" w:type="dxa"/>
            <w:left w:w="0" w:type="dxa"/>
            <w:bottom w:w="0" w:type="dxa"/>
            <w:right w:w="0" w:type="dxa"/>
          </w:tblCellMar>
        </w:tblPrEx>
        <w:trPr>
          <w:cantSplit/>
          <w:tblHeader/>
          <w:jc w:val="left"/>
        </w:trPr>
        <w:tc>
          <w:tcPr>
            <w:tcW w:w="1184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4" w:name="_Toc256000063"/>
            <w:r>
              <w:t>Table 8.1.7 / 4: Non-compliance related to temporary treatment interruption (estimand definition) up to Week 12 (full analysis set)</w:t>
            </w:r>
            <w:bookmarkEnd w:id="44"/>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7605" w:type="dxa"/>
            <w:gridSpan w:val="2"/>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p>
        </w:tc>
        <w:tc>
          <w:tcPr>
            <w:tcW w:w="14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Elinzanetant 120mg </w:t>
              <w:br/>
              <w:t>(N=199)</w:t>
            </w:r>
          </w:p>
        </w:tc>
        <w:tc>
          <w:tcPr>
            <w:tcW w:w="166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Placebo - Elinzanetant 120mg </w:t>
              <w:br/>
              <w:t>(N=197)</w:t>
            </w:r>
          </w:p>
        </w:tc>
        <w:tc>
          <w:tcPr>
            <w:tcW w:w="110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t xml:space="preserve">Total </w:t>
              <w:br/>
              <w:t>(N=396)</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 1</w:t>
            </w: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198  (100.0%)</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195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393  (100.0%)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on &lt;5/7 days</w:t>
            </w:r>
          </w:p>
        </w:tc>
        <w:tc>
          <w:tcPr>
            <w:tcW w:w="1465" w:type="dxa"/>
            <w:tcMar>
              <w:left w:w="80" w:type="dxa"/>
              <w:right w:w="80" w:type="dxa"/>
            </w:tcMar>
            <w:textDirection w:val="lrTb"/>
            <w:vAlign w:val="top"/>
          </w:tcPr>
          <w:p>
            <w:pPr>
              <w:pStyle w:val="Smalltext80"/>
              <w:jc w:val="left"/>
              <w:rPr>
                <w:rFonts w:ascii="Times" w:hAnsi="Times" w:cs="Times"/>
              </w:rPr>
            </w:pPr>
          </w:p>
        </w:tc>
        <w:tc>
          <w:tcPr>
            <w:tcW w:w="166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5  (    2.5%)</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12  (    6.2%)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17  (    4.3%)</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spacing w:after="240"/>
              <w:jc w:val="left"/>
              <w:rPr>
                <w:rFonts w:ascii="Times" w:hAnsi="Times" w:cs="Times"/>
              </w:rPr>
            </w:pPr>
          </w:p>
        </w:tc>
        <w:tc>
          <w:tcPr>
            <w:tcW w:w="68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193  (  97.5%)</w:t>
            </w:r>
          </w:p>
        </w:tc>
        <w:tc>
          <w:tcPr>
            <w:tcW w:w="16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183  (  93.8%)</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376  (  95.7%)</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 4</w:t>
            </w: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194  (100.0%)</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187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381  (100.0%)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&lt;80% during weeks 1-4 OR treatment taken on &lt;5/7 days during either week 3 or 4</w:t>
            </w:r>
          </w:p>
        </w:tc>
        <w:tc>
          <w:tcPr>
            <w:tcW w:w="1465" w:type="dxa"/>
            <w:tcMar>
              <w:left w:w="80" w:type="dxa"/>
              <w:right w:w="80" w:type="dxa"/>
            </w:tcMar>
            <w:textDirection w:val="lrTb"/>
            <w:vAlign w:val="top"/>
          </w:tcPr>
          <w:p>
            <w:pPr>
              <w:pStyle w:val="Smalltext80"/>
              <w:jc w:val="left"/>
              <w:rPr>
                <w:rFonts w:ascii="Times" w:hAnsi="Times" w:cs="Times"/>
              </w:rPr>
            </w:pPr>
          </w:p>
        </w:tc>
        <w:tc>
          <w:tcPr>
            <w:tcW w:w="166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9.8%)</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19  (  10.2%)</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38  (  10.0%)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spacing w:after="240"/>
              <w:jc w:val="left"/>
              <w:rPr>
                <w:rFonts w:ascii="Times" w:hAnsi="Times" w:cs="Times"/>
              </w:rPr>
            </w:pPr>
          </w:p>
        </w:tc>
        <w:tc>
          <w:tcPr>
            <w:tcW w:w="68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175  (  90.2%)</w:t>
            </w:r>
          </w:p>
        </w:tc>
        <w:tc>
          <w:tcPr>
            <w:tcW w:w="16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168  (  89.8%)</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343  (  90.0%)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 8</w:t>
            </w: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187  (100.0%)</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180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367  (100.0%)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&lt;80% during weeks 1-8 OR treatment taken on &lt;5/7 days during either week 7 or 8</w:t>
            </w:r>
          </w:p>
        </w:tc>
        <w:tc>
          <w:tcPr>
            <w:tcW w:w="1465" w:type="dxa"/>
            <w:tcMar>
              <w:left w:w="80" w:type="dxa"/>
              <w:right w:w="80" w:type="dxa"/>
            </w:tcMar>
            <w:textDirection w:val="lrTb"/>
            <w:vAlign w:val="top"/>
          </w:tcPr>
          <w:p>
            <w:pPr>
              <w:pStyle w:val="Smalltext80"/>
              <w:jc w:val="left"/>
              <w:rPr>
                <w:rFonts w:ascii="Times" w:hAnsi="Times" w:cs="Times"/>
              </w:rPr>
            </w:pPr>
          </w:p>
        </w:tc>
        <w:tc>
          <w:tcPr>
            <w:tcW w:w="166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18  (    9.6%)</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15  (    8.3%)</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33  (    9.0%)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spacing w:after="240"/>
              <w:jc w:val="left"/>
              <w:rPr>
                <w:rFonts w:ascii="Times" w:hAnsi="Times" w:cs="Times"/>
              </w:rPr>
            </w:pPr>
          </w:p>
        </w:tc>
        <w:tc>
          <w:tcPr>
            <w:tcW w:w="68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169  (  90.4%)</w:t>
            </w:r>
          </w:p>
        </w:tc>
        <w:tc>
          <w:tcPr>
            <w:tcW w:w="166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165  (  91.7%)</w:t>
            </w:r>
          </w:p>
        </w:tc>
        <w:tc>
          <w:tcPr>
            <w:tcW w:w="11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334  (  91.0%)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 12</w:t>
            </w: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n</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179  (100.0%)</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172  (100.0%)</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351  (100.0%)</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Treatment taken &lt;80% during weeks 1-12 OR treatment taken on &lt;5/7 days during either week 11 or 12</w:t>
            </w:r>
          </w:p>
        </w:tc>
        <w:tc>
          <w:tcPr>
            <w:tcW w:w="1465" w:type="dxa"/>
            <w:tcMar>
              <w:left w:w="80" w:type="dxa"/>
              <w:right w:w="80" w:type="dxa"/>
            </w:tcMar>
            <w:textDirection w:val="lrTb"/>
            <w:vAlign w:val="top"/>
          </w:tcPr>
          <w:p>
            <w:pPr>
              <w:pStyle w:val="Smalltext80"/>
              <w:jc w:val="left"/>
              <w:rPr>
                <w:rFonts w:ascii="Times" w:hAnsi="Times" w:cs="Times"/>
              </w:rPr>
            </w:pPr>
          </w:p>
        </w:tc>
        <w:tc>
          <w:tcPr>
            <w:tcW w:w="1665" w:type="dxa"/>
            <w:tcMar>
              <w:left w:w="80" w:type="dxa"/>
              <w:right w:w="80" w:type="dxa"/>
            </w:tcMar>
            <w:textDirection w:val="lrTb"/>
            <w:vAlign w:val="top"/>
          </w:tcPr>
          <w:p>
            <w:pPr>
              <w:pStyle w:val="Smalltext80"/>
              <w:jc w:val="left"/>
              <w:rPr>
                <w:rFonts w:ascii="Times" w:hAnsi="Times" w:cs="Times"/>
              </w:rPr>
            </w:pPr>
          </w:p>
        </w:tc>
        <w:tc>
          <w:tcPr>
            <w:tcW w:w="1105" w:type="dxa"/>
            <w:tcMar>
              <w:left w:w="80" w:type="dxa"/>
              <w:right w:w="80" w:type="dxa"/>
            </w:tcMar>
            <w:textDirection w:val="lrTb"/>
            <w:vAlign w:val="top"/>
          </w:tcPr>
          <w:p>
            <w:pPr>
              <w:pStyle w:val="Smalltext80"/>
              <w:jc w:val="left"/>
              <w:rPr>
                <w:rFonts w:ascii="Times" w:hAnsi="Times" w:cs="Times"/>
              </w:rPr>
            </w:pP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jc w:val="left"/>
              <w:rPr>
                <w:rFonts w:ascii="Times" w:hAnsi="Times" w:cs="Times"/>
              </w:rPr>
            </w:pPr>
            <w:r>
              <w:rPr>
                <w:rFonts w:ascii="Times" w:hAnsi="Times" w:cs="Times"/>
              </w:rPr>
              <w:t>Yes</w:t>
            </w:r>
          </w:p>
        </w:tc>
        <w:tc>
          <w:tcPr>
            <w:tcW w:w="14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16  (    8.9%)</w:t>
            </w:r>
          </w:p>
        </w:tc>
        <w:tc>
          <w:tcPr>
            <w:tcW w:w="166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14  (    8.1%)</w:t>
            </w:r>
          </w:p>
        </w:tc>
        <w:tc>
          <w:tcPr>
            <w:tcW w:w="1105" w:type="dxa"/>
            <w:tcMar>
              <w:left w:w="80" w:type="dxa"/>
              <w:right w:w="80" w:type="dxa"/>
            </w:tcMar>
            <w:textDirection w:val="lrTb"/>
            <w:vAlign w:val="top"/>
          </w:tcPr>
          <w:p>
            <w:pPr>
              <w:pStyle w:val="Smalltext80"/>
              <w:jc w:val="left"/>
              <w:rPr>
                <w:rFonts w:ascii="Times" w:hAnsi="Times" w:cs="Times"/>
              </w:rPr>
            </w:pPr>
            <w:r>
              <w:rPr>
                <w:rFonts w:ascii="Times" w:hAnsi="Times" w:cs="Times"/>
              </w:rPr>
              <w:t xml:space="preserve">  30  (    8.5%)</w:t>
            </w:r>
          </w:p>
        </w:tc>
      </w:tr>
      <w:tr>
        <w:tblPrEx>
          <w:jc w:val="left"/>
          <w:tblInd w:w="80" w:type="dxa"/>
          <w:tblLayout w:type="fixed"/>
          <w:tblCellMar>
            <w:top w:w="0" w:type="dxa"/>
            <w:left w:w="0" w:type="dxa"/>
            <w:bottom w:w="0" w:type="dxa"/>
            <w:right w:w="0" w:type="dxa"/>
          </w:tblCellMar>
        </w:tblPrEx>
        <w:trPr>
          <w:cantSplit/>
          <w:jc w:val="left"/>
        </w:trPr>
        <w:tc>
          <w:tcPr>
            <w:tcW w:w="740" w:type="dxa"/>
            <w:tcMar>
              <w:left w:w="80" w:type="dxa"/>
              <w:right w:w="80" w:type="dxa"/>
            </w:tcMar>
            <w:textDirection w:val="lrTb"/>
            <w:vAlign w:val="top"/>
          </w:tcPr>
          <w:p>
            <w:pPr>
              <w:pStyle w:val="Smalltext80"/>
              <w:keepNext/>
              <w:jc w:val="left"/>
              <w:rPr>
                <w:rFonts w:ascii="Times" w:hAnsi="Times" w:cs="Times"/>
              </w:rPr>
            </w:pPr>
          </w:p>
        </w:tc>
        <w:tc>
          <w:tcPr>
            <w:tcW w:w="68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No</w:t>
            </w:r>
          </w:p>
        </w:tc>
        <w:tc>
          <w:tcPr>
            <w:tcW w:w="14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163  (  91.1%)</w:t>
            </w:r>
          </w:p>
        </w:tc>
        <w:tc>
          <w:tcPr>
            <w:tcW w:w="1665" w:type="dxa"/>
            <w:tcMar>
              <w:left w:w="80" w:type="dxa"/>
              <w:right w:w="80" w:type="dxa"/>
            </w:tcMar>
            <w:textDirection w:val="lrTb"/>
            <w:vAlign w:val="top"/>
          </w:tcPr>
          <w:p>
            <w:pPr>
              <w:pStyle w:val="Smalltext80"/>
              <w:keepNext/>
              <w:jc w:val="left"/>
              <w:rPr>
                <w:rFonts w:ascii="Times" w:hAnsi="Times" w:cs="Times"/>
              </w:rPr>
            </w:pPr>
            <w:r>
              <w:rPr>
                <w:rFonts w:ascii="Times" w:hAnsi="Times" w:cs="Times"/>
              </w:rPr>
              <w:t>158  (  91.9%)</w:t>
            </w:r>
          </w:p>
        </w:tc>
        <w:tc>
          <w:tcPr>
            <w:tcW w:w="1105" w:type="dxa"/>
            <w:tcMar>
              <w:left w:w="80" w:type="dxa"/>
              <w:right w:w="80" w:type="dxa"/>
            </w:tcMar>
            <w:textDirection w:val="lrTb"/>
            <w:vAlign w:val="top"/>
          </w:tcPr>
          <w:p>
            <w:pPr>
              <w:pStyle w:val="Smalltext80"/>
              <w:keepNext/>
              <w:jc w:val="left"/>
              <w:rPr>
                <w:rFonts w:ascii="Times" w:hAnsi="Times" w:cs="Times"/>
              </w:rPr>
            </w:pPr>
            <w:r>
              <w:rPr>
                <w:rFonts w:ascii="Times" w:hAnsi="Times" w:cs="Times"/>
              </w:rPr>
              <w:t>321  (  91.5%)</w:t>
            </w:r>
          </w:p>
        </w:tc>
      </w:tr>
      <w:tr>
        <w:tblPrEx>
          <w:jc w:val="left"/>
          <w:tblInd w:w="80" w:type="dxa"/>
          <w:tblLayout w:type="fixed"/>
          <w:tblCellMar>
            <w:top w:w="0" w:type="dxa"/>
            <w:left w:w="0" w:type="dxa"/>
            <w:bottom w:w="0" w:type="dxa"/>
            <w:right w:w="0" w:type="dxa"/>
          </w:tblCellMar>
        </w:tblPrEx>
        <w:trPr>
          <w:cantSplit/>
          <w:jc w:val="left"/>
        </w:trPr>
        <w:tc>
          <w:tcPr>
            <w:tcW w:w="1184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Times" w:hAnsi="Times" w:cs="Times"/>
                <w:b w:val="0"/>
                <w:bCs w:val="0"/>
                <w:i w:val="0"/>
                <w:iCs w:val="0"/>
              </w:rPr>
              <w:t>A 'Yes' means the subject had a temporary treatment interruption or has not been compliant.</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Bayer: /var/swan/root/bhc/3427080/21651/stat/main01/prod/analysis/pgms/t_8_1_7_ice_adex.sas      09JAN2024 16:01</w:t>
            </w:r>
            <w:r>
              <w:rPr>
                <w:rFonts w:ascii="Times" w:hAnsi="Times" w:cs="Times"/>
                <w:b w:val="0"/>
                <w:bCs w:val="0"/>
                <w:i w:val="0"/>
                <w:iCs w:val="0"/>
              </w:rPr>
              <w:br/>
            </w:r>
            <w:r>
              <w:rPr>
                <w:rFonts w:ascii="Times" w:hAnsi="Times" w:cs="Times"/>
                <w:b w:val="0"/>
                <w:bCs w:val="0"/>
                <w:i w:val="0"/>
                <w:iCs w:val="0"/>
              </w:rPr>
              <w:t>End of table</w:t>
            </w:r>
          </w:p>
        </w:tc>
      </w:tr>
    </w:tbl>
    <w:p>
      <w:pPr>
        <w:widowControl w:val="0"/>
        <w:adjustRightInd w:val="0"/>
        <w:spacing w:before="0" w:after="0" w:line="20" w:lineRule="exact"/>
        <w:jc w:val="center"/>
        <w:rPr>
          <w:rFonts w:ascii="Times New Roman" w:hAnsi="Times New Roman" w:cs="Times New Roman"/>
          <w:vanish/>
          <w:sz w:val="2"/>
          <w:szCs w:val="24"/>
        </w:rPr>
      </w:pPr>
    </w:p>
    <w:tbl>
      <w:tblPr>
        <w:tblStyle w:val="TableNormal"/>
        <w:jc w:val="left"/>
        <w:tblInd w:w="80" w:type="dxa"/>
        <w:tblLayout w:type="fixed"/>
        <w:tblCellMar>
          <w:top w:w="0" w:type="dxa"/>
          <w:left w:w="0" w:type="dxa"/>
          <w:bottom w:w="0" w:type="dxa"/>
          <w:right w:w="0" w:type="dxa"/>
        </w:tblCellMar>
      </w:tblPr>
      <w:tblGrid>
        <w:gridCol w:w="2420"/>
        <w:gridCol w:w="725"/>
        <w:gridCol w:w="2405"/>
        <w:gridCol w:w="2405"/>
        <w:gridCol w:w="3325"/>
      </w:tblGrid>
      <w:tr>
        <w:tblPrEx>
          <w:jc w:val="left"/>
          <w:tblInd w:w="80" w:type="dxa"/>
          <w:tblLayout w:type="fixed"/>
          <w:tblCellMar>
            <w:top w:w="0" w:type="dxa"/>
            <w:left w:w="0" w:type="dxa"/>
            <w:bottom w:w="0" w:type="dxa"/>
            <w:right w:w="0" w:type="dxa"/>
          </w:tblCellMar>
        </w:tblPrEx>
        <w:trPr>
          <w:cantSplit/>
          <w:tblHeader/>
          <w:jc w:val="left"/>
        </w:trPr>
        <w:tc>
          <w:tcPr>
            <w:tcW w:w="1128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5" w:name="_Toc256000065"/>
            <w:r>
              <w:t>Table 8.1.7 / 5: Time from randomization to permanent discontinuation of randomized treatment up to Week 12: Descriptive statistics (full analysis set)</w:t>
            </w:r>
            <w:bookmarkEnd w:id="45"/>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24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br/>
            </w:r>
          </w:p>
        </w:tc>
        <w:tc>
          <w:tcPr>
            <w:tcW w:w="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br/>
            </w:r>
          </w:p>
        </w:tc>
        <w:tc>
          <w:tcPr>
            <w:tcW w:w="240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Elinzanetant 120mg</w:t>
            </w:r>
          </w:p>
        </w:tc>
        <w:tc>
          <w:tcPr>
            <w:tcW w:w="240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Placebo - Elinzanetant 120mg</w:t>
            </w:r>
          </w:p>
        </w:tc>
        <w:tc>
          <w:tcPr>
            <w:tcW w:w="332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Total</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N (%)</w:t>
            </w:r>
          </w:p>
        </w:tc>
        <w:tc>
          <w:tcPr>
            <w:tcW w:w="725" w:type="dxa"/>
            <w:tcMar>
              <w:left w:w="80" w:type="dxa"/>
              <w:right w:w="80" w:type="dxa"/>
            </w:tcMar>
            <w:textDirection w:val="lrTb"/>
            <w:vAlign w:val="top"/>
          </w:tcPr>
          <w:p>
            <w:pPr>
              <w:pStyle w:val="Smalltext80"/>
              <w:jc w:val="left"/>
              <w:rPr>
                <w:rFonts w:ascii="Times" w:hAnsi="Times" w:cs="Times"/>
              </w:rPr>
            </w:pP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2405" w:type="dxa"/>
            <w:tcMar>
              <w:left w:w="80" w:type="dxa"/>
              <w:right w:w="80" w:type="dxa"/>
            </w:tcMar>
            <w:textDirection w:val="lrTb"/>
            <w:vAlign w:val="top"/>
          </w:tcPr>
          <w:p>
            <w:pPr>
              <w:pStyle w:val="Smalltext80"/>
              <w:jc w:val="left"/>
              <w:rPr>
                <w:rFonts w:ascii="Times" w:hAnsi="Times" w:cs="Times"/>
              </w:rPr>
            </w:pPr>
            <w:r>
              <w:rPr>
                <w:rFonts w:ascii="Times" w:hAnsi="Times" w:cs="Times"/>
              </w:rPr>
              <w:t>197 (100.0%)</w:t>
            </w:r>
          </w:p>
        </w:tc>
        <w:tc>
          <w:tcPr>
            <w:tcW w:w="332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Number (%) of subjects with event</w:t>
            </w:r>
          </w:p>
        </w:tc>
        <w:tc>
          <w:tcPr>
            <w:tcW w:w="725" w:type="dxa"/>
            <w:tcMar>
              <w:left w:w="80" w:type="dxa"/>
              <w:right w:w="80" w:type="dxa"/>
            </w:tcMar>
            <w:textDirection w:val="lrTb"/>
            <w:vAlign w:val="top"/>
          </w:tcPr>
          <w:p>
            <w:pPr>
              <w:pStyle w:val="Smalltext80"/>
              <w:jc w:val="left"/>
              <w:rPr>
                <w:rFonts w:ascii="Times" w:hAnsi="Times" w:cs="Times"/>
              </w:rPr>
            </w:pPr>
          </w:p>
        </w:tc>
        <w:tc>
          <w:tcPr>
            <w:tcW w:w="240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23 ( 11.6%)</w:t>
            </w:r>
          </w:p>
        </w:tc>
        <w:tc>
          <w:tcPr>
            <w:tcW w:w="240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27 ( 13.7%)</w:t>
            </w:r>
          </w:p>
        </w:tc>
        <w:tc>
          <w:tcPr>
            <w:tcW w:w="3325" w:type="dxa"/>
            <w:tcMar>
              <w:left w:w="80" w:type="dxa"/>
              <w:right w:w="80" w:type="dxa"/>
            </w:tcMar>
            <w:textDirection w:val="lrTb"/>
            <w:vAlign w:val="top"/>
          </w:tcPr>
          <w:p>
            <w:pPr>
              <w:pStyle w:val="Smalltext80"/>
              <w:ind w:left="140"/>
              <w:jc w:val="left"/>
              <w:rPr>
                <w:rFonts w:ascii="Times" w:hAnsi="Times" w:cs="Times"/>
              </w:rPr>
            </w:pPr>
            <w:r>
              <w:rPr>
                <w:rFonts w:ascii="Times" w:hAnsi="Times" w:cs="Times"/>
              </w:rPr>
              <w:t>50 ( 12.6%)</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censored</w:t>
            </w:r>
          </w:p>
        </w:tc>
        <w:tc>
          <w:tcPr>
            <w:tcW w:w="725" w:type="dxa"/>
            <w:tcMar>
              <w:left w:w="80" w:type="dxa"/>
              <w:right w:w="80" w:type="dxa"/>
            </w:tcMar>
            <w:textDirection w:val="lrTb"/>
            <w:vAlign w:val="top"/>
          </w:tcPr>
          <w:p>
            <w:pPr>
              <w:pStyle w:val="Smalltext80"/>
              <w:spacing w:after="240"/>
              <w:jc w:val="left"/>
              <w:rPr>
                <w:rFonts w:ascii="Times" w:hAnsi="Times" w:cs="Times"/>
              </w:rPr>
            </w:pPr>
          </w:p>
        </w:tc>
        <w:tc>
          <w:tcPr>
            <w:tcW w:w="24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176 ( 88.4%)</w:t>
            </w:r>
          </w:p>
        </w:tc>
        <w:tc>
          <w:tcPr>
            <w:tcW w:w="240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170 ( 86.3%)</w:t>
            </w:r>
          </w:p>
        </w:tc>
        <w:tc>
          <w:tcPr>
            <w:tcW w:w="332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346 ( 87.4%)</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25th percentile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332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Median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332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75th percentile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332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Range (including censored values)</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(0 - 12</w:t>
            </w:r>
            <w:r>
              <w:rPr>
                <w:rFonts w:ascii="Arial" w:hAnsi="Arial" w:cs="Arial"/>
                <w:sz w:val="20"/>
                <w:szCs w:val="20"/>
                <w:vertAlign w:val="superscript"/>
              </w:rPr>
              <w:t>a</w:t>
            </w:r>
            <w:r>
              <w:rPr>
                <w:rFonts w:ascii="Times" w:hAnsi="Times" w:cs="Times"/>
              </w:rPr>
              <w:t>)</w:t>
            </w:r>
          </w:p>
        </w:tc>
        <w:tc>
          <w:tcPr>
            <w:tcW w:w="240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(0 - 12</w:t>
            </w:r>
            <w:r>
              <w:rPr>
                <w:rFonts w:ascii="Arial" w:hAnsi="Arial" w:cs="Arial"/>
                <w:sz w:val="20"/>
                <w:szCs w:val="20"/>
                <w:vertAlign w:val="superscript"/>
              </w:rPr>
              <w:t>a</w:t>
            </w:r>
            <w:r>
              <w:rPr>
                <w:rFonts w:ascii="Times" w:hAnsi="Times" w:cs="Times"/>
              </w:rPr>
              <w:t>)</w:t>
            </w:r>
          </w:p>
        </w:tc>
        <w:tc>
          <w:tcPr>
            <w:tcW w:w="332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(0 - 12</w:t>
            </w:r>
            <w:r>
              <w:rPr>
                <w:rFonts w:ascii="Arial" w:hAnsi="Arial" w:cs="Arial"/>
                <w:sz w:val="20"/>
                <w:szCs w:val="20"/>
                <w:vertAlign w:val="superscript"/>
              </w:rPr>
              <w:t>a</w:t>
            </w:r>
            <w:r>
              <w:rPr>
                <w:rFonts w:ascii="Times" w:hAnsi="Times" w:cs="Times"/>
              </w:rPr>
              <w:t>)</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Range (without censored values)</w:t>
            </w:r>
          </w:p>
        </w:tc>
        <w:tc>
          <w:tcPr>
            <w:tcW w:w="7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(Weeks)</w:t>
            </w:r>
          </w:p>
        </w:tc>
        <w:tc>
          <w:tcPr>
            <w:tcW w:w="24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(0 - 12)</w:t>
            </w:r>
          </w:p>
        </w:tc>
        <w:tc>
          <w:tcPr>
            <w:tcW w:w="240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(0 - 12)</w:t>
            </w:r>
          </w:p>
        </w:tc>
        <w:tc>
          <w:tcPr>
            <w:tcW w:w="332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(0 - 12)</w:t>
            </w:r>
          </w:p>
        </w:tc>
      </w:tr>
      <w:tr>
        <w:tblPrEx>
          <w:jc w:val="left"/>
          <w:tblInd w:w="80" w:type="dxa"/>
          <w:tblLayout w:type="fixed"/>
          <w:tblCellMar>
            <w:top w:w="0" w:type="dxa"/>
            <w:left w:w="0" w:type="dxa"/>
            <w:bottom w:w="0" w:type="dxa"/>
            <w:right w:w="0" w:type="dxa"/>
          </w:tblCellMar>
        </w:tblPrEx>
        <w:trPr>
          <w:cantSplit/>
          <w:jc w:val="left"/>
        </w:trPr>
        <w:tc>
          <w:tcPr>
            <w:tcW w:w="1128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censored observation.</w:t>
            </w:r>
            <w:r>
              <w:rPr>
                <w:rFonts w:ascii="Times" w:hAnsi="Times" w:cs="Times"/>
                <w:b w:val="0"/>
                <w:bCs w:val="0"/>
                <w:i w:val="0"/>
                <w:iCs w:val="0"/>
              </w:rPr>
              <w:br/>
            </w:r>
            <w:r>
              <w:rPr>
                <w:rFonts w:ascii="Times" w:hAnsi="Times" w:cs="Times"/>
                <w:b w:val="0"/>
                <w:bCs w:val="0"/>
                <w:i w:val="0"/>
                <w:iCs w:val="0"/>
              </w:rPr>
              <w:t>A: Value cannot be estimated due to censored data.</w:t>
            </w:r>
            <w:r>
              <w:rPr>
                <w:rFonts w:ascii="Times" w:hAnsi="Times" w:cs="Times"/>
                <w:b w:val="0"/>
                <w:bCs w:val="0"/>
                <w:i w:val="0"/>
                <w:iCs w:val="0"/>
              </w:rPr>
              <w:br/>
            </w:r>
            <w:r>
              <w:rPr>
                <w:rFonts w:ascii="Times" w:hAnsi="Times" w:cs="Times"/>
                <w:b w:val="0"/>
                <w:bCs w:val="0"/>
                <w:i w:val="0"/>
                <w:iCs w:val="0"/>
              </w:rPr>
              <w:t>Median, percentile and other 95% CIs computed using Kaplan-Meier estimates.</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CI = Confidence Interval.</w:t>
            </w:r>
            <w:r>
              <w:rPr>
                <w:rFonts w:ascii="Times" w:hAnsi="Times" w:cs="Times"/>
                <w:b w:val="0"/>
                <w:bCs w:val="0"/>
                <w:i w:val="0"/>
                <w:iCs w:val="0"/>
              </w:rPr>
              <w:br/>
            </w:r>
            <w:r>
              <w:rPr>
                <w:rFonts w:ascii="Times" w:hAnsi="Times" w:cs="Times"/>
                <w:b w:val="0"/>
                <w:bCs w:val="0"/>
                <w:i w:val="0"/>
                <w:iCs w:val="0"/>
              </w:rPr>
              <w:t>If 'Permanent discontinuation of randomized treatment' did not occur by day 84, the participant is censored at week 12.</w:t>
            </w:r>
            <w:r>
              <w:rPr>
                <w:rFonts w:ascii="Times" w:hAnsi="Times" w:cs="Times"/>
                <w:b w:val="0"/>
                <w:bCs w:val="0"/>
                <w:i w:val="0"/>
                <w:iCs w:val="0"/>
              </w:rPr>
              <w:br/>
            </w:r>
            <w:r>
              <w:rPr>
                <w:rFonts w:ascii="Times" w:hAnsi="Times" w:cs="Times"/>
                <w:b w:val="0"/>
                <w:bCs w:val="0"/>
                <w:i w:val="0"/>
                <w:iCs w:val="0"/>
              </w:rPr>
              <w:t>Bayer: /var/swan/root/bhc/3427080/21651/stat/main01/prod/analysis/pgms/t_8_1_7_adtte_km_ds.sas      09JAN2024 16:01</w:t>
            </w:r>
            <w:r>
              <w:rPr>
                <w:rFonts w:ascii="Times" w:hAnsi="Times" w:cs="Times"/>
                <w:b w:val="0"/>
                <w:bCs w:val="0"/>
                <w:i w:val="0"/>
                <w:iCs w:val="0"/>
              </w:rPr>
              <w:br/>
            </w:r>
            <w:r>
              <w:rPr>
                <w:rFonts w:ascii="Times" w:hAnsi="Times" w:cs="Times"/>
                <w:b w:val="0"/>
                <w:bCs w:val="0"/>
                <w:i w:val="0"/>
                <w:iCs w:val="0"/>
              </w:rPr>
              <w:t>End of table</w:t>
            </w:r>
          </w:p>
        </w:tc>
      </w:tr>
    </w:tbl>
    <w:p>
      <w:pPr>
        <w:pStyle w:val="BayerSASCaptionDocFish"/>
        <w:pageBreakBefore/>
        <w:spacing w:before="0" w:after="0" w:line="160" w:lineRule="exact"/>
        <w:ind w:left="1638" w:hanging="1638"/>
        <w:outlineLvl w:val="3"/>
      </w:pPr>
      <w:bookmarkStart w:id="46" w:name="_Toc256000067"/>
      <w:r>
        <w:t>Figure 8.1.7 / 1: Kaplan-Meier-Plot of the time from randomization to permanent discontinuation of randomized treatment up to Week 12 (full analysis set)</w:t>
      </w:r>
      <w:bookmarkEnd w:id="46"/>
    </w:p>
    <w:p/>
    <w:p>
      <w:pPr>
        <w:pageBreakBefore w:val="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73pt;height:357.55pt;mso-position-horizontal:center;mso-position-horizontal-relative:page;mso-position-vertical:center;mso-position-vertical-relative:page">
            <v:imagedata r:id="rId16" o:title=""/>
            <o:lock v:ext="edit" aspectratio="t"/>
          </v:shape>
        </w:pict>
      </w:r>
    </w:p>
    <w:tbl>
      <w:tblPr>
        <w:tblStyle w:val="TableNormal"/>
        <w:jc w:val="left"/>
        <w:tblInd w:w="80" w:type="dxa"/>
        <w:tblLayout w:type="fixed"/>
        <w:tblCellMar>
          <w:top w:w="0" w:type="dxa"/>
          <w:left w:w="0" w:type="dxa"/>
          <w:bottom w:w="0" w:type="dxa"/>
          <w:right w:w="0" w:type="dxa"/>
        </w:tblCellMar>
      </w:tblPr>
      <w:tblGrid>
        <w:gridCol w:w="2420"/>
        <w:gridCol w:w="725"/>
        <w:gridCol w:w="2245"/>
        <w:gridCol w:w="2245"/>
        <w:gridCol w:w="2245"/>
      </w:tblGrid>
      <w:tr>
        <w:tblPrEx>
          <w:jc w:val="left"/>
          <w:tblInd w:w="80" w:type="dxa"/>
          <w:tblLayout w:type="fixed"/>
          <w:tblCellMar>
            <w:top w:w="0" w:type="dxa"/>
            <w:left w:w="0" w:type="dxa"/>
            <w:bottom w:w="0" w:type="dxa"/>
            <w:right w:w="0" w:type="dxa"/>
          </w:tblCellMar>
        </w:tblPrEx>
        <w:trPr>
          <w:cantSplit/>
          <w:tblHeader/>
          <w:jc w:val="left"/>
        </w:trPr>
        <w:tc>
          <w:tcPr>
            <w:tcW w:w="9880" w:type="dxa"/>
            <w:gridSpan w:val="5"/>
            <w:tcBorders>
              <w:bottom w:val="single" w:sz="2" w:space="0" w:color="000000"/>
            </w:tcBorders>
            <w:tcMar>
              <w:left w:w="80" w:type="dxa"/>
              <w:right w:w="80" w:type="dxa"/>
            </w:tcMar>
            <w:textDirection w:val="lrTb"/>
            <w:vAlign w:val="bottom"/>
          </w:tcPr>
          <w:p>
            <w:pPr>
              <w:pStyle w:val="BayerSASCaptionDocFish"/>
              <w:keepNext/>
              <w:pageBreakBefore/>
              <w:pBdr>
                <w:bottom w:val="none" w:sz="0" w:space="0" w:color="auto"/>
              </w:pBdr>
              <w:ind w:left="1541" w:hanging="1541"/>
              <w:jc w:val="left"/>
              <w:outlineLvl w:val="3"/>
              <w:rPr>
                <w:rFonts w:ascii="Times" w:hAnsi="Times" w:cs="Times"/>
                <w:b w:val="0"/>
                <w:bCs w:val="0"/>
                <w:i w:val="0"/>
                <w:iCs w:val="0"/>
              </w:rPr>
            </w:pPr>
            <w:bookmarkStart w:id="47" w:name="_Toc256000068"/>
            <w:r>
              <w:t>Table 8.1.7 / 6: Time from randomization to first intake of prohibited concomitant medication having impact on efficacy up to Week 12: Descriptive statistics (full analysis set)</w:t>
            </w:r>
            <w:bookmarkEnd w:id="47"/>
          </w:p>
          <w:p>
            <w:pPr>
              <w:pStyle w:val="BayerSASCaptionDocFish"/>
              <w:ind w:left="1541" w:hanging="1541"/>
              <w:outlineLvl w:val="3"/>
            </w:pPr>
          </w:p>
        </w:tc>
      </w:tr>
      <w:tr>
        <w:tblPrEx>
          <w:jc w:val="left"/>
          <w:tblInd w:w="80" w:type="dxa"/>
          <w:tblLayout w:type="fixed"/>
          <w:tblCellMar>
            <w:top w:w="0" w:type="dxa"/>
            <w:left w:w="0" w:type="dxa"/>
            <w:bottom w:w="0" w:type="dxa"/>
            <w:right w:w="0" w:type="dxa"/>
          </w:tblCellMar>
        </w:tblPrEx>
        <w:trPr>
          <w:cantSplit/>
          <w:tblHeader/>
          <w:jc w:val="left"/>
        </w:trPr>
        <w:tc>
          <w:tcPr>
            <w:tcW w:w="2420"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br/>
            </w:r>
          </w:p>
        </w:tc>
        <w:tc>
          <w:tcPr>
            <w:tcW w:w="725" w:type="dxa"/>
            <w:tcBorders>
              <w:bottom w:val="single" w:sz="2" w:space="0" w:color="000000"/>
            </w:tcBorders>
            <w:tcMar>
              <w:left w:w="80" w:type="dxa"/>
              <w:right w:w="80" w:type="dxa"/>
            </w:tcMar>
            <w:textDirection w:val="lrTb"/>
            <w:vAlign w:val="bottom"/>
          </w:tcPr>
          <w:p>
            <w:pPr>
              <w:pStyle w:val="Smalltext80"/>
              <w:keepNext/>
              <w:jc w:val="center"/>
              <w:rPr>
                <w:rFonts w:ascii="Times" w:hAnsi="Times" w:cs="Times"/>
              </w:rPr>
            </w:pPr>
            <w:r>
              <w:rPr>
                <w:rFonts w:ascii="Times" w:hAnsi="Times" w:cs="Times"/>
              </w:rPr>
              <w:br/>
            </w:r>
          </w:p>
        </w:tc>
        <w:tc>
          <w:tcPr>
            <w:tcW w:w="224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Elinzanetant 120mg</w:t>
            </w:r>
          </w:p>
        </w:tc>
        <w:tc>
          <w:tcPr>
            <w:tcW w:w="224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Placebo - Elinzanetant 120mg</w:t>
            </w:r>
          </w:p>
        </w:tc>
        <w:tc>
          <w:tcPr>
            <w:tcW w:w="2245" w:type="dxa"/>
            <w:tcBorders>
              <w:bottom w:val="single" w:sz="2" w:space="0" w:color="000000"/>
            </w:tcBorders>
            <w:tcMar>
              <w:left w:w="80" w:type="dxa"/>
              <w:right w:w="80" w:type="dxa"/>
            </w:tcMar>
            <w:textDirection w:val="lrTb"/>
            <w:vAlign w:val="bottom"/>
          </w:tcPr>
          <w:p>
            <w:pPr>
              <w:pStyle w:val="Smalltext80"/>
              <w:keepNext/>
              <w:jc w:val="left"/>
              <w:rPr>
                <w:rFonts w:ascii="Times" w:hAnsi="Times" w:cs="Times"/>
              </w:rPr>
            </w:pPr>
            <w:r>
              <w:rPr>
                <w:rFonts w:ascii="Times" w:hAnsi="Times" w:cs="Times"/>
              </w:rPr>
              <w:t>Total</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N (%)</w:t>
            </w:r>
          </w:p>
        </w:tc>
        <w:tc>
          <w:tcPr>
            <w:tcW w:w="725" w:type="dxa"/>
            <w:tcMar>
              <w:left w:w="80" w:type="dxa"/>
              <w:right w:w="80" w:type="dxa"/>
            </w:tcMar>
            <w:textDirection w:val="lrTb"/>
            <w:vAlign w:val="top"/>
          </w:tcPr>
          <w:p>
            <w:pPr>
              <w:pStyle w:val="Smalltext80"/>
              <w:jc w:val="left"/>
              <w:rPr>
                <w:rFonts w:ascii="Times" w:hAnsi="Times" w:cs="Times"/>
              </w:rPr>
            </w:pPr>
          </w:p>
        </w:tc>
        <w:tc>
          <w:tcPr>
            <w:tcW w:w="2245" w:type="dxa"/>
            <w:tcMar>
              <w:left w:w="80" w:type="dxa"/>
              <w:right w:w="80" w:type="dxa"/>
            </w:tcMar>
            <w:textDirection w:val="lrTb"/>
            <w:vAlign w:val="top"/>
          </w:tcPr>
          <w:p>
            <w:pPr>
              <w:pStyle w:val="Smalltext80"/>
              <w:jc w:val="left"/>
              <w:rPr>
                <w:rFonts w:ascii="Times" w:hAnsi="Times" w:cs="Times"/>
              </w:rPr>
            </w:pPr>
            <w:r>
              <w:rPr>
                <w:rFonts w:ascii="Times" w:hAnsi="Times" w:cs="Times"/>
              </w:rPr>
              <w:t>199 (100.0%)</w:t>
            </w:r>
          </w:p>
        </w:tc>
        <w:tc>
          <w:tcPr>
            <w:tcW w:w="2245" w:type="dxa"/>
            <w:tcMar>
              <w:left w:w="80" w:type="dxa"/>
              <w:right w:w="80" w:type="dxa"/>
            </w:tcMar>
            <w:textDirection w:val="lrTb"/>
            <w:vAlign w:val="top"/>
          </w:tcPr>
          <w:p>
            <w:pPr>
              <w:pStyle w:val="Smalltext80"/>
              <w:jc w:val="left"/>
              <w:rPr>
                <w:rFonts w:ascii="Times" w:hAnsi="Times" w:cs="Times"/>
              </w:rPr>
            </w:pPr>
            <w:r>
              <w:rPr>
                <w:rFonts w:ascii="Times" w:hAnsi="Times" w:cs="Times"/>
              </w:rPr>
              <w:t>197 (100.0%)</w:t>
            </w:r>
          </w:p>
        </w:tc>
        <w:tc>
          <w:tcPr>
            <w:tcW w:w="2245" w:type="dxa"/>
            <w:tcMar>
              <w:left w:w="80" w:type="dxa"/>
              <w:right w:w="80" w:type="dxa"/>
            </w:tcMar>
            <w:textDirection w:val="lrTb"/>
            <w:vAlign w:val="top"/>
          </w:tcPr>
          <w:p>
            <w:pPr>
              <w:pStyle w:val="Smalltext80"/>
              <w:jc w:val="left"/>
              <w:rPr>
                <w:rFonts w:ascii="Times" w:hAnsi="Times" w:cs="Times"/>
              </w:rPr>
            </w:pPr>
            <w:r>
              <w:rPr>
                <w:rFonts w:ascii="Times" w:hAnsi="Times" w:cs="Times"/>
              </w:rPr>
              <w:t>396 (100.0%)</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Number (%) of subjects with event</w:t>
            </w:r>
          </w:p>
        </w:tc>
        <w:tc>
          <w:tcPr>
            <w:tcW w:w="725" w:type="dxa"/>
            <w:tcMar>
              <w:left w:w="80" w:type="dxa"/>
              <w:right w:w="80" w:type="dxa"/>
            </w:tcMar>
            <w:textDirection w:val="lrTb"/>
            <w:vAlign w:val="top"/>
          </w:tcPr>
          <w:p>
            <w:pPr>
              <w:pStyle w:val="Smalltext80"/>
              <w:jc w:val="left"/>
              <w:rPr>
                <w:rFonts w:ascii="Times" w:hAnsi="Times" w:cs="Times"/>
              </w:rPr>
            </w:pP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4 (  2.0%)</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5 (  2.5%)</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9 (  2.3%)</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Number (%) of subjects censored</w:t>
            </w:r>
          </w:p>
        </w:tc>
        <w:tc>
          <w:tcPr>
            <w:tcW w:w="725" w:type="dxa"/>
            <w:tcMar>
              <w:left w:w="80" w:type="dxa"/>
              <w:right w:w="80" w:type="dxa"/>
            </w:tcMar>
            <w:textDirection w:val="lrTb"/>
            <w:vAlign w:val="top"/>
          </w:tcPr>
          <w:p>
            <w:pPr>
              <w:pStyle w:val="Smalltext80"/>
              <w:spacing w:after="240"/>
              <w:jc w:val="left"/>
              <w:rPr>
                <w:rFonts w:ascii="Times" w:hAnsi="Times" w:cs="Times"/>
              </w:rPr>
            </w:pPr>
          </w:p>
        </w:tc>
        <w:tc>
          <w:tcPr>
            <w:tcW w:w="2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195 ( 98.0%)</w:t>
            </w:r>
          </w:p>
        </w:tc>
        <w:tc>
          <w:tcPr>
            <w:tcW w:w="2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192 ( 97.5%)</w:t>
            </w:r>
          </w:p>
        </w:tc>
        <w:tc>
          <w:tcPr>
            <w:tcW w:w="2245" w:type="dxa"/>
            <w:tcMar>
              <w:left w:w="80" w:type="dxa"/>
              <w:right w:w="80" w:type="dxa"/>
            </w:tcMar>
            <w:textDirection w:val="lrTb"/>
            <w:vAlign w:val="top"/>
          </w:tcPr>
          <w:p>
            <w:pPr>
              <w:pStyle w:val="Smalltext80"/>
              <w:spacing w:after="240"/>
              <w:jc w:val="left"/>
              <w:rPr>
                <w:rFonts w:ascii="Times" w:hAnsi="Times" w:cs="Times"/>
              </w:rPr>
            </w:pPr>
            <w:r>
              <w:rPr>
                <w:rFonts w:ascii="Times" w:hAnsi="Times" w:cs="Times"/>
              </w:rPr>
              <w:t>387 ( 97.7%)</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25th percentile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Median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75th percentile [95% CI]</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A [A;A]</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jc w:val="left"/>
              <w:rPr>
                <w:rFonts w:ascii="Times" w:hAnsi="Times" w:cs="Times"/>
              </w:rPr>
            </w:pPr>
            <w:r>
              <w:rPr>
                <w:rFonts w:ascii="Times" w:hAnsi="Times" w:cs="Times"/>
              </w:rPr>
              <w:t>Range (including censored values)</w:t>
            </w:r>
          </w:p>
        </w:tc>
        <w:tc>
          <w:tcPr>
            <w:tcW w:w="725" w:type="dxa"/>
            <w:tcMar>
              <w:left w:w="80" w:type="dxa"/>
              <w:right w:w="80" w:type="dxa"/>
            </w:tcMar>
            <w:textDirection w:val="lrTb"/>
            <w:vAlign w:val="top"/>
          </w:tcPr>
          <w:p>
            <w:pPr>
              <w:pStyle w:val="Smalltext80"/>
              <w:jc w:val="left"/>
              <w:rPr>
                <w:rFonts w:ascii="Times" w:hAnsi="Times" w:cs="Times"/>
              </w:rPr>
            </w:pPr>
            <w:r>
              <w:rPr>
                <w:rFonts w:ascii="Times" w:hAnsi="Times" w:cs="Times"/>
              </w:rPr>
              <w:t>(Weeks)</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w:t>
            </w:r>
            <w:r>
              <w:rPr>
                <w:rFonts w:ascii="Times" w:hAnsi="Times" w:cs="Times"/>
                <w:vertAlign w:val="superscript"/>
              </w:rPr>
              <w:t>a</w:t>
            </w:r>
            <w:r>
              <w:rPr>
                <w:rFonts w:ascii="Times" w:hAnsi="Times" w:cs="Times"/>
              </w:rPr>
              <w:t xml:space="preserve"> - 12</w:t>
            </w:r>
            <w:r>
              <w:rPr>
                <w:rFonts w:ascii="Times" w:hAnsi="Times" w:cs="Times"/>
                <w:vertAlign w:val="superscript"/>
              </w:rPr>
              <w:t>a</w:t>
            </w:r>
            <w:r>
              <w:rPr>
                <w:rFonts w:ascii="Times" w:hAnsi="Times" w:cs="Times"/>
              </w:rPr>
              <w:t>)</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w:t>
            </w:r>
            <w:r>
              <w:rPr>
                <w:rFonts w:ascii="Times" w:hAnsi="Times" w:cs="Times"/>
                <w:vertAlign w:val="superscript"/>
              </w:rPr>
              <w:t>a</w:t>
            </w:r>
            <w:r>
              <w:rPr>
                <w:rFonts w:ascii="Times" w:hAnsi="Times" w:cs="Times"/>
              </w:rPr>
              <w:t xml:space="preserve"> - 12</w:t>
            </w:r>
            <w:r>
              <w:rPr>
                <w:rFonts w:ascii="Times" w:hAnsi="Times" w:cs="Times"/>
                <w:vertAlign w:val="superscript"/>
              </w:rPr>
              <w:t>a</w:t>
            </w:r>
            <w:r>
              <w:rPr>
                <w:rFonts w:ascii="Times" w:hAnsi="Times" w:cs="Times"/>
              </w:rPr>
              <w:t>)</w:t>
            </w:r>
          </w:p>
        </w:tc>
        <w:tc>
          <w:tcPr>
            <w:tcW w:w="2245" w:type="dxa"/>
            <w:tcMar>
              <w:left w:w="80" w:type="dxa"/>
              <w:right w:w="80" w:type="dxa"/>
            </w:tcMar>
            <w:textDirection w:val="lrTb"/>
            <w:vAlign w:val="top"/>
          </w:tcPr>
          <w:p>
            <w:pPr>
              <w:pStyle w:val="Smalltext80"/>
              <w:ind w:left="210"/>
              <w:jc w:val="left"/>
              <w:rPr>
                <w:rFonts w:ascii="Times" w:hAnsi="Times" w:cs="Times"/>
              </w:rPr>
            </w:pPr>
            <w:r>
              <w:rPr>
                <w:rFonts w:ascii="Times" w:hAnsi="Times" w:cs="Times"/>
              </w:rPr>
              <w:t>(0</w:t>
            </w:r>
            <w:r>
              <w:rPr>
                <w:rFonts w:ascii="Times" w:hAnsi="Times" w:cs="Times"/>
                <w:vertAlign w:val="superscript"/>
              </w:rPr>
              <w:t>a</w:t>
            </w:r>
            <w:r>
              <w:rPr>
                <w:rFonts w:ascii="Times" w:hAnsi="Times" w:cs="Times"/>
              </w:rPr>
              <w:t xml:space="preserve"> - 12</w:t>
            </w:r>
            <w:r>
              <w:rPr>
                <w:rFonts w:ascii="Times" w:hAnsi="Times" w:cs="Times"/>
                <w:vertAlign w:val="superscript"/>
              </w:rPr>
              <w:t>a</w:t>
            </w:r>
            <w:r>
              <w:rPr>
                <w:rFonts w:ascii="Times" w:hAnsi="Times" w:cs="Times"/>
              </w:rPr>
              <w:t>)</w:t>
            </w:r>
          </w:p>
        </w:tc>
      </w:tr>
      <w:tr>
        <w:tblPrEx>
          <w:jc w:val="left"/>
          <w:tblInd w:w="80" w:type="dxa"/>
          <w:tblLayout w:type="fixed"/>
          <w:tblCellMar>
            <w:top w:w="0" w:type="dxa"/>
            <w:left w:w="0" w:type="dxa"/>
            <w:bottom w:w="0" w:type="dxa"/>
            <w:right w:w="0" w:type="dxa"/>
          </w:tblCellMar>
        </w:tblPrEx>
        <w:trPr>
          <w:cantSplit/>
          <w:jc w:val="left"/>
        </w:trPr>
        <w:tc>
          <w:tcPr>
            <w:tcW w:w="2420" w:type="dxa"/>
            <w:tcMar>
              <w:left w:w="80" w:type="dxa"/>
              <w:right w:w="80" w:type="dxa"/>
            </w:tcMar>
            <w:textDirection w:val="lrTb"/>
            <w:vAlign w:val="top"/>
          </w:tcPr>
          <w:p>
            <w:pPr>
              <w:pStyle w:val="Smalltext80"/>
              <w:keepNext/>
              <w:jc w:val="left"/>
              <w:rPr>
                <w:rFonts w:ascii="Times" w:hAnsi="Times" w:cs="Times"/>
              </w:rPr>
            </w:pPr>
            <w:r>
              <w:rPr>
                <w:rFonts w:ascii="Times" w:hAnsi="Times" w:cs="Times"/>
              </w:rPr>
              <w:t>Range (without censored values)</w:t>
            </w:r>
          </w:p>
        </w:tc>
        <w:tc>
          <w:tcPr>
            <w:tcW w:w="725" w:type="dxa"/>
            <w:tcMar>
              <w:left w:w="80" w:type="dxa"/>
              <w:right w:w="80" w:type="dxa"/>
            </w:tcMar>
            <w:textDirection w:val="lrTb"/>
            <w:vAlign w:val="top"/>
          </w:tcPr>
          <w:p>
            <w:pPr>
              <w:pStyle w:val="Smalltext80"/>
              <w:keepNext/>
              <w:jc w:val="left"/>
              <w:rPr>
                <w:rFonts w:ascii="Times" w:hAnsi="Times" w:cs="Times"/>
              </w:rPr>
            </w:pPr>
            <w:r>
              <w:rPr>
                <w:rFonts w:ascii="Times" w:hAnsi="Times" w:cs="Times"/>
              </w:rPr>
              <w:t>(Weeks)</w:t>
            </w:r>
          </w:p>
        </w:tc>
        <w:tc>
          <w:tcPr>
            <w:tcW w:w="224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(5 - 10)</w:t>
            </w:r>
          </w:p>
        </w:tc>
        <w:tc>
          <w:tcPr>
            <w:tcW w:w="224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(1 - 12)</w:t>
            </w:r>
          </w:p>
        </w:tc>
        <w:tc>
          <w:tcPr>
            <w:tcW w:w="2245" w:type="dxa"/>
            <w:tcMar>
              <w:left w:w="80" w:type="dxa"/>
              <w:right w:w="80" w:type="dxa"/>
            </w:tcMar>
            <w:textDirection w:val="lrTb"/>
            <w:vAlign w:val="top"/>
          </w:tcPr>
          <w:p>
            <w:pPr>
              <w:pStyle w:val="Smalltext80"/>
              <w:keepNext/>
              <w:ind w:left="210"/>
              <w:jc w:val="left"/>
              <w:rPr>
                <w:rFonts w:ascii="Times" w:hAnsi="Times" w:cs="Times"/>
              </w:rPr>
            </w:pPr>
            <w:r>
              <w:rPr>
                <w:rFonts w:ascii="Times" w:hAnsi="Times" w:cs="Times"/>
              </w:rPr>
              <w:t>(1 - 12)</w:t>
            </w:r>
          </w:p>
        </w:tc>
      </w:tr>
      <w:tr>
        <w:tblPrEx>
          <w:jc w:val="left"/>
          <w:tblInd w:w="80" w:type="dxa"/>
          <w:tblLayout w:type="fixed"/>
          <w:tblCellMar>
            <w:top w:w="0" w:type="dxa"/>
            <w:left w:w="0" w:type="dxa"/>
            <w:bottom w:w="0" w:type="dxa"/>
            <w:right w:w="0" w:type="dxa"/>
          </w:tblCellMar>
        </w:tblPrEx>
        <w:trPr>
          <w:cantSplit/>
          <w:jc w:val="left"/>
        </w:trPr>
        <w:tc>
          <w:tcPr>
            <w:tcW w:w="9880" w:type="dxa"/>
            <w:gridSpan w:val="5"/>
            <w:tcMar>
              <w:left w:w="80" w:type="dxa"/>
              <w:right w:w="80" w:type="dxa"/>
            </w:tcMar>
            <w:textDirection w:val="lrTb"/>
            <w:vAlign w:val="top"/>
          </w:tcPr>
          <w:p>
            <w:pPr>
              <w:pStyle w:val="Smalltext80"/>
              <w:pBdr>
                <w:top w:val="single" w:sz="2" w:space="0" w:color="auto"/>
              </w:pBdr>
              <w:jc w:val="left"/>
              <w:rPr>
                <w:rFonts w:ascii="Times" w:hAnsi="Times" w:cs="Times"/>
                <w:b w:val="0"/>
                <w:bCs w:val="0"/>
                <w:i w:val="0"/>
                <w:iCs w:val="0"/>
              </w:rPr>
            </w:pPr>
            <w:r>
              <w:rPr>
                <w:rFonts w:ascii="Times" w:hAnsi="Times" w:cs="Times"/>
                <w:b w:val="0"/>
                <w:bCs w:val="0"/>
                <w:i w:val="0"/>
                <w:iCs w:val="0"/>
              </w:rPr>
              <w:br/>
            </w:r>
            <w:r>
              <w:rPr>
                <w:rFonts w:ascii="Arial" w:hAnsi="Arial" w:cs="Arial"/>
                <w:b w:val="0"/>
                <w:bCs w:val="0"/>
                <w:i w:val="0"/>
                <w:iCs w:val="0"/>
                <w:sz w:val="20"/>
                <w:szCs w:val="20"/>
                <w:vertAlign w:val="superscript"/>
              </w:rPr>
              <w:t>a</w:t>
            </w:r>
            <w:r>
              <w:rPr>
                <w:rFonts w:ascii="Times" w:hAnsi="Times" w:cs="Times"/>
                <w:b w:val="0"/>
                <w:bCs w:val="0"/>
                <w:i w:val="0"/>
                <w:iCs w:val="0"/>
              </w:rPr>
              <w:t>censored observation.</w:t>
            </w:r>
            <w:r>
              <w:rPr>
                <w:rFonts w:ascii="Times" w:hAnsi="Times" w:cs="Times"/>
                <w:b w:val="0"/>
                <w:bCs w:val="0"/>
                <w:i w:val="0"/>
                <w:iCs w:val="0"/>
              </w:rPr>
              <w:br/>
            </w:r>
            <w:r>
              <w:rPr>
                <w:rFonts w:ascii="Times" w:hAnsi="Times" w:cs="Times"/>
                <w:b w:val="0"/>
                <w:bCs w:val="0"/>
                <w:i w:val="0"/>
                <w:iCs w:val="0"/>
              </w:rPr>
              <w:t>A: Value cannot be estimated due to censored data.</w:t>
            </w:r>
            <w:r>
              <w:rPr>
                <w:rFonts w:ascii="Times" w:hAnsi="Times" w:cs="Times"/>
                <w:b w:val="0"/>
                <w:bCs w:val="0"/>
                <w:i w:val="0"/>
                <w:iCs w:val="0"/>
              </w:rPr>
              <w:br/>
            </w:r>
            <w:r>
              <w:rPr>
                <w:rFonts w:ascii="Times" w:hAnsi="Times" w:cs="Times"/>
                <w:b w:val="0"/>
                <w:bCs w:val="0"/>
                <w:i w:val="0"/>
                <w:iCs w:val="0"/>
              </w:rPr>
              <w:t>Median, percentile and other 95% CIs computed using Kaplan-Meier estimates.</w:t>
            </w:r>
            <w:r>
              <w:rPr>
                <w:rFonts w:ascii="Times" w:hAnsi="Times" w:cs="Times"/>
                <w:b w:val="0"/>
                <w:bCs w:val="0"/>
                <w:i w:val="0"/>
                <w:iCs w:val="0"/>
              </w:rPr>
              <w:br/>
            </w:r>
            <w:r>
              <w:rPr>
                <w:rFonts w:ascii="Times" w:hAnsi="Times" w:cs="Times"/>
                <w:b w:val="0"/>
                <w:bCs w:val="0"/>
                <w:i w:val="0"/>
                <w:iCs w:val="0"/>
              </w:rPr>
              <w:t>Placebo - Elinzanetant 120mg = Placebo for 12 weeks, followed by elinzanetant 120 mg for 14 weeks.</w:t>
            </w:r>
            <w:r>
              <w:rPr>
                <w:rFonts w:ascii="Times" w:hAnsi="Times" w:cs="Times"/>
                <w:b w:val="0"/>
                <w:bCs w:val="0"/>
                <w:i w:val="0"/>
                <w:iCs w:val="0"/>
              </w:rPr>
              <w:br/>
            </w:r>
            <w:r>
              <w:rPr>
                <w:rFonts w:ascii="Times" w:hAnsi="Times" w:cs="Times"/>
                <w:b w:val="0"/>
                <w:bCs w:val="0"/>
                <w:i w:val="0"/>
                <w:iCs w:val="0"/>
              </w:rPr>
              <w:t>CI = Confidence Interval.</w:t>
            </w:r>
            <w:r>
              <w:rPr>
                <w:rFonts w:ascii="Times" w:hAnsi="Times" w:cs="Times"/>
                <w:b w:val="0"/>
                <w:bCs w:val="0"/>
                <w:i w:val="0"/>
                <w:iCs w:val="0"/>
              </w:rPr>
              <w:br/>
            </w:r>
            <w:r>
              <w:rPr>
                <w:rFonts w:ascii="Times" w:hAnsi="Times" w:cs="Times"/>
                <w:b w:val="0"/>
                <w:bCs w:val="0"/>
                <w:i w:val="0"/>
                <w:iCs w:val="0"/>
              </w:rPr>
              <w:t>If 'Intake of prohibited concomitant medication having impact on efficacy' did not occur by day 84, the participant is censored at week 12 or at the time of dropping out of the study, whichever occurs earlier.</w:t>
            </w:r>
            <w:r>
              <w:rPr>
                <w:rFonts w:ascii="Times" w:hAnsi="Times" w:cs="Times"/>
                <w:b w:val="0"/>
                <w:bCs w:val="0"/>
                <w:i w:val="0"/>
                <w:iCs w:val="0"/>
              </w:rPr>
              <w:br/>
            </w:r>
            <w:r>
              <w:rPr>
                <w:rFonts w:ascii="Times" w:hAnsi="Times" w:cs="Times"/>
                <w:b w:val="0"/>
                <w:bCs w:val="0"/>
                <w:i w:val="0"/>
                <w:iCs w:val="0"/>
              </w:rPr>
              <w:t>Bayer: /var/swan/root/bhc/3427080/21651/stat/main01/prod/analysis/pgms/t_8_1_7_adtte_km_cm.sas      09JAN2024 16:01</w:t>
            </w:r>
            <w:r>
              <w:rPr>
                <w:rFonts w:ascii="Times" w:hAnsi="Times" w:cs="Times"/>
                <w:b w:val="0"/>
                <w:bCs w:val="0"/>
                <w:i w:val="0"/>
                <w:iCs w:val="0"/>
              </w:rPr>
              <w:br/>
            </w:r>
            <w:r>
              <w:rPr>
                <w:rFonts w:ascii="Times" w:hAnsi="Times" w:cs="Times"/>
                <w:b w:val="0"/>
                <w:bCs w:val="0"/>
                <w:i w:val="0"/>
                <w:iCs w:val="0"/>
              </w:rPr>
              <w:t>End of table</w:t>
            </w:r>
          </w:p>
        </w:tc>
      </w:tr>
    </w:tbl>
    <w:p>
      <w:pPr>
        <w:pStyle w:val="BayerSASCaptionDocFish"/>
        <w:pageBreakBefore/>
        <w:spacing w:before="0" w:after="0" w:line="160" w:lineRule="exact"/>
        <w:ind w:left="1638" w:hanging="1638"/>
        <w:outlineLvl w:val="3"/>
      </w:pPr>
      <w:bookmarkStart w:id="48" w:name="_Toc256000070"/>
      <w:r>
        <w:t>Figure 8.1.7 / 2: Kaplan-Meier-Plot of the time from randomization to first intake of prohibited concomitant medication having impact on efficacy up to Week 12 (full analysis set)</w:t>
      </w:r>
      <w:bookmarkEnd w:id="48"/>
    </w:p>
    <w:p/>
    <w:p>
      <w:pPr>
        <w:pageBreakBefore w:val="0"/>
        <w:jc w:val="center"/>
      </w:pPr>
      <w:r>
        <w:pict>
          <v:shape id="_x0000_i1026" type="#_x0000_t75" style="width:476.73pt;height:357.55pt;mso-position-horizontal:center;mso-position-horizontal-relative:page;mso-position-vertical:center;mso-position-vertical-relative:page">
            <v:imagedata r:id="rId17" o:title=""/>
            <o:lock v:ext="edit" aspectratio="t"/>
          </v:shape>
        </w:pict>
      </w:r>
    </w:p>
    <w:sectPr w:rsidSect="00650FC8">
      <w:headerReference w:type="default" r:id="rId18"/>
      <w:type w:val="nextPage"/>
      <w:pgSz w:w="16839" w:h="11907" w:orient="landscape" w:code="9"/>
      <w:pgMar w:top="1418" w:right="1418" w:bottom="1418" w:left="1418" w:header="720" w:footer="57" w:gutter="0"/>
      <w:cols w:space="720"/>
      <w:vAlign w:val="top"/>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S Monospace">
    <w:altName w:val="Calibr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charset w:val="00"/>
    <w:family w:val="roman"/>
    <w:pitch w:val="variable"/>
    <w:sig w:usb0="00000000" w:usb1="00000000" w:usb2="00000000" w:usb3="00000000" w:csb0="00000001" w:csb1="00000000"/>
  </w:font>
  <w:font w:name="Courier">
    <w:charset w:val="00"/>
    <w:family w:val="modern"/>
    <w:pitch w:val="fixed"/>
    <w:sig w:usb0="00000000"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9073" w:type="dxa"/>
      <w:tblBorders>
        <w:bottom w:val="single" w:sz="4" w:space="0" w:color="auto"/>
      </w:tblBorders>
      <w:tblLayout w:type="fixed"/>
      <w:tblCellMar>
        <w:left w:w="0" w:type="dxa"/>
        <w:right w:w="0" w:type="dxa"/>
      </w:tblCellMar>
      <w:tblLook w:val="0000"/>
    </w:tblPr>
    <w:tblGrid>
      <w:gridCol w:w="1560"/>
      <w:gridCol w:w="5386"/>
      <w:gridCol w:w="1276"/>
      <w:gridCol w:w="851"/>
    </w:tblGrid>
    <w:tr w14:paraId="054725C9" w14:textId="77777777" w:rsidTr="00BD5047">
      <w:tblPrEx>
        <w:tblW w:w="9073" w:type="dxa"/>
        <w:tblBorders>
          <w:bottom w:val="single" w:sz="4" w:space="0" w:color="auto"/>
        </w:tblBorders>
        <w:tblLayout w:type="fixed"/>
        <w:tblCellMar>
          <w:left w:w="0" w:type="dxa"/>
          <w:right w:w="0" w:type="dxa"/>
        </w:tblCellMar>
        <w:tblLook w:val="0000"/>
      </w:tblPrEx>
      <w:trPr>
        <w:cantSplit/>
        <w:trHeight w:val="255"/>
      </w:trPr>
      <w:tc>
        <w:tcPr>
          <w:tcW w:w="1560" w:type="dxa"/>
          <w:tcBorders>
            <w:bottom w:val="single" w:sz="4" w:space="0" w:color="auto"/>
          </w:tcBorders>
          <w:shd w:val="clear" w:color="auto" w:fill="auto"/>
        </w:tcPr>
        <w:p w:rsidR="00FC0747" w:rsidRPr="001341A1" w:rsidP="00FC0747" w14:paraId="109243D5" w14:textId="62E33A47">
          <w:pPr>
            <w:keepNext/>
            <w:spacing w:after="40"/>
          </w:pPr>
        </w:p>
      </w:tc>
      <w:tc>
        <w:tcPr>
          <w:tcW w:w="6662" w:type="dxa"/>
          <w:gridSpan w:val="2"/>
          <w:tcBorders>
            <w:bottom w:val="single" w:sz="4" w:space="0" w:color="auto"/>
          </w:tcBorders>
          <w:shd w:val="clear" w:color="auto" w:fill="auto"/>
          <w:vAlign w:val="bottom"/>
        </w:tcPr>
        <w:p w:rsidR="00A716A7" w:rsidP="00A716A7" w14:paraId="1423C7DE" w14:textId="77777777">
          <w:pPr>
            <w:tabs>
              <w:tab w:val="right" w:pos="5671"/>
            </w:tabs>
            <w:spacing w:before="20" w:after="20"/>
            <w:rPr>
              <w:b/>
              <w:lang w:val="en-GB"/>
            </w:rPr>
          </w:pPr>
          <w:r>
            <w:rPr>
              <w:b/>
              <w:lang w:val="en-GB"/>
            </w:rPr>
            <w:t>Clinical Study Report</w:t>
          </w:r>
        </w:p>
        <w:p w:rsidR="00FC0747" w:rsidRPr="005B12E1" w:rsidP="00A716A7" w14:paraId="172FCCB2" w14:textId="3BB74BD1">
          <w:pPr>
            <w:tabs>
              <w:tab w:val="right" w:pos="5671"/>
            </w:tabs>
            <w:spacing w:before="20" w:after="20"/>
            <w:rPr>
              <w:lang w:val="en-GB"/>
            </w:rPr>
          </w:pPr>
          <w:r>
            <w:rPr>
              <w:b/>
              <w:lang w:val="en-GB"/>
            </w:rPr>
            <w:t>PH - 42782</w:t>
          </w:r>
        </w:p>
      </w:tc>
      <w:tc>
        <w:tcPr>
          <w:tcW w:w="851" w:type="dxa"/>
          <w:tcBorders>
            <w:bottom w:val="single" w:sz="4" w:space="0" w:color="auto"/>
          </w:tcBorders>
          <w:shd w:val="clear" w:color="auto" w:fill="auto"/>
          <w:vAlign w:val="bottom"/>
        </w:tcPr>
        <w:p w:rsidR="00FC0747" w:rsidRPr="005B12E1" w:rsidP="00FC0747" w14:paraId="1FCC8CED" w14:textId="77777777">
          <w:pPr>
            <w:tabs>
              <w:tab w:val="right" w:pos="5671"/>
            </w:tabs>
            <w:spacing w:before="20" w:after="20"/>
            <w:rPr>
              <w:lang w:val="en-GB"/>
            </w:rPr>
          </w:pPr>
        </w:p>
      </w:tc>
    </w:tr>
    <w:tr w14:paraId="56C7DD60" w14:textId="77777777" w:rsidTr="00BD5047">
      <w:tblPrEx>
        <w:tblW w:w="9073" w:type="dxa"/>
        <w:tblLayout w:type="fixed"/>
        <w:tblCellMar>
          <w:left w:w="0" w:type="dxa"/>
          <w:right w:w="0" w:type="dxa"/>
        </w:tblCellMar>
        <w:tblLook w:val="0000"/>
      </w:tblPrEx>
      <w:trPr>
        <w:cantSplit/>
        <w:trHeight w:val="255"/>
      </w:trPr>
      <w:tc>
        <w:tcPr>
          <w:tcW w:w="1560" w:type="dxa"/>
          <w:tcBorders>
            <w:top w:val="single" w:sz="4" w:space="0" w:color="auto"/>
            <w:bottom w:val="nil"/>
          </w:tcBorders>
          <w:shd w:val="clear" w:color="auto" w:fill="auto"/>
        </w:tcPr>
        <w:p w:rsidR="00FC0747" w:rsidRPr="005B12E1" w:rsidP="00FC0747" w14:paraId="158140A7" w14:textId="77777777">
          <w:pPr>
            <w:spacing w:before="20"/>
            <w:rPr>
              <w:sz w:val="20"/>
              <w:lang w:val="en-GB"/>
            </w:rPr>
          </w:pPr>
        </w:p>
      </w:tc>
      <w:tc>
        <w:tcPr>
          <w:tcW w:w="5386" w:type="dxa"/>
          <w:tcBorders>
            <w:top w:val="single" w:sz="4" w:space="0" w:color="auto"/>
            <w:bottom w:val="nil"/>
          </w:tcBorders>
          <w:shd w:val="clear" w:color="auto" w:fill="auto"/>
          <w:vAlign w:val="bottom"/>
        </w:tcPr>
        <w:p w:rsidR="00FC0747" w:rsidRPr="005B12E1" w:rsidP="00FC0747" w14:paraId="1A99F5BA" w14:textId="73903292">
          <w:pPr>
            <w:tabs>
              <w:tab w:val="right" w:pos="5610"/>
            </w:tabs>
            <w:spacing w:before="20"/>
            <w:rPr>
              <w:sz w:val="20"/>
              <w:lang w:val="en-GB"/>
            </w:rPr>
          </w:pPr>
          <w:r>
            <w:rPr>
              <w:sz w:val="20"/>
              <w:lang w:val="en-GB"/>
            </w:rPr>
            <w:t>BAY 3427080 / 21651</w:t>
          </w:r>
        </w:p>
      </w:tc>
      <w:tc>
        <w:tcPr>
          <w:tcW w:w="2127" w:type="dxa"/>
          <w:gridSpan w:val="2"/>
          <w:tcBorders>
            <w:top w:val="single" w:sz="4" w:space="0" w:color="auto"/>
            <w:bottom w:val="nil"/>
          </w:tcBorders>
          <w:shd w:val="clear" w:color="auto" w:fill="auto"/>
          <w:vAlign w:val="center"/>
        </w:tcPr>
        <w:p w:rsidR="00FC0747" w:rsidRPr="005B12E1" w:rsidP="00FC0747" w14:paraId="1F7496BF" w14:textId="77777777">
          <w:pPr>
            <w:tabs>
              <w:tab w:val="right" w:pos="5610"/>
            </w:tabs>
            <w:spacing w:before="20"/>
            <w:jc w:val="right"/>
            <w:rPr>
              <w:sz w:val="20"/>
              <w:lang w:val="en-GB"/>
            </w:rPr>
          </w:pPr>
          <w:r w:rsidRPr="005B12E1">
            <w:rPr>
              <w:sz w:val="20"/>
              <w:lang w:val="en-GB"/>
            </w:rPr>
            <w:t xml:space="preserve">Page: </w:t>
          </w:r>
          <w:r w:rsidRPr="005B12E1">
            <w:rPr>
              <w:sz w:val="20"/>
            </w:rPr>
            <w:fldChar w:fldCharType="begin"/>
          </w:r>
          <w:r w:rsidRPr="005B12E1">
            <w:rPr>
              <w:sz w:val="20"/>
              <w:lang w:val="en-GB"/>
            </w:rPr>
            <w:instrText xml:space="preserve"> PAGE  \* MERGEFORMAT </w:instrText>
          </w:r>
          <w:r w:rsidRPr="005B12E1">
            <w:rPr>
              <w:sz w:val="20"/>
            </w:rPr>
            <w:fldChar w:fldCharType="separate"/>
          </w:r>
          <w:r w:rsidRPr="00023E52">
            <w:rPr>
              <w:noProof/>
              <w:sz w:val="20"/>
              <w:lang w:val="en-US" w:eastAsia="en-US" w:bidi="ar-SA"/>
            </w:rPr>
            <w:t>2</w:t>
          </w:r>
          <w:r w:rsidRPr="005B12E1">
            <w:rPr>
              <w:sz w:val="20"/>
            </w:rPr>
            <w:fldChar w:fldCharType="end"/>
          </w:r>
          <w:r w:rsidRPr="005B12E1">
            <w:rPr>
              <w:sz w:val="20"/>
              <w:lang w:val="en-GB"/>
            </w:rPr>
            <w:t xml:space="preserve"> of </w:t>
          </w:r>
          <w:r w:rsidRPr="005B12E1">
            <w:rPr>
              <w:sz w:val="20"/>
            </w:rPr>
            <w:fldChar w:fldCharType="begin"/>
          </w:r>
          <w:r w:rsidRPr="005B12E1">
            <w:rPr>
              <w:sz w:val="20"/>
              <w:lang w:val="en-GB"/>
            </w:rPr>
            <w:instrText xml:space="preserve"> NUMPAGES  \* MERGEFORMAT </w:instrText>
          </w:r>
          <w:r w:rsidRPr="005B12E1">
            <w:rPr>
              <w:sz w:val="20"/>
            </w:rPr>
            <w:fldChar w:fldCharType="separate"/>
          </w:r>
          <w:r w:rsidRPr="00023E52">
            <w:rPr>
              <w:noProof/>
              <w:sz w:val="20"/>
              <w:lang w:val="en-US" w:eastAsia="en-US" w:bidi="ar-SA"/>
            </w:rPr>
            <w:t>127</w:t>
          </w:r>
          <w:r w:rsidRPr="005B12E1">
            <w:rPr>
              <w:sz w:val="20"/>
            </w:rPr>
            <w:fldChar w:fldCharType="end"/>
          </w:r>
        </w:p>
      </w:tc>
    </w:tr>
  </w:tbl>
  <w:p w:rsidR="00572B9E" w:rsidRPr="00FC1221" w:rsidP="00E15B85" w14:paraId="4C848A5C" w14:textId="54A2E4CC">
    <w:pPr>
      <w:pStyle w:val="Kopfzeile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9073" w:type="dxa"/>
      <w:tblBorders>
        <w:bottom w:val="single" w:sz="4" w:space="0" w:color="auto"/>
      </w:tblBorders>
      <w:tblLayout w:type="fixed"/>
      <w:tblCellMar>
        <w:left w:w="0" w:type="dxa"/>
        <w:right w:w="0" w:type="dxa"/>
      </w:tblCellMar>
      <w:tblLook w:val="0000"/>
    </w:tblPr>
    <w:tblGrid>
      <w:gridCol w:w="1560"/>
      <w:gridCol w:w="5386"/>
      <w:gridCol w:w="1276"/>
      <w:gridCol w:w="851"/>
    </w:tblGrid>
    <w:tr w14:paraId="455818FC" w14:textId="77777777" w:rsidTr="00BD5047">
      <w:tblPrEx>
        <w:tblW w:w="9073" w:type="dxa"/>
        <w:tblBorders>
          <w:bottom w:val="single" w:sz="4" w:space="0" w:color="auto"/>
        </w:tblBorders>
        <w:tblLayout w:type="fixed"/>
        <w:tblCellMar>
          <w:left w:w="0" w:type="dxa"/>
          <w:right w:w="0" w:type="dxa"/>
        </w:tblCellMar>
        <w:tblLook w:val="0000"/>
      </w:tblPrEx>
      <w:trPr>
        <w:cantSplit/>
        <w:trHeight w:val="255"/>
      </w:trPr>
      <w:tc>
        <w:tcPr>
          <w:tcW w:w="1560" w:type="dxa"/>
          <w:tcBorders>
            <w:bottom w:val="single" w:sz="4" w:space="0" w:color="auto"/>
          </w:tcBorders>
          <w:shd w:val="clear" w:color="auto" w:fill="auto"/>
        </w:tcPr>
        <w:p w:rsidR="002E0C06" w:rsidRPr="001341A1" w:rsidP="002E0C06" w14:paraId="07849896" w14:textId="36AAC0BD">
          <w:pPr>
            <w:keepNext/>
            <w:spacing w:after="40"/>
          </w:pPr>
        </w:p>
      </w:tc>
      <w:tc>
        <w:tcPr>
          <w:tcW w:w="6662" w:type="dxa"/>
          <w:gridSpan w:val="2"/>
          <w:tcBorders>
            <w:bottom w:val="single" w:sz="4" w:space="0" w:color="auto"/>
          </w:tcBorders>
          <w:shd w:val="clear" w:color="auto" w:fill="auto"/>
          <w:vAlign w:val="bottom"/>
        </w:tcPr>
        <w:p w:rsidR="002E0C06" w:rsidRPr="005B12E1" w:rsidP="002E0C06" w14:paraId="04DE5410" w14:textId="74FE8FD2">
          <w:pPr>
            <w:tabs>
              <w:tab w:val="right" w:pos="5671"/>
            </w:tabs>
            <w:spacing w:before="20" w:after="20"/>
            <w:rPr>
              <w:b/>
              <w:lang w:val="en-GB"/>
            </w:rPr>
          </w:pPr>
          <w:r>
            <w:rPr>
              <w:b/>
              <w:lang w:val="en-GB"/>
            </w:rPr>
            <w:t>Clinical Study Report</w:t>
          </w:r>
        </w:p>
        <w:p w:rsidR="002E0C06" w:rsidRPr="005B12E1" w:rsidP="002E0C06" w14:paraId="604BABAC" w14:textId="6458C727">
          <w:pPr>
            <w:tabs>
              <w:tab w:val="right" w:pos="5671"/>
            </w:tabs>
            <w:spacing w:before="20" w:after="20"/>
            <w:rPr>
              <w:lang w:val="en-GB"/>
            </w:rPr>
          </w:pPr>
          <w:r>
            <w:rPr>
              <w:b/>
              <w:lang w:val="en-GB"/>
            </w:rPr>
            <w:t>PH - 42782</w:t>
          </w:r>
        </w:p>
      </w:tc>
      <w:tc>
        <w:tcPr>
          <w:tcW w:w="851" w:type="dxa"/>
          <w:tcBorders>
            <w:bottom w:val="single" w:sz="4" w:space="0" w:color="auto"/>
          </w:tcBorders>
          <w:shd w:val="clear" w:color="auto" w:fill="auto"/>
          <w:vAlign w:val="bottom"/>
        </w:tcPr>
        <w:p w:rsidR="002E0C06" w:rsidRPr="005B12E1" w:rsidP="002E0C06" w14:paraId="5205D8B9" w14:textId="2A54D36F">
          <w:pPr>
            <w:tabs>
              <w:tab w:val="right" w:pos="5671"/>
            </w:tabs>
            <w:spacing w:before="20" w:after="20"/>
            <w:rPr>
              <w:lang w:val="en-GB"/>
            </w:rPr>
          </w:pPr>
        </w:p>
      </w:tc>
    </w:tr>
    <w:tr w14:paraId="0203A222" w14:textId="77777777" w:rsidTr="00BD5047">
      <w:tblPrEx>
        <w:tblW w:w="9073" w:type="dxa"/>
        <w:tblLayout w:type="fixed"/>
        <w:tblCellMar>
          <w:left w:w="0" w:type="dxa"/>
          <w:right w:w="0" w:type="dxa"/>
        </w:tblCellMar>
        <w:tblLook w:val="0000"/>
      </w:tblPrEx>
      <w:trPr>
        <w:cantSplit/>
        <w:trHeight w:val="255"/>
      </w:trPr>
      <w:tc>
        <w:tcPr>
          <w:tcW w:w="1560" w:type="dxa"/>
          <w:tcBorders>
            <w:top w:val="single" w:sz="4" w:space="0" w:color="auto"/>
            <w:bottom w:val="nil"/>
          </w:tcBorders>
          <w:shd w:val="clear" w:color="auto" w:fill="auto"/>
        </w:tcPr>
        <w:p w:rsidR="002E0C06" w:rsidRPr="005B12E1" w:rsidP="002E0C06" w14:paraId="5FC344FA" w14:textId="77777777">
          <w:pPr>
            <w:spacing w:before="20"/>
            <w:rPr>
              <w:sz w:val="20"/>
              <w:lang w:val="en-GB"/>
            </w:rPr>
          </w:pPr>
        </w:p>
      </w:tc>
      <w:tc>
        <w:tcPr>
          <w:tcW w:w="5386" w:type="dxa"/>
          <w:tcBorders>
            <w:top w:val="single" w:sz="4" w:space="0" w:color="auto"/>
            <w:bottom w:val="nil"/>
          </w:tcBorders>
          <w:shd w:val="clear" w:color="auto" w:fill="auto"/>
          <w:vAlign w:val="bottom"/>
        </w:tcPr>
        <w:p w:rsidR="002E0C06" w:rsidRPr="005B12E1" w:rsidP="002E0C06" w14:paraId="613A04F5" w14:textId="41917123">
          <w:pPr>
            <w:tabs>
              <w:tab w:val="right" w:pos="5610"/>
            </w:tabs>
            <w:spacing w:before="20"/>
            <w:rPr>
              <w:sz w:val="20"/>
              <w:lang w:val="en-GB"/>
            </w:rPr>
          </w:pPr>
          <w:r>
            <w:rPr>
              <w:sz w:val="20"/>
              <w:lang w:val="en-GB"/>
            </w:rPr>
            <w:t>BAY 3427080 / 21651</w:t>
          </w:r>
        </w:p>
      </w:tc>
      <w:tc>
        <w:tcPr>
          <w:tcW w:w="2127" w:type="dxa"/>
          <w:gridSpan w:val="2"/>
          <w:tcBorders>
            <w:top w:val="single" w:sz="4" w:space="0" w:color="auto"/>
            <w:bottom w:val="nil"/>
          </w:tcBorders>
          <w:shd w:val="clear" w:color="auto" w:fill="auto"/>
          <w:vAlign w:val="center"/>
        </w:tcPr>
        <w:p w:rsidR="002E0C06" w:rsidRPr="005B12E1" w:rsidP="002E0C06" w14:paraId="09DD188D" w14:textId="77777777">
          <w:pPr>
            <w:tabs>
              <w:tab w:val="right" w:pos="5610"/>
            </w:tabs>
            <w:spacing w:before="20"/>
            <w:jc w:val="right"/>
            <w:rPr>
              <w:sz w:val="20"/>
              <w:lang w:val="en-GB"/>
            </w:rPr>
          </w:pPr>
          <w:r w:rsidRPr="005B12E1">
            <w:rPr>
              <w:sz w:val="20"/>
              <w:lang w:val="en-GB"/>
            </w:rPr>
            <w:t xml:space="preserve">Page: </w:t>
          </w:r>
          <w:r w:rsidRPr="005B12E1">
            <w:rPr>
              <w:sz w:val="20"/>
            </w:rPr>
            <w:fldChar w:fldCharType="begin"/>
          </w:r>
          <w:r w:rsidRPr="005B12E1">
            <w:rPr>
              <w:sz w:val="20"/>
              <w:lang w:val="en-GB"/>
            </w:rPr>
            <w:instrText xml:space="preserve"> PAGE  \* MERGEFORMAT </w:instrText>
          </w:r>
          <w:r w:rsidRPr="005B12E1">
            <w:rPr>
              <w:sz w:val="20"/>
            </w:rPr>
            <w:fldChar w:fldCharType="separate"/>
          </w:r>
          <w:r w:rsidRPr="00023E52">
            <w:rPr>
              <w:noProof/>
              <w:sz w:val="20"/>
              <w:lang w:val="en-US" w:eastAsia="en-US" w:bidi="ar-SA"/>
            </w:rPr>
            <w:t>1</w:t>
          </w:r>
          <w:r w:rsidRPr="005B12E1">
            <w:rPr>
              <w:sz w:val="20"/>
            </w:rPr>
            <w:fldChar w:fldCharType="end"/>
          </w:r>
          <w:r w:rsidRPr="005B12E1">
            <w:rPr>
              <w:sz w:val="20"/>
              <w:lang w:val="en-GB"/>
            </w:rPr>
            <w:t xml:space="preserve"> of </w:t>
          </w:r>
          <w:r w:rsidRPr="005B12E1">
            <w:rPr>
              <w:sz w:val="20"/>
            </w:rPr>
            <w:fldChar w:fldCharType="begin"/>
          </w:r>
          <w:r w:rsidRPr="005B12E1">
            <w:rPr>
              <w:sz w:val="20"/>
              <w:lang w:val="en-GB"/>
            </w:rPr>
            <w:instrText xml:space="preserve"> NUMPAGES  \* MERGEFORMAT </w:instrText>
          </w:r>
          <w:r w:rsidRPr="005B12E1">
            <w:rPr>
              <w:sz w:val="20"/>
            </w:rPr>
            <w:fldChar w:fldCharType="separate"/>
          </w:r>
          <w:r w:rsidRPr="00023E52">
            <w:rPr>
              <w:noProof/>
              <w:sz w:val="20"/>
              <w:lang w:val="en-US" w:eastAsia="en-US" w:bidi="ar-SA"/>
            </w:rPr>
            <w:t>127</w:t>
          </w:r>
          <w:r w:rsidRPr="005B12E1">
            <w:rPr>
              <w:sz w:val="20"/>
            </w:rPr>
            <w:fldChar w:fldCharType="end"/>
          </w:r>
        </w:p>
      </w:tc>
    </w:tr>
  </w:tbl>
  <w:p w:rsidR="0068438A" w14:paraId="440A4AC6" w14:textId="349E8086">
    <w:pPr>
      <w:pStyle w:val="Header"/>
    </w:pPr>
    <w:r>
      <w:rPr>
        <w:noProof/>
      </w:rPr>
      <w:drawing>
        <wp:anchor distT="0" distB="0" distL="114300" distR="114300" simplePos="0" relativeHeight="251658240" behindDoc="0" locked="0" layoutInCell="1" allowOverlap="1">
          <wp:simplePos x="0" y="0"/>
          <wp:positionH relativeFrom="column">
            <wp:posOffset>5336597</wp:posOffset>
          </wp:positionH>
          <wp:positionV relativeFrom="page">
            <wp:posOffset>443552</wp:posOffset>
          </wp:positionV>
          <wp:extent cx="397510" cy="397510"/>
          <wp:effectExtent l="0" t="0" r="254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940"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397510" cy="397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891" w:type="dxa"/>
      <w:tblBorders>
        <w:bottom w:val="single" w:sz="4" w:space="0" w:color="auto"/>
      </w:tblBorders>
      <w:tblLayout w:type="fixed"/>
      <w:tblCellMar>
        <w:left w:w="0" w:type="dxa"/>
        <w:right w:w="0" w:type="dxa"/>
      </w:tblCellMar>
      <w:tblLook w:val="0000"/>
    </w:tblPr>
    <w:tblGrid>
      <w:gridCol w:w="1560"/>
      <w:gridCol w:w="9213"/>
      <w:gridCol w:w="2410"/>
      <w:gridCol w:w="708"/>
    </w:tblGrid>
    <w:tr w14:paraId="6C853090" w14:textId="77777777" w:rsidTr="00BD5047">
      <w:tblPrEx>
        <w:tblW w:w="13891" w:type="dxa"/>
        <w:tblBorders>
          <w:bottom w:val="single" w:sz="4" w:space="0" w:color="auto"/>
        </w:tblBorders>
        <w:tblLayout w:type="fixed"/>
        <w:tblCellMar>
          <w:left w:w="0" w:type="dxa"/>
          <w:right w:w="0" w:type="dxa"/>
        </w:tblCellMar>
        <w:tblLook w:val="0000"/>
      </w:tblPrEx>
      <w:trPr>
        <w:cantSplit/>
        <w:trHeight w:val="255"/>
      </w:trPr>
      <w:tc>
        <w:tcPr>
          <w:tcW w:w="1560" w:type="dxa"/>
          <w:tcBorders>
            <w:bottom w:val="single" w:sz="4" w:space="0" w:color="auto"/>
          </w:tcBorders>
          <w:shd w:val="clear" w:color="auto" w:fill="auto"/>
        </w:tcPr>
        <w:p w:rsidR="00572B9E" w:rsidRPr="001341A1" w:rsidP="00572B9E" w14:paraId="4C3049C7" w14:textId="1D4A5E2B">
          <w:pPr>
            <w:keepNext/>
            <w:spacing w:after="40"/>
          </w:pPr>
        </w:p>
      </w:tc>
      <w:tc>
        <w:tcPr>
          <w:tcW w:w="11623" w:type="dxa"/>
          <w:gridSpan w:val="2"/>
          <w:tcBorders>
            <w:bottom w:val="single" w:sz="4" w:space="0" w:color="auto"/>
          </w:tcBorders>
          <w:shd w:val="clear" w:color="auto" w:fill="auto"/>
          <w:vAlign w:val="bottom"/>
        </w:tcPr>
        <w:p w:rsidR="00A716A7" w:rsidP="00A716A7" w14:paraId="4E7929E8" w14:textId="77777777">
          <w:pPr>
            <w:tabs>
              <w:tab w:val="right" w:pos="5671"/>
            </w:tabs>
            <w:spacing w:before="20" w:after="20"/>
            <w:rPr>
              <w:b/>
              <w:lang w:val="en-GB"/>
            </w:rPr>
          </w:pPr>
          <w:r>
            <w:rPr>
              <w:b/>
              <w:lang w:val="en-GB"/>
            </w:rPr>
            <w:t>Clinical Study Report</w:t>
          </w:r>
        </w:p>
        <w:p w:rsidR="00572B9E" w:rsidRPr="00FC651C" w:rsidP="00A716A7" w14:paraId="3FA642FA" w14:textId="194992C8">
          <w:pPr>
            <w:tabs>
              <w:tab w:val="right" w:pos="5671"/>
            </w:tabs>
            <w:spacing w:before="20" w:after="20"/>
            <w:rPr>
              <w:b/>
              <w:bCs/>
              <w:lang w:val="en-GB"/>
            </w:rPr>
          </w:pPr>
          <w:r>
            <w:rPr>
              <w:b/>
              <w:lang w:val="en-GB"/>
            </w:rPr>
            <w:t>PH - 42782</w:t>
          </w:r>
        </w:p>
      </w:tc>
      <w:tc>
        <w:tcPr>
          <w:tcW w:w="708" w:type="dxa"/>
          <w:tcBorders>
            <w:bottom w:val="single" w:sz="4" w:space="0" w:color="auto"/>
          </w:tcBorders>
          <w:shd w:val="clear" w:color="auto" w:fill="auto"/>
          <w:vAlign w:val="bottom"/>
        </w:tcPr>
        <w:p w:rsidR="00572B9E" w:rsidRPr="005B12E1" w:rsidP="00572B9E" w14:paraId="686457B2" w14:textId="77777777">
          <w:pPr>
            <w:tabs>
              <w:tab w:val="right" w:pos="5671"/>
            </w:tabs>
            <w:spacing w:before="20" w:after="20"/>
            <w:rPr>
              <w:lang w:val="en-GB"/>
            </w:rPr>
          </w:pPr>
        </w:p>
      </w:tc>
    </w:tr>
    <w:tr w14:paraId="74AF1338" w14:textId="77777777" w:rsidTr="00BD5047">
      <w:tblPrEx>
        <w:tblW w:w="13891" w:type="dxa"/>
        <w:tblLayout w:type="fixed"/>
        <w:tblCellMar>
          <w:left w:w="0" w:type="dxa"/>
          <w:right w:w="0" w:type="dxa"/>
        </w:tblCellMar>
        <w:tblLook w:val="0000"/>
      </w:tblPrEx>
      <w:trPr>
        <w:cantSplit/>
        <w:trHeight w:val="255"/>
      </w:trPr>
      <w:tc>
        <w:tcPr>
          <w:tcW w:w="1560" w:type="dxa"/>
          <w:tcBorders>
            <w:top w:val="single" w:sz="4" w:space="0" w:color="auto"/>
            <w:bottom w:val="nil"/>
          </w:tcBorders>
          <w:shd w:val="clear" w:color="auto" w:fill="auto"/>
        </w:tcPr>
        <w:p w:rsidR="00572B9E" w:rsidRPr="005B12E1" w:rsidP="00572B9E" w14:paraId="4CA4E98A" w14:textId="77777777">
          <w:pPr>
            <w:spacing w:before="20"/>
            <w:rPr>
              <w:sz w:val="20"/>
              <w:lang w:val="en-GB"/>
            </w:rPr>
          </w:pPr>
        </w:p>
      </w:tc>
      <w:tc>
        <w:tcPr>
          <w:tcW w:w="9213" w:type="dxa"/>
          <w:tcBorders>
            <w:top w:val="single" w:sz="4" w:space="0" w:color="auto"/>
            <w:bottom w:val="nil"/>
          </w:tcBorders>
          <w:shd w:val="clear" w:color="auto" w:fill="auto"/>
          <w:vAlign w:val="bottom"/>
        </w:tcPr>
        <w:p w:rsidR="00572B9E" w:rsidRPr="005B12E1" w:rsidP="00572B9E" w14:paraId="6DA03C41" w14:textId="7F47D0DB">
          <w:pPr>
            <w:tabs>
              <w:tab w:val="right" w:pos="5610"/>
            </w:tabs>
            <w:spacing w:before="20"/>
            <w:rPr>
              <w:sz w:val="20"/>
              <w:lang w:val="en-GB"/>
            </w:rPr>
          </w:pPr>
          <w:r>
            <w:rPr>
              <w:sz w:val="20"/>
              <w:lang w:val="en-GB"/>
            </w:rPr>
            <w:t>BAY 3427080 / 21651</w:t>
          </w:r>
        </w:p>
      </w:tc>
      <w:tc>
        <w:tcPr>
          <w:tcW w:w="3118" w:type="dxa"/>
          <w:gridSpan w:val="2"/>
          <w:tcBorders>
            <w:top w:val="single" w:sz="4" w:space="0" w:color="auto"/>
            <w:bottom w:val="nil"/>
          </w:tcBorders>
          <w:shd w:val="clear" w:color="auto" w:fill="auto"/>
          <w:vAlign w:val="center"/>
        </w:tcPr>
        <w:p w:rsidR="00572B9E" w:rsidRPr="005B12E1" w:rsidP="00572B9E" w14:paraId="373483BF" w14:textId="77777777">
          <w:pPr>
            <w:tabs>
              <w:tab w:val="right" w:pos="5610"/>
            </w:tabs>
            <w:spacing w:before="20"/>
            <w:jc w:val="right"/>
            <w:rPr>
              <w:sz w:val="20"/>
              <w:lang w:val="en-GB"/>
            </w:rPr>
          </w:pPr>
          <w:r w:rsidRPr="005B12E1">
            <w:rPr>
              <w:sz w:val="20"/>
              <w:lang w:val="en-GB"/>
            </w:rPr>
            <w:t xml:space="preserve">Page: </w:t>
          </w:r>
          <w:r w:rsidRPr="005B12E1">
            <w:rPr>
              <w:sz w:val="20"/>
            </w:rPr>
            <w:fldChar w:fldCharType="begin"/>
          </w:r>
          <w:r w:rsidRPr="005B12E1">
            <w:rPr>
              <w:sz w:val="20"/>
              <w:lang w:val="en-GB"/>
            </w:rPr>
            <w:instrText xml:space="preserve"> PAGE  \* MERGEFORMAT </w:instrText>
          </w:r>
          <w:r w:rsidRPr="005B12E1">
            <w:rPr>
              <w:sz w:val="20"/>
            </w:rPr>
            <w:fldChar w:fldCharType="separate"/>
          </w:r>
          <w:r w:rsidRPr="00023E52">
            <w:rPr>
              <w:noProof/>
              <w:sz w:val="20"/>
              <w:lang w:val="en-US" w:eastAsia="en-US" w:bidi="ar-SA"/>
            </w:rPr>
            <w:t>3</w:t>
          </w:r>
          <w:r w:rsidRPr="005B12E1">
            <w:rPr>
              <w:sz w:val="20"/>
            </w:rPr>
            <w:fldChar w:fldCharType="end"/>
          </w:r>
          <w:r w:rsidRPr="005B12E1">
            <w:rPr>
              <w:sz w:val="20"/>
              <w:lang w:val="en-GB"/>
            </w:rPr>
            <w:t xml:space="preserve"> of </w:t>
          </w:r>
          <w:r w:rsidRPr="005B12E1">
            <w:rPr>
              <w:sz w:val="20"/>
            </w:rPr>
            <w:fldChar w:fldCharType="begin"/>
          </w:r>
          <w:r w:rsidRPr="005B12E1">
            <w:rPr>
              <w:sz w:val="20"/>
              <w:lang w:val="en-GB"/>
            </w:rPr>
            <w:instrText xml:space="preserve"> NUMPAGES  \* MERGEFORMAT </w:instrText>
          </w:r>
          <w:r w:rsidRPr="005B12E1">
            <w:rPr>
              <w:sz w:val="20"/>
            </w:rPr>
            <w:fldChar w:fldCharType="separate"/>
          </w:r>
          <w:r w:rsidRPr="00023E52">
            <w:rPr>
              <w:noProof/>
              <w:sz w:val="20"/>
              <w:lang w:val="en-US" w:eastAsia="en-US" w:bidi="ar-SA"/>
            </w:rPr>
            <w:t>127</w:t>
          </w:r>
          <w:r w:rsidRPr="005B12E1">
            <w:rPr>
              <w:sz w:val="20"/>
            </w:rPr>
            <w:fldChar w:fldCharType="end"/>
          </w:r>
        </w:p>
      </w:tc>
    </w:tr>
  </w:tbl>
  <w:p w:rsidR="00572B9E" w:rsidP="00572B9E" w14:paraId="7B814D9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891" w:type="dxa"/>
      <w:tblBorders>
        <w:bottom w:val="single" w:sz="4" w:space="0" w:color="auto"/>
      </w:tblBorders>
      <w:tblLayout w:type="fixed"/>
      <w:tblCellMar>
        <w:left w:w="0" w:type="dxa"/>
        <w:right w:w="0" w:type="dxa"/>
      </w:tblCellMar>
      <w:tblLook w:val="0000"/>
    </w:tblPr>
    <w:tblGrid>
      <w:gridCol w:w="1560"/>
      <w:gridCol w:w="9213"/>
      <w:gridCol w:w="2410"/>
      <w:gridCol w:w="708"/>
    </w:tblGrid>
    <w:tr w14:paraId="6C853090" w14:textId="77777777" w:rsidTr="00BD5047">
      <w:tblPrEx>
        <w:tblW w:w="13891" w:type="dxa"/>
        <w:tblBorders>
          <w:bottom w:val="single" w:sz="4" w:space="0" w:color="auto"/>
        </w:tblBorders>
        <w:tblLayout w:type="fixed"/>
        <w:tblCellMar>
          <w:left w:w="0" w:type="dxa"/>
          <w:right w:w="0" w:type="dxa"/>
        </w:tblCellMar>
        <w:tblLook w:val="0000"/>
      </w:tblPrEx>
      <w:trPr>
        <w:cantSplit/>
        <w:trHeight w:val="255"/>
      </w:trPr>
      <w:tc>
        <w:tcPr>
          <w:tcW w:w="1560" w:type="dxa"/>
          <w:tcBorders>
            <w:bottom w:val="single" w:sz="4" w:space="0" w:color="auto"/>
          </w:tcBorders>
          <w:shd w:val="clear" w:color="auto" w:fill="auto"/>
        </w:tcPr>
        <w:p w:rsidR="00572B9E" w:rsidRPr="001341A1" w:rsidP="00572B9E" w14:textId="1D4A5E2B">
          <w:pPr>
            <w:keepNext/>
            <w:spacing w:after="40"/>
          </w:pPr>
        </w:p>
      </w:tc>
      <w:tc>
        <w:tcPr>
          <w:tcW w:w="11623" w:type="dxa"/>
          <w:gridSpan w:val="2"/>
          <w:tcBorders>
            <w:bottom w:val="single" w:sz="4" w:space="0" w:color="auto"/>
          </w:tcBorders>
          <w:shd w:val="clear" w:color="auto" w:fill="auto"/>
          <w:vAlign w:val="bottom"/>
        </w:tcPr>
        <w:p w:rsidR="00A716A7" w:rsidP="00A716A7" w14:textId="77777777">
          <w:pPr>
            <w:tabs>
              <w:tab w:val="right" w:pos="5671"/>
            </w:tabs>
            <w:spacing w:before="20" w:after="20"/>
            <w:rPr>
              <w:b/>
              <w:lang w:val="en-GB"/>
            </w:rPr>
          </w:pPr>
          <w:r>
            <w:rPr>
              <w:b/>
              <w:lang w:val="en-GB"/>
            </w:rPr>
            <w:t>Clinical Study Report</w:t>
          </w:r>
        </w:p>
        <w:p w:rsidR="00572B9E" w:rsidRPr="00FC651C" w:rsidP="00A716A7" w14:textId="194992C8">
          <w:pPr>
            <w:tabs>
              <w:tab w:val="right" w:pos="5671"/>
            </w:tabs>
            <w:spacing w:before="20" w:after="20"/>
            <w:rPr>
              <w:b/>
              <w:bCs/>
              <w:lang w:val="en-GB"/>
            </w:rPr>
          </w:pPr>
          <w:r>
            <w:rPr>
              <w:b/>
              <w:lang w:val="en-GB"/>
            </w:rPr>
            <w:t>PH - 42782</w:t>
          </w:r>
        </w:p>
      </w:tc>
      <w:tc>
        <w:tcPr>
          <w:tcW w:w="708" w:type="dxa"/>
          <w:tcBorders>
            <w:bottom w:val="single" w:sz="4" w:space="0" w:color="auto"/>
          </w:tcBorders>
          <w:shd w:val="clear" w:color="auto" w:fill="auto"/>
          <w:vAlign w:val="bottom"/>
        </w:tcPr>
        <w:p w:rsidR="00572B9E" w:rsidRPr="005B12E1" w:rsidP="00572B9E" w14:textId="77777777">
          <w:pPr>
            <w:tabs>
              <w:tab w:val="right" w:pos="5671"/>
            </w:tabs>
            <w:spacing w:before="20" w:after="20"/>
            <w:rPr>
              <w:lang w:val="en-GB"/>
            </w:rPr>
          </w:pPr>
        </w:p>
      </w:tc>
    </w:tr>
    <w:tr w14:paraId="74AF1338" w14:textId="77777777" w:rsidTr="00BD5047">
      <w:tblPrEx>
        <w:tblW w:w="13891" w:type="dxa"/>
        <w:tblLayout w:type="fixed"/>
        <w:tblCellMar>
          <w:left w:w="0" w:type="dxa"/>
          <w:right w:w="0" w:type="dxa"/>
        </w:tblCellMar>
        <w:tblLook w:val="0000"/>
      </w:tblPrEx>
      <w:trPr>
        <w:cantSplit/>
        <w:trHeight w:val="255"/>
      </w:trPr>
      <w:tc>
        <w:tcPr>
          <w:tcW w:w="1560" w:type="dxa"/>
          <w:tcBorders>
            <w:top w:val="single" w:sz="4" w:space="0" w:color="auto"/>
            <w:bottom w:val="nil"/>
          </w:tcBorders>
          <w:shd w:val="clear" w:color="auto" w:fill="auto"/>
        </w:tcPr>
        <w:p w:rsidR="00572B9E" w:rsidRPr="005B12E1" w:rsidP="00572B9E" w14:textId="77777777">
          <w:pPr>
            <w:spacing w:before="20"/>
            <w:rPr>
              <w:sz w:val="20"/>
              <w:lang w:val="en-GB"/>
            </w:rPr>
          </w:pPr>
        </w:p>
      </w:tc>
      <w:tc>
        <w:tcPr>
          <w:tcW w:w="9213" w:type="dxa"/>
          <w:tcBorders>
            <w:top w:val="single" w:sz="4" w:space="0" w:color="auto"/>
            <w:bottom w:val="nil"/>
          </w:tcBorders>
          <w:shd w:val="clear" w:color="auto" w:fill="auto"/>
          <w:vAlign w:val="bottom"/>
        </w:tcPr>
        <w:p w:rsidR="00572B9E" w:rsidRPr="005B12E1" w:rsidP="00572B9E" w14:textId="7F47D0DB">
          <w:pPr>
            <w:tabs>
              <w:tab w:val="right" w:pos="5610"/>
            </w:tabs>
            <w:spacing w:before="20"/>
            <w:rPr>
              <w:sz w:val="20"/>
              <w:lang w:val="en-GB"/>
            </w:rPr>
          </w:pPr>
          <w:r>
            <w:rPr>
              <w:sz w:val="20"/>
              <w:lang w:val="en-GB"/>
            </w:rPr>
            <w:t>BAY 3427080 / 21651</w:t>
          </w:r>
        </w:p>
      </w:tc>
      <w:tc>
        <w:tcPr>
          <w:tcW w:w="3118" w:type="dxa"/>
          <w:gridSpan w:val="2"/>
          <w:tcBorders>
            <w:top w:val="single" w:sz="4" w:space="0" w:color="auto"/>
            <w:bottom w:val="nil"/>
          </w:tcBorders>
          <w:shd w:val="clear" w:color="auto" w:fill="auto"/>
          <w:vAlign w:val="center"/>
        </w:tcPr>
        <w:p w:rsidR="00572B9E" w:rsidRPr="005B12E1" w:rsidP="00572B9E" w14:textId="77777777">
          <w:pPr>
            <w:tabs>
              <w:tab w:val="right" w:pos="5610"/>
            </w:tabs>
            <w:spacing w:before="20"/>
            <w:jc w:val="right"/>
            <w:rPr>
              <w:sz w:val="20"/>
              <w:lang w:val="en-GB"/>
            </w:rPr>
          </w:pPr>
          <w:r w:rsidRPr="005B12E1">
            <w:rPr>
              <w:sz w:val="20"/>
              <w:lang w:val="en-GB"/>
            </w:rPr>
            <w:t xml:space="preserve">Page: </w:t>
          </w:r>
          <w:r w:rsidRPr="005B12E1">
            <w:rPr>
              <w:sz w:val="20"/>
            </w:rPr>
            <w:fldChar w:fldCharType="begin"/>
          </w:r>
          <w:r w:rsidRPr="005B12E1">
            <w:rPr>
              <w:sz w:val="20"/>
              <w:lang w:val="en-GB"/>
            </w:rPr>
            <w:instrText xml:space="preserve"> PAGE  \* MERGEFORMAT </w:instrText>
          </w:r>
          <w:r w:rsidRPr="005B12E1">
            <w:rPr>
              <w:sz w:val="20"/>
            </w:rPr>
            <w:fldChar w:fldCharType="separate"/>
          </w:r>
          <w:r w:rsidRPr="00023E52">
            <w:rPr>
              <w:noProof/>
              <w:sz w:val="20"/>
              <w:lang w:val="en-US" w:eastAsia="en-US" w:bidi="ar-SA"/>
            </w:rPr>
            <w:t>4</w:t>
          </w:r>
          <w:r w:rsidRPr="005B12E1">
            <w:rPr>
              <w:sz w:val="20"/>
            </w:rPr>
            <w:fldChar w:fldCharType="end"/>
          </w:r>
          <w:r w:rsidRPr="005B12E1">
            <w:rPr>
              <w:sz w:val="20"/>
              <w:lang w:val="en-GB"/>
            </w:rPr>
            <w:t xml:space="preserve"> of </w:t>
          </w:r>
          <w:r w:rsidRPr="005B12E1">
            <w:rPr>
              <w:sz w:val="20"/>
            </w:rPr>
            <w:fldChar w:fldCharType="begin"/>
          </w:r>
          <w:r w:rsidRPr="005B12E1">
            <w:rPr>
              <w:sz w:val="20"/>
              <w:lang w:val="en-GB"/>
            </w:rPr>
            <w:instrText xml:space="preserve"> NUMPAGES  \* MERGEFORMAT </w:instrText>
          </w:r>
          <w:r w:rsidRPr="005B12E1">
            <w:rPr>
              <w:sz w:val="20"/>
            </w:rPr>
            <w:fldChar w:fldCharType="separate"/>
          </w:r>
          <w:r w:rsidRPr="00023E52">
            <w:rPr>
              <w:noProof/>
              <w:sz w:val="20"/>
              <w:lang w:val="en-US" w:eastAsia="en-US" w:bidi="ar-SA"/>
            </w:rPr>
            <w:t>127</w:t>
          </w:r>
          <w:r w:rsidRPr="005B12E1">
            <w:rPr>
              <w:sz w:val="20"/>
            </w:rPr>
            <w:fldChar w:fldCharType="end"/>
          </w:r>
        </w:p>
      </w:tc>
    </w:tr>
  </w:tbl>
  <w:p w:rsidR="00572B9E" w:rsidP="00572B9E"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13891" w:type="dxa"/>
      <w:tblBorders>
        <w:bottom w:val="single" w:sz="4" w:space="0" w:color="auto"/>
      </w:tblBorders>
      <w:tblLayout w:type="fixed"/>
      <w:tblCellMar>
        <w:left w:w="0" w:type="dxa"/>
        <w:right w:w="0" w:type="dxa"/>
      </w:tblCellMar>
      <w:tblLook w:val="0000"/>
    </w:tblPr>
    <w:tblGrid>
      <w:gridCol w:w="1560"/>
      <w:gridCol w:w="9213"/>
      <w:gridCol w:w="2410"/>
      <w:gridCol w:w="708"/>
    </w:tblGrid>
    <w:tr w14:paraId="6C853090" w14:textId="77777777" w:rsidTr="00BD5047">
      <w:tblPrEx>
        <w:tblW w:w="13891" w:type="dxa"/>
        <w:tblBorders>
          <w:bottom w:val="single" w:sz="4" w:space="0" w:color="auto"/>
        </w:tblBorders>
        <w:tblLayout w:type="fixed"/>
        <w:tblCellMar>
          <w:left w:w="0" w:type="dxa"/>
          <w:right w:w="0" w:type="dxa"/>
        </w:tblCellMar>
        <w:tblLook w:val="0000"/>
      </w:tblPrEx>
      <w:trPr>
        <w:cantSplit/>
        <w:trHeight w:val="255"/>
      </w:trPr>
      <w:tc>
        <w:tcPr>
          <w:tcW w:w="1560" w:type="dxa"/>
          <w:tcBorders>
            <w:bottom w:val="single" w:sz="4" w:space="0" w:color="auto"/>
          </w:tcBorders>
          <w:shd w:val="clear" w:color="auto" w:fill="auto"/>
        </w:tcPr>
        <w:p w:rsidR="00572B9E" w:rsidRPr="001341A1" w:rsidP="00572B9E" w14:textId="1D4A5E2B">
          <w:pPr>
            <w:keepNext/>
            <w:spacing w:after="40"/>
          </w:pPr>
        </w:p>
      </w:tc>
      <w:tc>
        <w:tcPr>
          <w:tcW w:w="11623" w:type="dxa"/>
          <w:gridSpan w:val="2"/>
          <w:tcBorders>
            <w:bottom w:val="single" w:sz="4" w:space="0" w:color="auto"/>
          </w:tcBorders>
          <w:shd w:val="clear" w:color="auto" w:fill="auto"/>
          <w:vAlign w:val="bottom"/>
        </w:tcPr>
        <w:p w:rsidR="00A716A7" w:rsidP="00A716A7" w14:textId="77777777">
          <w:pPr>
            <w:tabs>
              <w:tab w:val="right" w:pos="5671"/>
            </w:tabs>
            <w:spacing w:before="20" w:after="20"/>
            <w:rPr>
              <w:b/>
              <w:lang w:val="en-GB"/>
            </w:rPr>
          </w:pPr>
          <w:r>
            <w:rPr>
              <w:b/>
              <w:lang w:val="en-GB"/>
            </w:rPr>
            <w:t>Clinical Study Report</w:t>
          </w:r>
        </w:p>
        <w:p w:rsidR="00572B9E" w:rsidRPr="00FC651C" w:rsidP="00A716A7" w14:textId="194992C8">
          <w:pPr>
            <w:tabs>
              <w:tab w:val="right" w:pos="5671"/>
            </w:tabs>
            <w:spacing w:before="20" w:after="20"/>
            <w:rPr>
              <w:b/>
              <w:bCs/>
              <w:lang w:val="en-GB"/>
            </w:rPr>
          </w:pPr>
          <w:r>
            <w:rPr>
              <w:b/>
              <w:lang w:val="en-GB"/>
            </w:rPr>
            <w:t>PH - 42782</w:t>
          </w:r>
        </w:p>
      </w:tc>
      <w:tc>
        <w:tcPr>
          <w:tcW w:w="708" w:type="dxa"/>
          <w:tcBorders>
            <w:bottom w:val="single" w:sz="4" w:space="0" w:color="auto"/>
          </w:tcBorders>
          <w:shd w:val="clear" w:color="auto" w:fill="auto"/>
          <w:vAlign w:val="bottom"/>
        </w:tcPr>
        <w:p w:rsidR="00572B9E" w:rsidRPr="005B12E1" w:rsidP="00572B9E" w14:textId="77777777">
          <w:pPr>
            <w:tabs>
              <w:tab w:val="right" w:pos="5671"/>
            </w:tabs>
            <w:spacing w:before="20" w:after="20"/>
            <w:rPr>
              <w:lang w:val="en-GB"/>
            </w:rPr>
          </w:pPr>
        </w:p>
      </w:tc>
    </w:tr>
    <w:tr w14:paraId="74AF1338" w14:textId="77777777" w:rsidTr="00BD5047">
      <w:tblPrEx>
        <w:tblW w:w="13891" w:type="dxa"/>
        <w:tblLayout w:type="fixed"/>
        <w:tblCellMar>
          <w:left w:w="0" w:type="dxa"/>
          <w:right w:w="0" w:type="dxa"/>
        </w:tblCellMar>
        <w:tblLook w:val="0000"/>
      </w:tblPrEx>
      <w:trPr>
        <w:cantSplit/>
        <w:trHeight w:val="255"/>
      </w:trPr>
      <w:tc>
        <w:tcPr>
          <w:tcW w:w="1560" w:type="dxa"/>
          <w:tcBorders>
            <w:top w:val="single" w:sz="4" w:space="0" w:color="auto"/>
            <w:bottom w:val="nil"/>
          </w:tcBorders>
          <w:shd w:val="clear" w:color="auto" w:fill="auto"/>
        </w:tcPr>
        <w:p w:rsidR="00572B9E" w:rsidRPr="005B12E1" w:rsidP="00572B9E" w14:textId="77777777">
          <w:pPr>
            <w:spacing w:before="20"/>
            <w:rPr>
              <w:sz w:val="20"/>
              <w:lang w:val="en-GB"/>
            </w:rPr>
          </w:pPr>
        </w:p>
      </w:tc>
      <w:tc>
        <w:tcPr>
          <w:tcW w:w="9213" w:type="dxa"/>
          <w:tcBorders>
            <w:top w:val="single" w:sz="4" w:space="0" w:color="auto"/>
            <w:bottom w:val="nil"/>
          </w:tcBorders>
          <w:shd w:val="clear" w:color="auto" w:fill="auto"/>
          <w:vAlign w:val="bottom"/>
        </w:tcPr>
        <w:p w:rsidR="00572B9E" w:rsidRPr="005B12E1" w:rsidP="00572B9E" w14:textId="7F47D0DB">
          <w:pPr>
            <w:tabs>
              <w:tab w:val="right" w:pos="5610"/>
            </w:tabs>
            <w:spacing w:before="20"/>
            <w:rPr>
              <w:sz w:val="20"/>
              <w:lang w:val="en-GB"/>
            </w:rPr>
          </w:pPr>
          <w:r>
            <w:rPr>
              <w:sz w:val="20"/>
              <w:lang w:val="en-GB"/>
            </w:rPr>
            <w:t>BAY 3427080 / 21651</w:t>
          </w:r>
        </w:p>
      </w:tc>
      <w:tc>
        <w:tcPr>
          <w:tcW w:w="3118" w:type="dxa"/>
          <w:gridSpan w:val="2"/>
          <w:tcBorders>
            <w:top w:val="single" w:sz="4" w:space="0" w:color="auto"/>
            <w:bottom w:val="nil"/>
          </w:tcBorders>
          <w:shd w:val="clear" w:color="auto" w:fill="auto"/>
          <w:vAlign w:val="center"/>
        </w:tcPr>
        <w:p w:rsidR="00572B9E" w:rsidRPr="005B12E1" w:rsidP="00572B9E" w14:textId="77777777">
          <w:pPr>
            <w:tabs>
              <w:tab w:val="right" w:pos="5610"/>
            </w:tabs>
            <w:spacing w:before="20"/>
            <w:jc w:val="right"/>
            <w:rPr>
              <w:sz w:val="20"/>
              <w:lang w:val="en-GB"/>
            </w:rPr>
          </w:pPr>
          <w:r w:rsidRPr="005B12E1">
            <w:rPr>
              <w:sz w:val="20"/>
              <w:lang w:val="en-GB"/>
            </w:rPr>
            <w:t xml:space="preserve">Page: </w:t>
          </w:r>
          <w:r w:rsidRPr="005B12E1">
            <w:rPr>
              <w:sz w:val="20"/>
            </w:rPr>
            <w:fldChar w:fldCharType="begin"/>
          </w:r>
          <w:r w:rsidRPr="005B12E1">
            <w:rPr>
              <w:sz w:val="20"/>
              <w:lang w:val="en-GB"/>
            </w:rPr>
            <w:instrText xml:space="preserve"> PAGE  \* MERGEFORMAT </w:instrText>
          </w:r>
          <w:r w:rsidRPr="005B12E1">
            <w:rPr>
              <w:sz w:val="20"/>
            </w:rPr>
            <w:fldChar w:fldCharType="separate"/>
          </w:r>
          <w:r w:rsidRPr="00023E52">
            <w:rPr>
              <w:noProof/>
              <w:sz w:val="20"/>
              <w:lang w:val="en-US" w:eastAsia="en-US" w:bidi="ar-SA"/>
            </w:rPr>
            <w:t>127</w:t>
          </w:r>
          <w:r w:rsidRPr="005B12E1">
            <w:rPr>
              <w:sz w:val="20"/>
            </w:rPr>
            <w:fldChar w:fldCharType="end"/>
          </w:r>
          <w:r w:rsidRPr="005B12E1">
            <w:rPr>
              <w:sz w:val="20"/>
              <w:lang w:val="en-GB"/>
            </w:rPr>
            <w:t xml:space="preserve"> of </w:t>
          </w:r>
          <w:r w:rsidRPr="005B12E1">
            <w:rPr>
              <w:sz w:val="20"/>
            </w:rPr>
            <w:fldChar w:fldCharType="begin"/>
          </w:r>
          <w:r w:rsidRPr="005B12E1">
            <w:rPr>
              <w:sz w:val="20"/>
              <w:lang w:val="en-GB"/>
            </w:rPr>
            <w:instrText xml:space="preserve"> NUMPAGES  \* MERGEFORMAT </w:instrText>
          </w:r>
          <w:r w:rsidRPr="005B12E1">
            <w:rPr>
              <w:sz w:val="20"/>
            </w:rPr>
            <w:fldChar w:fldCharType="separate"/>
          </w:r>
          <w:r w:rsidRPr="00023E52">
            <w:rPr>
              <w:noProof/>
              <w:sz w:val="20"/>
              <w:lang w:val="en-US" w:eastAsia="en-US" w:bidi="ar-SA"/>
            </w:rPr>
            <w:t>127</w:t>
          </w:r>
          <w:r w:rsidRPr="005B12E1">
            <w:rPr>
              <w:sz w:val="20"/>
            </w:rPr>
            <w:fldChar w:fldCharType="end"/>
          </w:r>
        </w:p>
      </w:tc>
    </w:tr>
  </w:tbl>
  <w:p w:rsidR="00572B9E" w:rsidP="00572B9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864C89"/>
    <w:multiLevelType w:val="multilevel"/>
    <w:tmpl w:val="F05A5248"/>
    <w:lvl w:ilvl="0">
      <w:start w:val="2"/>
      <w:numFmt w:val="decimal"/>
      <w:lvlText w:val="%1"/>
      <w:lvlJc w:val="left"/>
      <w:pPr>
        <w:ind w:left="480" w:hanging="480"/>
      </w:pPr>
      <w:rPr>
        <w:rFonts w:ascii="Times New Roman" w:eastAsia="Times New Roman" w:hAnsi="Times New Roman" w:cs="Times New Roman" w:hint="default"/>
        <w:color w:val="0000FF"/>
        <w:sz w:val="24"/>
        <w:u w:val="single"/>
      </w:rPr>
    </w:lvl>
    <w:lvl w:ilvl="1">
      <w:start w:val="1"/>
      <w:numFmt w:val="decimal"/>
      <w:lvlText w:val="%1.%2"/>
      <w:lvlJc w:val="left"/>
      <w:pPr>
        <w:ind w:left="480" w:hanging="480"/>
      </w:pPr>
      <w:rPr>
        <w:rFonts w:ascii="Times New Roman" w:eastAsia="Times New Roman" w:hAnsi="Times New Roman" w:cs="Times New Roman" w:hint="default"/>
        <w:color w:val="0000FF"/>
        <w:sz w:val="24"/>
        <w:u w:val="single"/>
      </w:rPr>
    </w:lvl>
    <w:lvl w:ilvl="2">
      <w:start w:val="1"/>
      <w:numFmt w:val="decimal"/>
      <w:lvlText w:val="%1.%2.%3"/>
      <w:lvlJc w:val="left"/>
      <w:pPr>
        <w:ind w:left="720" w:hanging="720"/>
      </w:pPr>
      <w:rPr>
        <w:rFonts w:ascii="Times New Roman" w:eastAsia="Times New Roman" w:hAnsi="Times New Roman" w:cs="Times New Roman" w:hint="default"/>
        <w:color w:val="0000FF"/>
        <w:sz w:val="24"/>
        <w:u w:val="single"/>
      </w:rPr>
    </w:lvl>
    <w:lvl w:ilvl="3">
      <w:start w:val="1"/>
      <w:numFmt w:val="decimal"/>
      <w:lvlText w:val="%1.%2.%3.%4"/>
      <w:lvlJc w:val="left"/>
      <w:pPr>
        <w:ind w:left="1080" w:hanging="1080"/>
      </w:pPr>
      <w:rPr>
        <w:rFonts w:ascii="Times New Roman" w:eastAsia="Times New Roman" w:hAnsi="Times New Roman" w:cs="Times New Roman" w:hint="default"/>
        <w:color w:val="0000FF"/>
        <w:sz w:val="24"/>
        <w:u w:val="single"/>
      </w:rPr>
    </w:lvl>
    <w:lvl w:ilvl="4">
      <w:start w:val="1"/>
      <w:numFmt w:val="decimal"/>
      <w:lvlText w:val="%1.%2.%3.%4.%5"/>
      <w:lvlJc w:val="left"/>
      <w:pPr>
        <w:ind w:left="1080" w:hanging="1080"/>
      </w:pPr>
      <w:rPr>
        <w:rFonts w:ascii="Times New Roman" w:eastAsia="Times New Roman" w:hAnsi="Times New Roman" w:cs="Times New Roman" w:hint="default"/>
        <w:color w:val="0000FF"/>
        <w:sz w:val="24"/>
        <w:u w:val="single"/>
      </w:rPr>
    </w:lvl>
    <w:lvl w:ilvl="5">
      <w:start w:val="1"/>
      <w:numFmt w:val="decimal"/>
      <w:lvlText w:val="%1.%2.%3.%4.%5.%6"/>
      <w:lvlJc w:val="left"/>
      <w:pPr>
        <w:ind w:left="1440" w:hanging="1440"/>
      </w:pPr>
      <w:rPr>
        <w:rFonts w:ascii="Times New Roman" w:eastAsia="Times New Roman" w:hAnsi="Times New Roman" w:cs="Times New Roman" w:hint="default"/>
        <w:color w:val="0000FF"/>
        <w:sz w:val="24"/>
        <w:u w:val="single"/>
      </w:rPr>
    </w:lvl>
    <w:lvl w:ilvl="6">
      <w:start w:val="1"/>
      <w:numFmt w:val="decimal"/>
      <w:lvlText w:val="%1.%2.%3.%4.%5.%6.%7"/>
      <w:lvlJc w:val="left"/>
      <w:pPr>
        <w:ind w:left="1440" w:hanging="1440"/>
      </w:pPr>
      <w:rPr>
        <w:rFonts w:ascii="Times New Roman" w:eastAsia="Times New Roman" w:hAnsi="Times New Roman" w:cs="Times New Roman" w:hint="default"/>
        <w:color w:val="0000FF"/>
        <w:sz w:val="24"/>
        <w:u w:val="single"/>
      </w:rPr>
    </w:lvl>
    <w:lvl w:ilvl="7">
      <w:start w:val="1"/>
      <w:numFmt w:val="decimal"/>
      <w:lvlText w:val="%1.%2.%3.%4.%5.%6.%7.%8"/>
      <w:lvlJc w:val="left"/>
      <w:pPr>
        <w:ind w:left="1800" w:hanging="1800"/>
      </w:pPr>
      <w:rPr>
        <w:rFonts w:ascii="Times New Roman" w:eastAsia="Times New Roman" w:hAnsi="Times New Roman" w:cs="Times New Roman" w:hint="default"/>
        <w:color w:val="0000FF"/>
        <w:sz w:val="24"/>
        <w:u w:val="single"/>
      </w:rPr>
    </w:lvl>
    <w:lvl w:ilvl="8">
      <w:start w:val="1"/>
      <w:numFmt w:val="decimal"/>
      <w:lvlText w:val="%1.%2.%3.%4.%5.%6.%7.%8.%9"/>
      <w:lvlJc w:val="left"/>
      <w:pPr>
        <w:ind w:left="2160" w:hanging="2160"/>
      </w:pPr>
      <w:rPr>
        <w:rFonts w:ascii="Times New Roman" w:eastAsia="Times New Roman" w:hAnsi="Times New Roman" w:cs="Times New Roman" w:hint="default"/>
        <w:color w:val="0000FF"/>
        <w:sz w:val="24"/>
        <w:u w:val="single"/>
      </w:rPr>
    </w:lvl>
  </w:abstractNum>
  <w:abstractNum w:abstractNumId="1">
    <w:nsid w:val="059D7AB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99001B7"/>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0C2E7AB9"/>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24213ED9"/>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30184E32"/>
    <w:multiLevelType w:val="multilevel"/>
    <w:tmpl w:val="1180973C"/>
    <w:lvl w:ilvl="0">
      <w:start w:val="1"/>
      <w:numFmt w:val="none"/>
      <w:lvlText w:val="%1"/>
      <w:lvlJc w:val="left"/>
      <w:pPr>
        <w:tabs>
          <w:tab w:val="num" w:pos="432"/>
        </w:tabs>
        <w:ind w:left="432" w:firstLine="0"/>
      </w:pPr>
      <w:rPr>
        <w:rFonts w:hint="default"/>
        <w:b/>
        <w:sz w:val="28"/>
      </w:rPr>
    </w:lvl>
    <w:lvl w:ilvl="1">
      <w:start w:val="1"/>
      <w:numFmt w:val="none"/>
      <w:lvlText w:val="%1"/>
      <w:lvlJc w:val="left"/>
      <w:pPr>
        <w:tabs>
          <w:tab w:val="num" w:pos="1339"/>
        </w:tabs>
        <w:ind w:left="1339" w:hanging="907"/>
      </w:pPr>
      <w:rPr>
        <w:rFonts w:hint="default"/>
        <w:b/>
      </w:rPr>
    </w:lvl>
    <w:lvl w:ilvl="2">
      <w:start w:val="1"/>
      <w:numFmt w:val="none"/>
      <w:lvlText w:val="%1"/>
      <w:lvlJc w:val="left"/>
      <w:pPr>
        <w:tabs>
          <w:tab w:val="num" w:pos="1339"/>
        </w:tabs>
        <w:ind w:left="1339" w:hanging="907"/>
      </w:pPr>
      <w:rPr>
        <w:rFonts w:hint="default"/>
        <w:b/>
      </w:rPr>
    </w:lvl>
    <w:lvl w:ilvl="3">
      <w:start w:val="1"/>
      <w:numFmt w:val="decimal"/>
      <w:lvlText w:val="%1.%2.%3.%4"/>
      <w:lvlJc w:val="left"/>
      <w:pPr>
        <w:tabs>
          <w:tab w:val="num" w:pos="432"/>
        </w:tabs>
        <w:ind w:left="1339" w:hanging="864"/>
      </w:pPr>
      <w:rPr>
        <w:rFonts w:hint="default"/>
      </w:rPr>
    </w:lvl>
    <w:lvl w:ilvl="4">
      <w:start w:val="1"/>
      <w:numFmt w:val="decimal"/>
      <w:lvlText w:val="%1.%2.%3.%4.%5"/>
      <w:lvlJc w:val="left"/>
      <w:pPr>
        <w:tabs>
          <w:tab w:val="num" w:pos="432"/>
        </w:tabs>
        <w:ind w:left="1339" w:hanging="1008"/>
      </w:pPr>
      <w:rPr>
        <w:rFonts w:hint="default"/>
      </w:rPr>
    </w:lvl>
    <w:lvl w:ilvl="5">
      <w:start w:val="1"/>
      <w:numFmt w:val="decimal"/>
      <w:lvlText w:val="%1.%2.%3.%4.%5.%6"/>
      <w:lvlJc w:val="left"/>
      <w:pPr>
        <w:tabs>
          <w:tab w:val="num" w:pos="432"/>
        </w:tabs>
        <w:ind w:left="1584" w:hanging="1152"/>
      </w:pPr>
      <w:rPr>
        <w:rFonts w:hint="default"/>
      </w:rPr>
    </w:lvl>
    <w:lvl w:ilvl="6">
      <w:start w:val="1"/>
      <w:numFmt w:val="decimal"/>
      <w:lvlText w:val="%1.%2.%3.%4.%5.%6.%7"/>
      <w:lvlJc w:val="left"/>
      <w:pPr>
        <w:tabs>
          <w:tab w:val="num" w:pos="432"/>
        </w:tabs>
        <w:ind w:left="1728" w:hanging="1296"/>
      </w:pPr>
      <w:rPr>
        <w:rFonts w:hint="default"/>
      </w:rPr>
    </w:lvl>
    <w:lvl w:ilvl="7">
      <w:start w:val="1"/>
      <w:numFmt w:val="decimal"/>
      <w:lvlText w:val="%1.%2.%3.%4.%5.%6.%7.%8"/>
      <w:lvlJc w:val="left"/>
      <w:pPr>
        <w:tabs>
          <w:tab w:val="num" w:pos="432"/>
        </w:tabs>
        <w:ind w:left="1872" w:hanging="1440"/>
      </w:pPr>
      <w:rPr>
        <w:rFonts w:hint="default"/>
      </w:rPr>
    </w:lvl>
    <w:lvl w:ilvl="8">
      <w:start w:val="1"/>
      <w:numFmt w:val="decimal"/>
      <w:lvlText w:val="%1.%2.%3.%4.%5.%6.%7.%8.%9"/>
      <w:lvlJc w:val="left"/>
      <w:pPr>
        <w:tabs>
          <w:tab w:val="num" w:pos="432"/>
        </w:tabs>
        <w:ind w:left="2016" w:hanging="1584"/>
      </w:pPr>
      <w:rPr>
        <w:rFonts w:hint="default"/>
      </w:rPr>
    </w:lvl>
  </w:abstractNum>
  <w:abstractNum w:abstractNumId="6">
    <w:nsid w:val="30B13C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275624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2814C3A"/>
    <w:multiLevelType w:val="singleLevel"/>
    <w:tmpl w:val="164A6F20"/>
    <w:lvl w:ilvl="0">
      <w:start w:val="1"/>
      <w:numFmt w:val="bullet"/>
      <w:pStyle w:val="Bullet2BayerBodyText"/>
      <w:lvlText w:val=""/>
      <w:lvlJc w:val="left"/>
      <w:pPr>
        <w:tabs>
          <w:tab w:val="num" w:pos="1778"/>
        </w:tabs>
        <w:ind w:left="1778" w:hanging="360"/>
      </w:pPr>
      <w:rPr>
        <w:rFonts w:ascii="Symbol" w:hAnsi="Symbol" w:hint="default"/>
      </w:rPr>
    </w:lvl>
  </w:abstractNum>
  <w:abstractNum w:abstractNumId="9">
    <w:nsid w:val="32965B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BEF0AC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3C0E1611"/>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E5D3010"/>
    <w:multiLevelType w:val="hybridMultilevel"/>
    <w:tmpl w:val="3740EB6E"/>
    <w:lvl w:ilvl="0">
      <w:start w:val="1"/>
      <w:numFmt w:val="bullet"/>
      <w:pStyle w:val="BulletBayerBodyTex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47B5DC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5AE83037"/>
    <w:multiLevelType w:val="multilevel"/>
    <w:tmpl w:val="FDA400E6"/>
    <w:lvl w:ilvl="0">
      <w:start w:val="1"/>
      <w:numFmt w:val="none"/>
      <w:pStyle w:val="Heading1"/>
      <w:lvlText w:val="%1."/>
      <w:lvlJc w:val="left"/>
      <w:pPr>
        <w:tabs>
          <w:tab w:val="num" w:pos="0"/>
        </w:tabs>
        <w:ind w:left="1134" w:hanging="1134"/>
      </w:pPr>
      <w:rPr>
        <w:rFonts w:hint="default"/>
        <w:b/>
        <w:sz w:val="28"/>
      </w:rPr>
    </w:lvl>
    <w:lvl w:ilvl="1">
      <w:start w:val="1"/>
      <w:numFmt w:val="decimal"/>
      <w:pStyle w:val="Heading2"/>
      <w:lvlText w:val="%1.%2"/>
      <w:lvlJc w:val="left"/>
      <w:pPr>
        <w:tabs>
          <w:tab w:val="num" w:pos="0"/>
        </w:tabs>
        <w:ind w:left="1134" w:hanging="1134"/>
      </w:pPr>
      <w:rPr>
        <w:rFonts w:hint="default"/>
        <w:b/>
      </w:rPr>
    </w:lvl>
    <w:lvl w:ilvl="2">
      <w:start w:val="1"/>
      <w:numFmt w:val="decimal"/>
      <w:pStyle w:val="Heading3"/>
      <w:lvlText w:val="%1.%2.%3"/>
      <w:lvlJc w:val="left"/>
      <w:pPr>
        <w:tabs>
          <w:tab w:val="num" w:pos="0"/>
        </w:tabs>
        <w:ind w:left="1134" w:hanging="1134"/>
      </w:pPr>
      <w:rPr>
        <w:rFonts w:hint="default"/>
        <w:b/>
      </w:rPr>
    </w:lvl>
    <w:lvl w:ilvl="3">
      <w:start w:val="1"/>
      <w:numFmt w:val="decimal"/>
      <w:pStyle w:val="Heading4"/>
      <w:lvlText w:val="%1.%2.%3.%4"/>
      <w:lvlJc w:val="left"/>
      <w:pPr>
        <w:tabs>
          <w:tab w:val="num" w:pos="0"/>
        </w:tabs>
        <w:ind w:left="1134" w:hanging="1134"/>
      </w:pPr>
      <w:rPr>
        <w:rFonts w:hint="default"/>
      </w:rPr>
    </w:lvl>
    <w:lvl w:ilvl="4">
      <w:start w:val="1"/>
      <w:numFmt w:val="decimal"/>
      <w:pStyle w:val="Heading5"/>
      <w:lvlText w:val="%1.%2.%3.%4.%5"/>
      <w:lvlJc w:val="left"/>
      <w:pPr>
        <w:tabs>
          <w:tab w:val="num" w:pos="0"/>
        </w:tabs>
        <w:ind w:left="1134" w:hanging="1134"/>
      </w:pPr>
      <w:rPr>
        <w:rFonts w:hint="default"/>
      </w:rPr>
    </w:lvl>
    <w:lvl w:ilvl="5">
      <w:start w:val="1"/>
      <w:numFmt w:val="decimal"/>
      <w:pStyle w:val="Heading6"/>
      <w:lvlText w:val="%1.%2.%3.%4.%5.%6"/>
      <w:lvlJc w:val="left"/>
      <w:pPr>
        <w:tabs>
          <w:tab w:val="num" w:pos="0"/>
        </w:tabs>
        <w:ind w:left="1134" w:hanging="1134"/>
      </w:pPr>
      <w:rPr>
        <w:rFonts w:hint="default"/>
      </w:rPr>
    </w:lvl>
    <w:lvl w:ilvl="6">
      <w:start w:val="1"/>
      <w:numFmt w:val="decimal"/>
      <w:pStyle w:val="Heading7"/>
      <w:lvlText w:val="%1.%2.%3.%4.%5.%6.%7"/>
      <w:lvlJc w:val="left"/>
      <w:pPr>
        <w:tabs>
          <w:tab w:val="num" w:pos="0"/>
        </w:tabs>
        <w:ind w:left="1134" w:hanging="1134"/>
      </w:pPr>
      <w:rPr>
        <w:rFonts w:hint="default"/>
      </w:rPr>
    </w:lvl>
    <w:lvl w:ilvl="7">
      <w:start w:val="1"/>
      <w:numFmt w:val="decimal"/>
      <w:pStyle w:val="Heading8"/>
      <w:lvlText w:val="%1.%2.%3.%4.%5.%6.%7.%8"/>
      <w:lvlJc w:val="left"/>
      <w:pPr>
        <w:tabs>
          <w:tab w:val="num" w:pos="0"/>
        </w:tabs>
        <w:ind w:left="1134" w:hanging="1134"/>
      </w:pPr>
      <w:rPr>
        <w:rFonts w:hint="default"/>
      </w:rPr>
    </w:lvl>
    <w:lvl w:ilvl="8">
      <w:start w:val="1"/>
      <w:numFmt w:val="decimal"/>
      <w:pStyle w:val="Heading9"/>
      <w:lvlText w:val="%1.%2.%3.%4.%5.%6.%7.%8.%9"/>
      <w:lvlJc w:val="left"/>
      <w:pPr>
        <w:tabs>
          <w:tab w:val="num" w:pos="0"/>
        </w:tabs>
        <w:ind w:left="1134" w:hanging="1134"/>
      </w:pPr>
      <w:rPr>
        <w:rFonts w:hint="default"/>
      </w:rPr>
    </w:lvl>
  </w:abstractNum>
  <w:abstractNum w:abstractNumId="15">
    <w:nsid w:val="5C6851DD"/>
    <w:multiLevelType w:val="multilevel"/>
    <w:tmpl w:val="0AE445D6"/>
    <w:lvl w:ilvl="0">
      <w:start w:val="1"/>
      <w:numFmt w:val="none"/>
      <w:lvlText w:val="%1"/>
      <w:lvlJc w:val="left"/>
      <w:pPr>
        <w:tabs>
          <w:tab w:val="num" w:pos="0"/>
        </w:tabs>
        <w:ind w:left="0" w:firstLine="0"/>
      </w:pPr>
      <w:rPr>
        <w:rFonts w:hint="default"/>
        <w:b/>
        <w:sz w:val="28"/>
      </w:rPr>
    </w:lvl>
    <w:lvl w:ilvl="1">
      <w:start w:val="1"/>
      <w:numFmt w:val="none"/>
      <w:lvlText w:val="%1"/>
      <w:lvlJc w:val="left"/>
      <w:pPr>
        <w:tabs>
          <w:tab w:val="num" w:pos="907"/>
        </w:tabs>
        <w:ind w:left="907" w:hanging="907"/>
      </w:pPr>
      <w:rPr>
        <w:rFonts w:hint="default"/>
        <w:b/>
      </w:rPr>
    </w:lvl>
    <w:lvl w:ilvl="2">
      <w:start w:val="1"/>
      <w:numFmt w:val="none"/>
      <w:lvlText w:val="%1"/>
      <w:lvlJc w:val="left"/>
      <w:pPr>
        <w:tabs>
          <w:tab w:val="num" w:pos="907"/>
        </w:tabs>
        <w:ind w:left="907" w:hanging="907"/>
      </w:pPr>
      <w:rPr>
        <w:rFonts w:hint="default"/>
        <w:b/>
      </w:rPr>
    </w:lvl>
    <w:lvl w:ilvl="3">
      <w:start w:val="1"/>
      <w:numFmt w:val="decimal"/>
      <w:lvlText w:val="%1.%2.%3.%4"/>
      <w:lvlJc w:val="left"/>
      <w:pPr>
        <w:tabs>
          <w:tab w:val="num" w:pos="0"/>
        </w:tabs>
        <w:ind w:left="907" w:hanging="864"/>
      </w:pPr>
      <w:rPr>
        <w:rFonts w:hint="default"/>
      </w:rPr>
    </w:lvl>
    <w:lvl w:ilvl="4">
      <w:start w:val="1"/>
      <w:numFmt w:val="decimal"/>
      <w:lvlText w:val="%1.%2.%3.%4.%5"/>
      <w:lvlJc w:val="left"/>
      <w:pPr>
        <w:tabs>
          <w:tab w:val="num" w:pos="0"/>
        </w:tabs>
        <w:ind w:left="907"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6">
    <w:nsid w:val="61D90A07"/>
    <w:multiLevelType w:val="hybridMultilevel"/>
    <w:tmpl w:val="A46EB040"/>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27D2A9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6E8D546F"/>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702465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B5F4372"/>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7E513EE7"/>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8"/>
  </w:num>
  <w:num w:numId="2">
    <w:abstractNumId w:val="15"/>
  </w:num>
  <w:num w:numId="3">
    <w:abstractNumId w:val="5"/>
  </w:num>
  <w:num w:numId="4">
    <w:abstractNumId w:val="14"/>
  </w:num>
  <w:num w:numId="5">
    <w:abstractNumId w:val="6"/>
  </w:num>
  <w:num w:numId="6">
    <w:abstractNumId w:val="3"/>
  </w:num>
  <w:num w:numId="7">
    <w:abstractNumId w:val="20"/>
  </w:num>
  <w:num w:numId="8">
    <w:abstractNumId w:val="14"/>
  </w:num>
  <w:num w:numId="9">
    <w:abstractNumId w:val="8"/>
  </w:num>
  <w:num w:numId="10">
    <w:abstractNumId w:val="8"/>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14"/>
  </w:num>
  <w:num w:numId="19">
    <w:abstractNumId w:val="12"/>
  </w:num>
  <w:num w:numId="20">
    <w:abstractNumId w:val="11"/>
  </w:num>
  <w:num w:numId="21">
    <w:abstractNumId w:val="4"/>
  </w:num>
  <w:num w:numId="22">
    <w:abstractNumId w:val="9"/>
  </w:num>
  <w:num w:numId="23">
    <w:abstractNumId w:val="17"/>
  </w:num>
  <w:num w:numId="24">
    <w:abstractNumId w:val="10"/>
  </w:num>
  <w:num w:numId="25">
    <w:abstractNumId w:val="7"/>
  </w:num>
  <w:num w:numId="26">
    <w:abstractNumId w:val="21"/>
  </w:num>
  <w:num w:numId="27">
    <w:abstractNumId w:val="13"/>
  </w:num>
  <w:num w:numId="28">
    <w:abstractNumId w:val="2"/>
  </w:num>
  <w:num w:numId="29">
    <w:abstractNumId w:val="18"/>
  </w:num>
  <w:num w:numId="30">
    <w:abstractNumId w:val="0"/>
  </w:num>
  <w:num w:numId="31">
    <w:abstractNumId w:val="1"/>
  </w:num>
  <w:num w:numId="32">
    <w:abstractNumId w:val="19"/>
  </w:num>
  <w:num w:numId="33">
    <w:abstractNumId w:val="14"/>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GrammaticalErrors/>
  <w:zoom w:percent="120"/>
  <w:displayBackgroundShape/>
  <w:proofState w:spelling="clean" w:grammar="clean"/>
  <w:attachedTemplate r:id="rId1"/>
  <w:stylePaneFormatFilter w:val="BF01" w:allStyles="1" w:alternateStyleNames="1"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lickAndTypeStyle w:val="BayerBodyTextFull"/>
  <w:hyphenationZone w:val="425"/>
  <w:drawingGridHorizontalSpacing w:val="120"/>
  <w:displayHorizontalDrawingGridEvery w:val="0"/>
  <w:displayVerticalDrawingGridEvery w:val="0"/>
  <w:noPunctuationKerning/>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B9E"/>
    <w:rsid w:val="000009FB"/>
    <w:rsid w:val="00020BB7"/>
    <w:rsid w:val="00023E52"/>
    <w:rsid w:val="0002673B"/>
    <w:rsid w:val="000311BA"/>
    <w:rsid w:val="00035906"/>
    <w:rsid w:val="0003699C"/>
    <w:rsid w:val="00042D79"/>
    <w:rsid w:val="00055F53"/>
    <w:rsid w:val="00056E7F"/>
    <w:rsid w:val="00057F8D"/>
    <w:rsid w:val="000656FB"/>
    <w:rsid w:val="00067C58"/>
    <w:rsid w:val="00075BCE"/>
    <w:rsid w:val="000857A1"/>
    <w:rsid w:val="00085BC1"/>
    <w:rsid w:val="000862F6"/>
    <w:rsid w:val="00093C55"/>
    <w:rsid w:val="00094BE0"/>
    <w:rsid w:val="00096909"/>
    <w:rsid w:val="000A6F5B"/>
    <w:rsid w:val="000B203B"/>
    <w:rsid w:val="000B3AD5"/>
    <w:rsid w:val="000D4FC7"/>
    <w:rsid w:val="000E2C1E"/>
    <w:rsid w:val="000E4663"/>
    <w:rsid w:val="000F1721"/>
    <w:rsid w:val="000F4073"/>
    <w:rsid w:val="00101B05"/>
    <w:rsid w:val="00104CEB"/>
    <w:rsid w:val="00110BD5"/>
    <w:rsid w:val="00111289"/>
    <w:rsid w:val="00111FAD"/>
    <w:rsid w:val="00115EFF"/>
    <w:rsid w:val="00122016"/>
    <w:rsid w:val="00127071"/>
    <w:rsid w:val="00127F62"/>
    <w:rsid w:val="001341A1"/>
    <w:rsid w:val="00140235"/>
    <w:rsid w:val="00145109"/>
    <w:rsid w:val="0017234D"/>
    <w:rsid w:val="001765A3"/>
    <w:rsid w:val="0018798C"/>
    <w:rsid w:val="00190070"/>
    <w:rsid w:val="00194000"/>
    <w:rsid w:val="001A6270"/>
    <w:rsid w:val="001B6F2A"/>
    <w:rsid w:val="001D0430"/>
    <w:rsid w:val="001D23F6"/>
    <w:rsid w:val="001E2948"/>
    <w:rsid w:val="001E452F"/>
    <w:rsid w:val="001F2A51"/>
    <w:rsid w:val="001F5E9E"/>
    <w:rsid w:val="001F6631"/>
    <w:rsid w:val="00215E91"/>
    <w:rsid w:val="0022411C"/>
    <w:rsid w:val="00224D24"/>
    <w:rsid w:val="00224D69"/>
    <w:rsid w:val="00230255"/>
    <w:rsid w:val="002330B7"/>
    <w:rsid w:val="00235F6F"/>
    <w:rsid w:val="00243C03"/>
    <w:rsid w:val="002440C3"/>
    <w:rsid w:val="00245EE7"/>
    <w:rsid w:val="00255977"/>
    <w:rsid w:val="0025729D"/>
    <w:rsid w:val="00261A26"/>
    <w:rsid w:val="0026438C"/>
    <w:rsid w:val="00267BEA"/>
    <w:rsid w:val="00272030"/>
    <w:rsid w:val="00272D59"/>
    <w:rsid w:val="00275E6E"/>
    <w:rsid w:val="00282524"/>
    <w:rsid w:val="0028303F"/>
    <w:rsid w:val="00284E24"/>
    <w:rsid w:val="002877F9"/>
    <w:rsid w:val="002913B6"/>
    <w:rsid w:val="00294C0C"/>
    <w:rsid w:val="002A73CE"/>
    <w:rsid w:val="002A7758"/>
    <w:rsid w:val="002B482B"/>
    <w:rsid w:val="002B555D"/>
    <w:rsid w:val="002C27D5"/>
    <w:rsid w:val="002C56DA"/>
    <w:rsid w:val="002C6C07"/>
    <w:rsid w:val="002C7EEB"/>
    <w:rsid w:val="002D372F"/>
    <w:rsid w:val="002D3966"/>
    <w:rsid w:val="002D4A22"/>
    <w:rsid w:val="002D5C55"/>
    <w:rsid w:val="002D6744"/>
    <w:rsid w:val="002E0C06"/>
    <w:rsid w:val="002E2768"/>
    <w:rsid w:val="002E2B6F"/>
    <w:rsid w:val="003035E9"/>
    <w:rsid w:val="00305919"/>
    <w:rsid w:val="00307E41"/>
    <w:rsid w:val="00310871"/>
    <w:rsid w:val="00323070"/>
    <w:rsid w:val="00326680"/>
    <w:rsid w:val="00330B81"/>
    <w:rsid w:val="00332529"/>
    <w:rsid w:val="00332E07"/>
    <w:rsid w:val="00344370"/>
    <w:rsid w:val="00350727"/>
    <w:rsid w:val="00350BDA"/>
    <w:rsid w:val="00354875"/>
    <w:rsid w:val="00354BF2"/>
    <w:rsid w:val="00377004"/>
    <w:rsid w:val="00377A85"/>
    <w:rsid w:val="00391357"/>
    <w:rsid w:val="00394661"/>
    <w:rsid w:val="00396255"/>
    <w:rsid w:val="003B2EF0"/>
    <w:rsid w:val="003B506A"/>
    <w:rsid w:val="003B5E62"/>
    <w:rsid w:val="003B74C4"/>
    <w:rsid w:val="003C58FC"/>
    <w:rsid w:val="003D1EE2"/>
    <w:rsid w:val="003E4F8A"/>
    <w:rsid w:val="003E57A1"/>
    <w:rsid w:val="003E6F95"/>
    <w:rsid w:val="00406EDD"/>
    <w:rsid w:val="00412B33"/>
    <w:rsid w:val="00417A7C"/>
    <w:rsid w:val="0042142E"/>
    <w:rsid w:val="0042636D"/>
    <w:rsid w:val="00431121"/>
    <w:rsid w:val="00432B1A"/>
    <w:rsid w:val="00442FE1"/>
    <w:rsid w:val="00453249"/>
    <w:rsid w:val="00455C3C"/>
    <w:rsid w:val="00456FFE"/>
    <w:rsid w:val="00457234"/>
    <w:rsid w:val="00461B1D"/>
    <w:rsid w:val="00467871"/>
    <w:rsid w:val="00467C73"/>
    <w:rsid w:val="00470C2E"/>
    <w:rsid w:val="004720DE"/>
    <w:rsid w:val="00491BB2"/>
    <w:rsid w:val="00495B45"/>
    <w:rsid w:val="004A48D6"/>
    <w:rsid w:val="004B0FDE"/>
    <w:rsid w:val="004D3CD0"/>
    <w:rsid w:val="004D3F67"/>
    <w:rsid w:val="004E69BC"/>
    <w:rsid w:val="004F0089"/>
    <w:rsid w:val="004F06ED"/>
    <w:rsid w:val="004F382E"/>
    <w:rsid w:val="005032B1"/>
    <w:rsid w:val="00514BEA"/>
    <w:rsid w:val="00526D83"/>
    <w:rsid w:val="0054251D"/>
    <w:rsid w:val="00544090"/>
    <w:rsid w:val="00550EAA"/>
    <w:rsid w:val="0055685C"/>
    <w:rsid w:val="005712F1"/>
    <w:rsid w:val="00572B9E"/>
    <w:rsid w:val="005828BD"/>
    <w:rsid w:val="005925F0"/>
    <w:rsid w:val="00597133"/>
    <w:rsid w:val="005A4BE3"/>
    <w:rsid w:val="005A61E6"/>
    <w:rsid w:val="005B12E1"/>
    <w:rsid w:val="005B20E8"/>
    <w:rsid w:val="005B4C64"/>
    <w:rsid w:val="005B6DC4"/>
    <w:rsid w:val="005C266B"/>
    <w:rsid w:val="005C2ED4"/>
    <w:rsid w:val="005C376D"/>
    <w:rsid w:val="005C56C9"/>
    <w:rsid w:val="005D4BEE"/>
    <w:rsid w:val="005D531F"/>
    <w:rsid w:val="005E7E2B"/>
    <w:rsid w:val="005F5595"/>
    <w:rsid w:val="00604A93"/>
    <w:rsid w:val="00604F10"/>
    <w:rsid w:val="00610D5B"/>
    <w:rsid w:val="00615211"/>
    <w:rsid w:val="0063016D"/>
    <w:rsid w:val="006333CA"/>
    <w:rsid w:val="006358E2"/>
    <w:rsid w:val="00636C86"/>
    <w:rsid w:val="00643442"/>
    <w:rsid w:val="00644BC7"/>
    <w:rsid w:val="00650FC8"/>
    <w:rsid w:val="00661631"/>
    <w:rsid w:val="00663C33"/>
    <w:rsid w:val="006708B6"/>
    <w:rsid w:val="0068438A"/>
    <w:rsid w:val="006A03F5"/>
    <w:rsid w:val="006A3F19"/>
    <w:rsid w:val="006B1C55"/>
    <w:rsid w:val="006B60D6"/>
    <w:rsid w:val="006B677F"/>
    <w:rsid w:val="006C57C7"/>
    <w:rsid w:val="006C7655"/>
    <w:rsid w:val="006D10B9"/>
    <w:rsid w:val="006D45F3"/>
    <w:rsid w:val="006E049E"/>
    <w:rsid w:val="006E1D8E"/>
    <w:rsid w:val="006F06E8"/>
    <w:rsid w:val="006F16EF"/>
    <w:rsid w:val="006F4EB3"/>
    <w:rsid w:val="006F51BF"/>
    <w:rsid w:val="00700D20"/>
    <w:rsid w:val="007045AA"/>
    <w:rsid w:val="00711862"/>
    <w:rsid w:val="0071573E"/>
    <w:rsid w:val="00715CF0"/>
    <w:rsid w:val="00734B46"/>
    <w:rsid w:val="0073677A"/>
    <w:rsid w:val="00752CA3"/>
    <w:rsid w:val="00763EB8"/>
    <w:rsid w:val="00774F36"/>
    <w:rsid w:val="00784C0B"/>
    <w:rsid w:val="00790C8C"/>
    <w:rsid w:val="00797D3B"/>
    <w:rsid w:val="007A1620"/>
    <w:rsid w:val="007C00D4"/>
    <w:rsid w:val="007C3ED6"/>
    <w:rsid w:val="007C3EEC"/>
    <w:rsid w:val="007D402E"/>
    <w:rsid w:val="007D54AF"/>
    <w:rsid w:val="007E1B7C"/>
    <w:rsid w:val="007E1FA4"/>
    <w:rsid w:val="007E7206"/>
    <w:rsid w:val="007F02C5"/>
    <w:rsid w:val="007F1E57"/>
    <w:rsid w:val="007F6B59"/>
    <w:rsid w:val="00805223"/>
    <w:rsid w:val="00805BFE"/>
    <w:rsid w:val="008104CF"/>
    <w:rsid w:val="00811288"/>
    <w:rsid w:val="008150AD"/>
    <w:rsid w:val="00823B63"/>
    <w:rsid w:val="00824074"/>
    <w:rsid w:val="00827926"/>
    <w:rsid w:val="0083497C"/>
    <w:rsid w:val="0083708A"/>
    <w:rsid w:val="00851CC0"/>
    <w:rsid w:val="008555BD"/>
    <w:rsid w:val="00865254"/>
    <w:rsid w:val="00865799"/>
    <w:rsid w:val="00871A9E"/>
    <w:rsid w:val="008741D9"/>
    <w:rsid w:val="00882552"/>
    <w:rsid w:val="0089327A"/>
    <w:rsid w:val="008A221E"/>
    <w:rsid w:val="008A3B78"/>
    <w:rsid w:val="008A434E"/>
    <w:rsid w:val="008A4686"/>
    <w:rsid w:val="008A6CAC"/>
    <w:rsid w:val="008B6A84"/>
    <w:rsid w:val="008D1195"/>
    <w:rsid w:val="008E4A22"/>
    <w:rsid w:val="008F54E2"/>
    <w:rsid w:val="009071DA"/>
    <w:rsid w:val="00912FAB"/>
    <w:rsid w:val="00914744"/>
    <w:rsid w:val="009149F0"/>
    <w:rsid w:val="00916212"/>
    <w:rsid w:val="009219A8"/>
    <w:rsid w:val="00942FE9"/>
    <w:rsid w:val="00947547"/>
    <w:rsid w:val="00960C0D"/>
    <w:rsid w:val="00962BFF"/>
    <w:rsid w:val="00970684"/>
    <w:rsid w:val="00972991"/>
    <w:rsid w:val="00976EA0"/>
    <w:rsid w:val="0099465E"/>
    <w:rsid w:val="009A0221"/>
    <w:rsid w:val="009A6A51"/>
    <w:rsid w:val="009B19FD"/>
    <w:rsid w:val="009B305D"/>
    <w:rsid w:val="009B65F0"/>
    <w:rsid w:val="009B79A1"/>
    <w:rsid w:val="009C24D6"/>
    <w:rsid w:val="009D3FE7"/>
    <w:rsid w:val="009D3FEF"/>
    <w:rsid w:val="009D4BE1"/>
    <w:rsid w:val="009E232D"/>
    <w:rsid w:val="009E249F"/>
    <w:rsid w:val="009E3B8E"/>
    <w:rsid w:val="009E5784"/>
    <w:rsid w:val="009E7F1D"/>
    <w:rsid w:val="00A05CB3"/>
    <w:rsid w:val="00A142DB"/>
    <w:rsid w:val="00A20EF1"/>
    <w:rsid w:val="00A4342A"/>
    <w:rsid w:val="00A53E33"/>
    <w:rsid w:val="00A56344"/>
    <w:rsid w:val="00A61361"/>
    <w:rsid w:val="00A667EB"/>
    <w:rsid w:val="00A67DDC"/>
    <w:rsid w:val="00A716A7"/>
    <w:rsid w:val="00A74FA1"/>
    <w:rsid w:val="00A777DF"/>
    <w:rsid w:val="00A80D35"/>
    <w:rsid w:val="00A8574C"/>
    <w:rsid w:val="00AA1BDF"/>
    <w:rsid w:val="00AC7DD1"/>
    <w:rsid w:val="00AD0CF7"/>
    <w:rsid w:val="00AD1C8C"/>
    <w:rsid w:val="00AD4AF7"/>
    <w:rsid w:val="00AE0354"/>
    <w:rsid w:val="00AE3E4E"/>
    <w:rsid w:val="00AE787C"/>
    <w:rsid w:val="00AF2ABC"/>
    <w:rsid w:val="00AF6F25"/>
    <w:rsid w:val="00B02F8E"/>
    <w:rsid w:val="00B171FB"/>
    <w:rsid w:val="00B1729C"/>
    <w:rsid w:val="00B17A26"/>
    <w:rsid w:val="00B26A96"/>
    <w:rsid w:val="00B273E5"/>
    <w:rsid w:val="00B40D0C"/>
    <w:rsid w:val="00B41416"/>
    <w:rsid w:val="00B471AB"/>
    <w:rsid w:val="00B5453A"/>
    <w:rsid w:val="00B54C3C"/>
    <w:rsid w:val="00B61F8E"/>
    <w:rsid w:val="00B71AD8"/>
    <w:rsid w:val="00B87098"/>
    <w:rsid w:val="00B90152"/>
    <w:rsid w:val="00B90685"/>
    <w:rsid w:val="00B94DFC"/>
    <w:rsid w:val="00BA0088"/>
    <w:rsid w:val="00BA7995"/>
    <w:rsid w:val="00BB0503"/>
    <w:rsid w:val="00BB422A"/>
    <w:rsid w:val="00BC1606"/>
    <w:rsid w:val="00BD0344"/>
    <w:rsid w:val="00BD3FAA"/>
    <w:rsid w:val="00BD5047"/>
    <w:rsid w:val="00BD5CDD"/>
    <w:rsid w:val="00BD61FD"/>
    <w:rsid w:val="00BE070D"/>
    <w:rsid w:val="00BE6B57"/>
    <w:rsid w:val="00BE7299"/>
    <w:rsid w:val="00BF3454"/>
    <w:rsid w:val="00BF62D3"/>
    <w:rsid w:val="00BF72AA"/>
    <w:rsid w:val="00C111BE"/>
    <w:rsid w:val="00C1173B"/>
    <w:rsid w:val="00C17065"/>
    <w:rsid w:val="00C17C02"/>
    <w:rsid w:val="00C21350"/>
    <w:rsid w:val="00C251DB"/>
    <w:rsid w:val="00C269CC"/>
    <w:rsid w:val="00C35D38"/>
    <w:rsid w:val="00C3727A"/>
    <w:rsid w:val="00C46E8A"/>
    <w:rsid w:val="00C63E6B"/>
    <w:rsid w:val="00C72449"/>
    <w:rsid w:val="00C76B63"/>
    <w:rsid w:val="00C8608C"/>
    <w:rsid w:val="00C8641B"/>
    <w:rsid w:val="00CC1CA0"/>
    <w:rsid w:val="00CE389B"/>
    <w:rsid w:val="00CE3DCA"/>
    <w:rsid w:val="00D040F3"/>
    <w:rsid w:val="00D04792"/>
    <w:rsid w:val="00D04F53"/>
    <w:rsid w:val="00D068C0"/>
    <w:rsid w:val="00D13955"/>
    <w:rsid w:val="00D15D3B"/>
    <w:rsid w:val="00D17718"/>
    <w:rsid w:val="00D30789"/>
    <w:rsid w:val="00D43C57"/>
    <w:rsid w:val="00D441DF"/>
    <w:rsid w:val="00D62457"/>
    <w:rsid w:val="00D70461"/>
    <w:rsid w:val="00D71FA5"/>
    <w:rsid w:val="00D760FF"/>
    <w:rsid w:val="00D9163B"/>
    <w:rsid w:val="00DA7991"/>
    <w:rsid w:val="00DB1404"/>
    <w:rsid w:val="00DC2D8C"/>
    <w:rsid w:val="00DD3243"/>
    <w:rsid w:val="00DD6FE7"/>
    <w:rsid w:val="00DD7CF6"/>
    <w:rsid w:val="00DE05E9"/>
    <w:rsid w:val="00DF576E"/>
    <w:rsid w:val="00DF78BA"/>
    <w:rsid w:val="00DF7F7D"/>
    <w:rsid w:val="00E01383"/>
    <w:rsid w:val="00E04530"/>
    <w:rsid w:val="00E067D0"/>
    <w:rsid w:val="00E0754F"/>
    <w:rsid w:val="00E15B85"/>
    <w:rsid w:val="00E23201"/>
    <w:rsid w:val="00E41A4B"/>
    <w:rsid w:val="00E461BC"/>
    <w:rsid w:val="00E462DB"/>
    <w:rsid w:val="00E62861"/>
    <w:rsid w:val="00E66E14"/>
    <w:rsid w:val="00E67943"/>
    <w:rsid w:val="00E81152"/>
    <w:rsid w:val="00E93F8A"/>
    <w:rsid w:val="00E9797D"/>
    <w:rsid w:val="00EA40B3"/>
    <w:rsid w:val="00EA54C6"/>
    <w:rsid w:val="00EA741E"/>
    <w:rsid w:val="00EA79CF"/>
    <w:rsid w:val="00ED6405"/>
    <w:rsid w:val="00EE072C"/>
    <w:rsid w:val="00EF03DD"/>
    <w:rsid w:val="00EF4166"/>
    <w:rsid w:val="00EF664A"/>
    <w:rsid w:val="00F029F6"/>
    <w:rsid w:val="00F06AA4"/>
    <w:rsid w:val="00F06ED1"/>
    <w:rsid w:val="00F11CED"/>
    <w:rsid w:val="00F16F06"/>
    <w:rsid w:val="00F20F60"/>
    <w:rsid w:val="00F24772"/>
    <w:rsid w:val="00F40126"/>
    <w:rsid w:val="00F40252"/>
    <w:rsid w:val="00F4270C"/>
    <w:rsid w:val="00F431C7"/>
    <w:rsid w:val="00F56644"/>
    <w:rsid w:val="00F603E0"/>
    <w:rsid w:val="00F62D62"/>
    <w:rsid w:val="00F646E6"/>
    <w:rsid w:val="00F6693F"/>
    <w:rsid w:val="00F70B1D"/>
    <w:rsid w:val="00F772E8"/>
    <w:rsid w:val="00F87DE0"/>
    <w:rsid w:val="00F9510C"/>
    <w:rsid w:val="00F96127"/>
    <w:rsid w:val="00FA0420"/>
    <w:rsid w:val="00FA72FC"/>
    <w:rsid w:val="00FB554B"/>
    <w:rsid w:val="00FC0747"/>
    <w:rsid w:val="00FC1221"/>
    <w:rsid w:val="00FC13AD"/>
    <w:rsid w:val="00FC651C"/>
    <w:rsid w:val="00FD22A9"/>
    <w:rsid w:val="00FF0BFD"/>
    <w:rsid w:val="00FF5663"/>
    <w:rsid w:val="00FF7D14"/>
  </w:rsids>
  <w:docVars>
    <w:docVar w:name="DOCX97_42" w:val="0 Footnotes"/>
    <w:docVar w:name="DOCX97_43" w:val="0 Endnotes"/>
    <w:docVar w:name="DOCX97_66" w:val="GoodQuotes"/>
    <w:docVar w:name="DOCX97_89" w:val="Word8MacrosDone"/>
    <w:docVar w:name="DOCX97_91" w:val="Bayer"/>
  </w:docVars>
  <m:mathPr>
    <m:mathFont m:val="Cambria Math"/>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5AD68ECB-3A48-44F0-B9BD-20110C55E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Message Header" w:semiHidden="1" w:unhideWhenUsed="1"/>
    <w:lsdException w:name="Subtitle" w:uiPriority="5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0"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uiPriority="0"/>
    <w:lsdException w:name="Table Grid" w:uiPriority="0"/>
    <w:lsdException w:name="Table Theme"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ayer Normal,Standard1"/>
    <w:qFormat/>
    <w:rsid w:val="00572B9E"/>
    <w:rPr>
      <w:sz w:val="24"/>
      <w:lang w:val="en-US" w:eastAsia="en-US"/>
    </w:rPr>
  </w:style>
  <w:style w:type="paragraph" w:styleId="Heading1">
    <w:name w:val="heading 1"/>
    <w:aliases w:val="Bayer-Heading 1"/>
    <w:basedOn w:val="Normal"/>
    <w:next w:val="BayerBodyTextFull"/>
    <w:qFormat/>
    <w:rsid w:val="00431121"/>
    <w:pPr>
      <w:keepNext/>
      <w:numPr>
        <w:ilvl w:val="0"/>
        <w:numId w:val="0"/>
      </w:numPr>
      <w:tabs>
        <w:tab w:val="left" w:pos="851"/>
      </w:tabs>
      <w:spacing w:before="240" w:after="120"/>
      <w:outlineLvl w:val="0"/>
    </w:pPr>
    <w:rPr>
      <w:b/>
      <w:kern w:val="28"/>
      <w:sz w:val="28"/>
    </w:rPr>
  </w:style>
  <w:style w:type="paragraph" w:styleId="Heading2">
    <w:name w:val="heading 2"/>
    <w:aliases w:val="Bayer-Heading 2"/>
    <w:basedOn w:val="Heading1"/>
    <w:next w:val="BayerBodyTextFull"/>
    <w:qFormat/>
    <w:rsid w:val="00431121"/>
    <w:pPr>
      <w:numPr>
        <w:ilvl w:val="0"/>
        <w:numId w:val="0"/>
      </w:numPr>
      <w:tabs>
        <w:tab w:val="clear" w:pos="0"/>
        <w:tab w:val="clear" w:pos="851"/>
        <w:tab w:val="left" w:pos="992"/>
      </w:tabs>
      <w:ind w:left="992" w:hanging="992"/>
      <w:outlineLvl w:val="1"/>
    </w:pPr>
    <w:rPr>
      <w:sz w:val="26"/>
    </w:rPr>
  </w:style>
  <w:style w:type="paragraph" w:styleId="Heading3">
    <w:name w:val="heading 3"/>
    <w:aliases w:val="Bayer-Heading 3"/>
    <w:basedOn w:val="Heading1"/>
    <w:next w:val="BayerBodyTextFull"/>
    <w:qFormat/>
    <w:rsid w:val="005C266B"/>
    <w:pPr>
      <w:numPr>
        <w:ilvl w:val="0"/>
        <w:numId w:val="0"/>
      </w:numPr>
      <w:tabs>
        <w:tab w:val="clear" w:pos="851"/>
        <w:tab w:val="left" w:pos="1134"/>
      </w:tabs>
      <w:spacing w:before="120" w:after="0"/>
      <w:outlineLvl w:val="2"/>
    </w:pPr>
    <w:rPr>
      <w:sz w:val="26"/>
    </w:rPr>
  </w:style>
  <w:style w:type="paragraph" w:styleId="Heading4">
    <w:name w:val="heading 4"/>
    <w:aliases w:val="Bayer-Heading 4"/>
    <w:basedOn w:val="Heading1"/>
    <w:next w:val="BayerBodyTextFull"/>
    <w:qFormat/>
    <w:rsid w:val="00D62457"/>
    <w:pPr>
      <w:numPr>
        <w:ilvl w:val="0"/>
        <w:numId w:val="0"/>
      </w:numPr>
      <w:tabs>
        <w:tab w:val="clear" w:pos="0"/>
        <w:tab w:val="clear" w:pos="851"/>
        <w:tab w:val="left" w:pos="1276"/>
      </w:tabs>
      <w:spacing w:before="120" w:after="0"/>
      <w:ind w:left="1276" w:hanging="1276"/>
      <w:outlineLvl w:val="3"/>
    </w:pPr>
    <w:rPr>
      <w:sz w:val="26"/>
    </w:rPr>
  </w:style>
  <w:style w:type="paragraph" w:styleId="Heading5">
    <w:name w:val="heading 5"/>
    <w:aliases w:val="Bayer-Heading 5"/>
    <w:basedOn w:val="Heading1"/>
    <w:next w:val="BayerBodyTextFull"/>
    <w:qFormat/>
    <w:rsid w:val="00D62457"/>
    <w:pPr>
      <w:numPr>
        <w:ilvl w:val="0"/>
        <w:numId w:val="0"/>
      </w:numPr>
      <w:tabs>
        <w:tab w:val="clear" w:pos="0"/>
        <w:tab w:val="clear" w:pos="851"/>
        <w:tab w:val="left" w:pos="1418"/>
      </w:tabs>
      <w:spacing w:before="120" w:after="0"/>
      <w:ind w:left="1418" w:hanging="1418"/>
      <w:outlineLvl w:val="4"/>
    </w:pPr>
    <w:rPr>
      <w:sz w:val="26"/>
    </w:rPr>
  </w:style>
  <w:style w:type="paragraph" w:styleId="Heading6">
    <w:name w:val="heading 6"/>
    <w:aliases w:val="Bayer-Heading 6"/>
    <w:basedOn w:val="Heading1"/>
    <w:next w:val="BayerBodyTextFull"/>
    <w:qFormat/>
    <w:rsid w:val="00A74FA1"/>
    <w:pPr>
      <w:numPr>
        <w:ilvl w:val="0"/>
        <w:numId w:val="0"/>
      </w:numPr>
      <w:tabs>
        <w:tab w:val="clear" w:pos="0"/>
        <w:tab w:val="clear" w:pos="851"/>
        <w:tab w:val="left" w:pos="1559"/>
      </w:tabs>
      <w:spacing w:before="120" w:after="0"/>
      <w:ind w:left="1219" w:hanging="1219"/>
      <w:outlineLvl w:val="5"/>
    </w:pPr>
    <w:rPr>
      <w:sz w:val="26"/>
    </w:rPr>
  </w:style>
  <w:style w:type="paragraph" w:styleId="Heading7">
    <w:name w:val="heading 7"/>
    <w:aliases w:val="Bayer-Heading 7"/>
    <w:basedOn w:val="Heading1"/>
    <w:next w:val="BayerBodyTextFull"/>
    <w:qFormat/>
    <w:rsid w:val="00A74FA1"/>
    <w:pPr>
      <w:numPr>
        <w:ilvl w:val="0"/>
        <w:numId w:val="0"/>
      </w:numPr>
      <w:tabs>
        <w:tab w:val="clear" w:pos="0"/>
        <w:tab w:val="clear" w:pos="851"/>
        <w:tab w:val="left" w:pos="1701"/>
      </w:tabs>
      <w:spacing w:before="120" w:after="0"/>
      <w:ind w:left="1219" w:hanging="1219"/>
      <w:outlineLvl w:val="6"/>
    </w:pPr>
    <w:rPr>
      <w:sz w:val="26"/>
    </w:rPr>
  </w:style>
  <w:style w:type="paragraph" w:styleId="Heading8">
    <w:name w:val="heading 8"/>
    <w:aliases w:val="Bayer-Heading 8"/>
    <w:basedOn w:val="Heading1"/>
    <w:next w:val="BayerBodyTextFull"/>
    <w:qFormat/>
    <w:rsid w:val="00AE0354"/>
    <w:pPr>
      <w:numPr>
        <w:ilvl w:val="0"/>
        <w:numId w:val="0"/>
      </w:numPr>
      <w:tabs>
        <w:tab w:val="clear" w:pos="0"/>
        <w:tab w:val="clear" w:pos="851"/>
        <w:tab w:val="left" w:pos="1843"/>
      </w:tabs>
      <w:spacing w:before="120" w:after="0"/>
      <w:ind w:left="1644" w:hanging="1644"/>
      <w:outlineLvl w:val="7"/>
    </w:pPr>
    <w:rPr>
      <w:sz w:val="26"/>
    </w:rPr>
  </w:style>
  <w:style w:type="paragraph" w:styleId="Heading9">
    <w:name w:val="heading 9"/>
    <w:aliases w:val="Bayer-Heading 9"/>
    <w:basedOn w:val="Heading1"/>
    <w:next w:val="BayerBodyTextFull"/>
    <w:qFormat/>
    <w:rsid w:val="002B482B"/>
    <w:pPr>
      <w:numPr>
        <w:ilvl w:val="0"/>
        <w:numId w:val="0"/>
      </w:numPr>
      <w:tabs>
        <w:tab w:val="clear" w:pos="0"/>
        <w:tab w:val="clear" w:pos="851"/>
        <w:tab w:val="left" w:pos="1985"/>
      </w:tabs>
      <w:spacing w:before="120" w:after="0"/>
      <w:ind w:left="1985" w:hanging="1985"/>
      <w:outlineLvl w:val="8"/>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yerXspace">
    <w:name w:val="Bayer Xspace"/>
    <w:basedOn w:val="Normal"/>
    <w:next w:val="BayerBodyTextFull"/>
    <w:qFormat/>
    <w:rsid w:val="00FA72FC"/>
    <w:rPr>
      <w:sz w:val="8"/>
    </w:rPr>
  </w:style>
  <w:style w:type="paragraph" w:customStyle="1" w:styleId="BayerTableRowHeadings">
    <w:name w:val="Bayer Table Row Headings"/>
    <w:basedOn w:val="BayerTableStyleRightJustified"/>
    <w:qFormat/>
    <w:rsid w:val="007C3EEC"/>
    <w:pPr>
      <w:jc w:val="left"/>
    </w:pPr>
  </w:style>
  <w:style w:type="paragraph" w:customStyle="1" w:styleId="BayerBodyTextFull">
    <w:name w:val="Bayer Body Text Full"/>
    <w:basedOn w:val="Normal"/>
    <w:link w:val="BayerBodyTextFullChar"/>
    <w:qFormat/>
    <w:rsid w:val="00FA72FC"/>
    <w:pPr>
      <w:spacing w:before="120" w:after="120"/>
    </w:pPr>
  </w:style>
  <w:style w:type="character" w:styleId="CommentReference">
    <w:name w:val="annotation reference"/>
    <w:uiPriority w:val="99"/>
    <w:semiHidden/>
    <w:rsid w:val="00FA72FC"/>
    <w:rPr>
      <w:sz w:val="16"/>
      <w:szCs w:val="16"/>
    </w:rPr>
  </w:style>
  <w:style w:type="paragraph" w:styleId="DocumentMap">
    <w:name w:val="Document Map"/>
    <w:basedOn w:val="Normal"/>
    <w:uiPriority w:val="99"/>
    <w:semiHidden/>
    <w:rsid w:val="00FA72FC"/>
    <w:pPr>
      <w:shd w:val="clear" w:color="auto" w:fill="000080"/>
    </w:pPr>
    <w:rPr>
      <w:rFonts w:ascii="Tahoma" w:hAnsi="Tahoma"/>
    </w:rPr>
  </w:style>
  <w:style w:type="paragraph" w:customStyle="1" w:styleId="BayerBibliography">
    <w:name w:val="Bayer Bibliography"/>
    <w:basedOn w:val="Normal"/>
    <w:link w:val="BayerBibliographyZchn"/>
    <w:rsid w:val="00FA72FC"/>
    <w:pPr>
      <w:spacing w:after="120"/>
      <w:ind w:left="1627" w:hanging="720"/>
    </w:pPr>
  </w:style>
  <w:style w:type="paragraph" w:customStyle="1" w:styleId="BayerTRDASectionHeading2">
    <w:name w:val="Bayer TRD_A_Section Heading 2"/>
    <w:basedOn w:val="BayerTRDASectionHeading1"/>
    <w:next w:val="BayerBodyTextFull"/>
    <w:qFormat/>
    <w:rsid w:val="00FA72FC"/>
    <w:pPr>
      <w:ind w:left="1418"/>
      <w:outlineLvl w:val="1"/>
    </w:pPr>
    <w:rPr>
      <w:b w:val="0"/>
      <w:szCs w:val="24"/>
    </w:rPr>
  </w:style>
  <w:style w:type="paragraph" w:customStyle="1" w:styleId="BulletBayerBodyText">
    <w:name w:val="Bullet Bayer Body Text"/>
    <w:basedOn w:val="Normal"/>
    <w:qFormat/>
    <w:rsid w:val="00E01383"/>
    <w:pPr>
      <w:numPr>
        <w:numId w:val="19"/>
      </w:numPr>
      <w:tabs>
        <w:tab w:val="clear" w:pos="720"/>
      </w:tabs>
      <w:spacing w:after="60"/>
      <w:ind w:left="511" w:hanging="284"/>
    </w:pPr>
  </w:style>
  <w:style w:type="paragraph" w:customStyle="1" w:styleId="BayerTableColumnHeadings">
    <w:name w:val="Bayer Table Column Headings"/>
    <w:basedOn w:val="Normal"/>
    <w:qFormat/>
    <w:rsid w:val="00FA72FC"/>
    <w:pPr>
      <w:jc w:val="center"/>
    </w:pPr>
    <w:rPr>
      <w:rFonts w:ascii="Arial" w:hAnsi="Arial"/>
      <w:b/>
      <w:sz w:val="20"/>
    </w:rPr>
  </w:style>
  <w:style w:type="paragraph" w:customStyle="1" w:styleId="BayerTableFootnote">
    <w:name w:val="Bayer Table Footnote"/>
    <w:basedOn w:val="BayerTableStyleLeftJustified"/>
    <w:qFormat/>
    <w:rsid w:val="00FA72FC"/>
    <w:pPr>
      <w:ind w:left="360" w:hanging="360"/>
    </w:pPr>
  </w:style>
  <w:style w:type="paragraph" w:customStyle="1" w:styleId="BayerFootnote">
    <w:name w:val="Bayer Footnote"/>
    <w:basedOn w:val="Normal"/>
    <w:rsid w:val="00FA72FC"/>
    <w:pPr>
      <w:tabs>
        <w:tab w:val="left" w:pos="907"/>
      </w:tabs>
      <w:spacing w:after="60"/>
      <w:ind w:left="907"/>
    </w:pPr>
    <w:rPr>
      <w:sz w:val="20"/>
    </w:rPr>
  </w:style>
  <w:style w:type="paragraph" w:customStyle="1" w:styleId="BayerSectionHeading">
    <w:name w:val="Bayer Section Heading"/>
    <w:basedOn w:val="Normal"/>
    <w:next w:val="Normal"/>
    <w:qFormat/>
    <w:rsid w:val="00FA72FC"/>
    <w:rPr>
      <w:b/>
      <w:sz w:val="28"/>
    </w:rPr>
  </w:style>
  <w:style w:type="paragraph" w:customStyle="1" w:styleId="BayerSubscript">
    <w:name w:val="Bayer Subscript"/>
    <w:basedOn w:val="Normal"/>
    <w:link w:val="BayerSubscriptZchn"/>
    <w:qFormat/>
    <w:rsid w:val="00FA72FC"/>
    <w:rPr>
      <w:vertAlign w:val="subscript"/>
    </w:rPr>
  </w:style>
  <w:style w:type="paragraph" w:customStyle="1" w:styleId="BayerSuperscript">
    <w:name w:val="Bayer Superscript"/>
    <w:basedOn w:val="Normal"/>
    <w:link w:val="BayerSuperscriptZchn"/>
    <w:qFormat/>
    <w:rsid w:val="00FA72FC"/>
    <w:rPr>
      <w:vertAlign w:val="superscript"/>
    </w:rPr>
  </w:style>
  <w:style w:type="paragraph" w:styleId="TOC1">
    <w:name w:val="toc 1"/>
    <w:aliases w:val="Bayer-TOC 1"/>
    <w:basedOn w:val="Normal"/>
    <w:next w:val="Normal"/>
    <w:uiPriority w:val="39"/>
    <w:rsid w:val="009C24D6"/>
    <w:pPr>
      <w:tabs>
        <w:tab w:val="right" w:leader="dot" w:pos="9072"/>
      </w:tabs>
      <w:spacing w:before="120"/>
      <w:ind w:left="425" w:right="284" w:hanging="425"/>
    </w:pPr>
    <w:rPr>
      <w:b/>
      <w:color w:val="0000FF"/>
    </w:rPr>
  </w:style>
  <w:style w:type="paragraph" w:customStyle="1" w:styleId="SynopsisLeftColumn">
    <w:name w:val="Synopsis Left Column"/>
    <w:basedOn w:val="Normal"/>
    <w:uiPriority w:val="99"/>
    <w:semiHidden/>
    <w:rsid w:val="00FA72FC"/>
    <w:pPr>
      <w:spacing w:before="120" w:after="120"/>
      <w:jc w:val="right"/>
    </w:pPr>
    <w:rPr>
      <w:b/>
    </w:rPr>
  </w:style>
  <w:style w:type="paragraph" w:customStyle="1" w:styleId="SynopsisRightColumn">
    <w:name w:val="Synopsis Right Column"/>
    <w:basedOn w:val="Normal"/>
    <w:uiPriority w:val="99"/>
    <w:semiHidden/>
    <w:rsid w:val="00FA72FC"/>
    <w:pPr>
      <w:spacing w:before="120" w:after="120"/>
    </w:pPr>
  </w:style>
  <w:style w:type="paragraph" w:styleId="TOC2">
    <w:name w:val="toc 2"/>
    <w:aliases w:val="Bayer-TOC 2"/>
    <w:basedOn w:val="TOC1"/>
    <w:next w:val="Normal"/>
    <w:uiPriority w:val="39"/>
    <w:rsid w:val="009D3FE7"/>
    <w:pPr>
      <w:spacing w:before="0"/>
      <w:ind w:left="624" w:hanging="624"/>
    </w:pPr>
    <w:rPr>
      <w:b w:val="0"/>
    </w:rPr>
  </w:style>
  <w:style w:type="paragraph" w:styleId="TOC3">
    <w:name w:val="toc 3"/>
    <w:aliases w:val="Bayer-TOC 3"/>
    <w:basedOn w:val="TOC1"/>
    <w:next w:val="Normal"/>
    <w:uiPriority w:val="39"/>
    <w:rsid w:val="009D3FE7"/>
    <w:pPr>
      <w:spacing w:before="0"/>
      <w:ind w:left="822" w:hanging="822"/>
    </w:pPr>
    <w:rPr>
      <w:b w:val="0"/>
    </w:rPr>
  </w:style>
  <w:style w:type="paragraph" w:styleId="TOC4">
    <w:name w:val="toc 4"/>
    <w:aliases w:val="Bayer-TOC 4"/>
    <w:basedOn w:val="TOC1"/>
    <w:next w:val="Normal"/>
    <w:uiPriority w:val="39"/>
    <w:rsid w:val="009D3FE7"/>
    <w:pPr>
      <w:spacing w:before="0"/>
      <w:ind w:left="1021" w:hanging="1021"/>
    </w:pPr>
    <w:rPr>
      <w:b w:val="0"/>
    </w:rPr>
  </w:style>
  <w:style w:type="paragraph" w:styleId="TOC5">
    <w:name w:val="toc 5"/>
    <w:aliases w:val="Bayer-TOC 5"/>
    <w:basedOn w:val="TOC1"/>
    <w:next w:val="Normal"/>
    <w:uiPriority w:val="39"/>
    <w:rsid w:val="009D3FE7"/>
    <w:pPr>
      <w:spacing w:before="0"/>
      <w:ind w:left="1219" w:hanging="1219"/>
    </w:pPr>
    <w:rPr>
      <w:b w:val="0"/>
    </w:rPr>
  </w:style>
  <w:style w:type="paragraph" w:customStyle="1" w:styleId="BayerGuidanceNotes">
    <w:name w:val="Bayer Guidance Notes"/>
    <w:basedOn w:val="BayerBlue"/>
    <w:next w:val="Normal"/>
    <w:link w:val="BayerGuidanceNotesZchn"/>
    <w:qFormat/>
    <w:rsid w:val="00FA72FC"/>
    <w:rPr>
      <w:i/>
    </w:rPr>
  </w:style>
  <w:style w:type="paragraph" w:styleId="CommentText">
    <w:name w:val="annotation text"/>
    <w:basedOn w:val="Normal"/>
    <w:uiPriority w:val="99"/>
    <w:semiHidden/>
    <w:rsid w:val="00FA72FC"/>
    <w:rPr>
      <w:sz w:val="20"/>
    </w:rPr>
  </w:style>
  <w:style w:type="paragraph" w:styleId="CommentSubject">
    <w:name w:val="annotation subject"/>
    <w:basedOn w:val="CommentText"/>
    <w:next w:val="CommentText"/>
    <w:uiPriority w:val="99"/>
    <w:semiHidden/>
    <w:rsid w:val="00FA72FC"/>
    <w:rPr>
      <w:b/>
      <w:bCs/>
    </w:rPr>
  </w:style>
  <w:style w:type="paragraph" w:customStyle="1" w:styleId="BayerTableStyleCentered">
    <w:name w:val="Bayer TableStyle Centered"/>
    <w:basedOn w:val="Normal"/>
    <w:qFormat/>
    <w:rsid w:val="00FA72FC"/>
    <w:pPr>
      <w:keepNext/>
      <w:widowControl w:val="0"/>
      <w:jc w:val="center"/>
    </w:pPr>
    <w:rPr>
      <w:rFonts w:ascii="Arial" w:hAnsi="Arial"/>
      <w:sz w:val="20"/>
    </w:rPr>
  </w:style>
  <w:style w:type="paragraph" w:styleId="BalloonText">
    <w:name w:val="Balloon Text"/>
    <w:basedOn w:val="Normal"/>
    <w:uiPriority w:val="99"/>
    <w:semiHidden/>
    <w:rsid w:val="00FA72FC"/>
    <w:rPr>
      <w:rFonts w:ascii="Tahoma" w:hAnsi="Tahoma" w:cs="Tahoma"/>
      <w:sz w:val="16"/>
      <w:szCs w:val="16"/>
    </w:rPr>
  </w:style>
  <w:style w:type="paragraph" w:customStyle="1" w:styleId="BayerTRDASectionHeading1">
    <w:name w:val="Bayer TRD_A_Section Heading 1"/>
    <w:basedOn w:val="Heading1"/>
    <w:next w:val="BayerBodyTextFull"/>
    <w:qFormat/>
    <w:rsid w:val="00EF03DD"/>
    <w:pPr>
      <w:numPr>
        <w:numId w:val="0"/>
      </w:numPr>
      <w:spacing w:before="60" w:after="60"/>
    </w:pPr>
    <w:rPr>
      <w:sz w:val="24"/>
    </w:rPr>
  </w:style>
  <w:style w:type="paragraph" w:customStyle="1" w:styleId="BayerTRDSource">
    <w:name w:val="Bayer TRD Source"/>
    <w:basedOn w:val="Normal"/>
    <w:next w:val="BayerBodyTextFull"/>
    <w:qFormat/>
    <w:rsid w:val="005D531F"/>
    <w:pPr>
      <w:spacing w:after="120"/>
      <w:ind w:left="1417" w:hanging="992"/>
    </w:pPr>
    <w:rPr>
      <w:i/>
      <w:szCs w:val="22"/>
    </w:rPr>
  </w:style>
  <w:style w:type="paragraph" w:customStyle="1" w:styleId="BayerTRDASectionHeading3">
    <w:name w:val="Bayer TRD_A_Section Heading 3"/>
    <w:basedOn w:val="BayerTRDASectionHeading1"/>
    <w:next w:val="BayerBodyTextFull"/>
    <w:qFormat/>
    <w:rsid w:val="00FA72FC"/>
    <w:pPr>
      <w:ind w:left="1559"/>
      <w:outlineLvl w:val="2"/>
    </w:pPr>
    <w:rPr>
      <w:b w:val="0"/>
      <w:szCs w:val="24"/>
    </w:rPr>
  </w:style>
  <w:style w:type="paragraph" w:customStyle="1" w:styleId="BayerTRDASectionHeading4">
    <w:name w:val="Bayer TRD_A_Section Heading 4"/>
    <w:basedOn w:val="BayerTRDASectionHeading1"/>
    <w:next w:val="BayerBodyTextFull"/>
    <w:qFormat/>
    <w:rsid w:val="00FA72FC"/>
    <w:pPr>
      <w:ind w:left="1701"/>
      <w:outlineLvl w:val="3"/>
    </w:pPr>
    <w:rPr>
      <w:b w:val="0"/>
    </w:rPr>
  </w:style>
  <w:style w:type="paragraph" w:styleId="TOC6">
    <w:name w:val="toc 6"/>
    <w:aliases w:val="Bayer-TOC 6"/>
    <w:basedOn w:val="TOC1"/>
    <w:next w:val="Normal"/>
    <w:uiPriority w:val="39"/>
    <w:rsid w:val="00A74FA1"/>
    <w:pPr>
      <w:spacing w:before="0"/>
      <w:ind w:left="1219" w:hanging="1219"/>
    </w:pPr>
    <w:rPr>
      <w:b w:val="0"/>
    </w:rPr>
  </w:style>
  <w:style w:type="paragraph" w:styleId="TOC7">
    <w:name w:val="toc 7"/>
    <w:aliases w:val="Bayer-TOC 7"/>
    <w:basedOn w:val="TOC1"/>
    <w:next w:val="Normal"/>
    <w:uiPriority w:val="39"/>
    <w:rsid w:val="00AE0354"/>
    <w:pPr>
      <w:spacing w:before="0"/>
      <w:ind w:left="1474" w:hanging="1474"/>
    </w:pPr>
    <w:rPr>
      <w:b w:val="0"/>
    </w:rPr>
  </w:style>
  <w:style w:type="paragraph" w:customStyle="1" w:styleId="BayerTRDASectionHeading5">
    <w:name w:val="Bayer TRD_A_Section Heading 5"/>
    <w:basedOn w:val="BayerTRDASectionHeading1"/>
    <w:next w:val="BayerBodyTextFull"/>
    <w:qFormat/>
    <w:rsid w:val="00FA72FC"/>
    <w:pPr>
      <w:ind w:left="1701"/>
      <w:outlineLvl w:val="4"/>
    </w:pPr>
    <w:rPr>
      <w:b w:val="0"/>
    </w:rPr>
  </w:style>
  <w:style w:type="paragraph" w:customStyle="1" w:styleId="BayerTableStyleLeftJustified">
    <w:name w:val="Bayer TableStyle Left Justified"/>
    <w:basedOn w:val="Normal"/>
    <w:qFormat/>
    <w:rsid w:val="00FA72FC"/>
    <w:pPr>
      <w:keepNext/>
      <w:widowControl w:val="0"/>
    </w:pPr>
    <w:rPr>
      <w:rFonts w:ascii="Arial" w:hAnsi="Arial"/>
      <w:sz w:val="20"/>
    </w:rPr>
  </w:style>
  <w:style w:type="paragraph" w:customStyle="1" w:styleId="BayerTableStyleRightJustified">
    <w:name w:val="Bayer TableStyle Right Justified"/>
    <w:qFormat/>
    <w:rsid w:val="00DE05E9"/>
    <w:pPr>
      <w:keepNext/>
      <w:widowControl w:val="0"/>
      <w:jc w:val="right"/>
    </w:pPr>
    <w:rPr>
      <w:rFonts w:ascii="Arial" w:hAnsi="Arial"/>
      <w:lang w:val="en-US" w:eastAsia="en-US"/>
    </w:rPr>
  </w:style>
  <w:style w:type="paragraph" w:styleId="Caption">
    <w:name w:val="caption"/>
    <w:aliases w:val="Bayer Caption"/>
    <w:basedOn w:val="Normal"/>
    <w:next w:val="Normal"/>
    <w:qFormat/>
    <w:rsid w:val="00FA72FC"/>
    <w:pPr>
      <w:keepNext/>
      <w:spacing w:before="120" w:after="120"/>
      <w:ind w:left="907"/>
    </w:pPr>
    <w:rPr>
      <w:rFonts w:ascii="Arial" w:hAnsi="Arial"/>
      <w:b/>
      <w:sz w:val="20"/>
    </w:rPr>
  </w:style>
  <w:style w:type="paragraph" w:customStyle="1" w:styleId="BayerSASCaption">
    <w:name w:val="Bayer SAS Caption"/>
    <w:basedOn w:val="Caption"/>
    <w:next w:val="BayerSASMono"/>
    <w:qFormat/>
    <w:rsid w:val="00FA72FC"/>
    <w:pPr>
      <w:spacing w:before="0" w:after="0"/>
      <w:ind w:left="1814" w:hanging="907"/>
    </w:pPr>
    <w:rPr>
      <w:rFonts w:ascii="SAS Monospace" w:hAnsi="SAS Monospace"/>
      <w:sz w:val="16"/>
    </w:rPr>
  </w:style>
  <w:style w:type="paragraph" w:customStyle="1" w:styleId="BayerSASMono">
    <w:name w:val="Bayer SAS Mono"/>
    <w:basedOn w:val="Normal"/>
    <w:qFormat/>
    <w:rsid w:val="00115EFF"/>
    <w:pPr>
      <w:spacing w:line="160" w:lineRule="exact"/>
    </w:pPr>
    <w:rPr>
      <w:rFonts w:ascii="SAS Monospace" w:hAnsi="SAS Monospace"/>
      <w:sz w:val="16"/>
      <w:szCs w:val="16"/>
    </w:rPr>
  </w:style>
  <w:style w:type="paragraph" w:customStyle="1" w:styleId="Bullet2BayerBodyText">
    <w:name w:val="Bullet_2 Bayer Body Text"/>
    <w:basedOn w:val="BulletBayerBodyText"/>
    <w:next w:val="BayerBodyTextFull"/>
    <w:qFormat/>
    <w:rsid w:val="00F11CED"/>
    <w:pPr>
      <w:numPr>
        <w:numId w:val="10"/>
      </w:numPr>
      <w:tabs>
        <w:tab w:val="clear" w:pos="1778"/>
      </w:tabs>
      <w:ind w:left="794" w:hanging="284"/>
    </w:pPr>
  </w:style>
  <w:style w:type="paragraph" w:styleId="Header">
    <w:name w:val="header"/>
    <w:basedOn w:val="Normal"/>
    <w:link w:val="HeaderChar"/>
    <w:rsid w:val="00FA72FC"/>
    <w:pPr>
      <w:tabs>
        <w:tab w:val="center" w:pos="4536"/>
        <w:tab w:val="right" w:pos="9072"/>
      </w:tabs>
    </w:pPr>
  </w:style>
  <w:style w:type="paragraph" w:styleId="Footer">
    <w:name w:val="footer"/>
    <w:basedOn w:val="Normal"/>
    <w:uiPriority w:val="99"/>
    <w:semiHidden/>
    <w:rsid w:val="00FA72FC"/>
    <w:pPr>
      <w:tabs>
        <w:tab w:val="center" w:pos="4536"/>
        <w:tab w:val="right" w:pos="9072"/>
      </w:tabs>
    </w:pPr>
  </w:style>
  <w:style w:type="character" w:customStyle="1" w:styleId="BayerSuperscriptZchn">
    <w:name w:val="Bayer Superscript Zchn"/>
    <w:link w:val="BayerSuperscript"/>
    <w:rsid w:val="00F603E0"/>
    <w:rPr>
      <w:sz w:val="24"/>
      <w:vertAlign w:val="superscript"/>
    </w:rPr>
  </w:style>
  <w:style w:type="character" w:customStyle="1" w:styleId="BayerSubscriptZchn">
    <w:name w:val="Bayer Subscript Zchn"/>
    <w:link w:val="BayerSubscript"/>
    <w:rsid w:val="00F603E0"/>
    <w:rPr>
      <w:sz w:val="24"/>
      <w:vertAlign w:val="subscript"/>
    </w:rPr>
  </w:style>
  <w:style w:type="paragraph" w:customStyle="1" w:styleId="JapancontBayerCaption">
    <w:name w:val="Japan cont Bayer Caption"/>
    <w:basedOn w:val="Normal"/>
    <w:next w:val="BayerBodyTextFull"/>
    <w:qFormat/>
    <w:rsid w:val="00A142DB"/>
    <w:pPr>
      <w:keepNext/>
      <w:spacing w:before="120" w:after="120"/>
      <w:ind w:left="907"/>
    </w:pPr>
    <w:rPr>
      <w:rFonts w:ascii="Arial" w:hAnsi="Arial"/>
      <w:b/>
      <w:sz w:val="20"/>
    </w:rPr>
  </w:style>
  <w:style w:type="paragraph" w:styleId="TOC8">
    <w:name w:val="toc 8"/>
    <w:aliases w:val="Bayer-TOC 8"/>
    <w:basedOn w:val="TOC1"/>
    <w:next w:val="Normal"/>
    <w:uiPriority w:val="39"/>
    <w:rsid w:val="00A74FA1"/>
    <w:pPr>
      <w:spacing w:before="0"/>
      <w:ind w:left="1219" w:hanging="1219"/>
    </w:pPr>
    <w:rPr>
      <w:b w:val="0"/>
    </w:rPr>
  </w:style>
  <w:style w:type="paragraph" w:styleId="TOC9">
    <w:name w:val="toc 9"/>
    <w:aliases w:val="Bayer-TOC 9"/>
    <w:basedOn w:val="TOC1"/>
    <w:next w:val="Normal"/>
    <w:uiPriority w:val="39"/>
    <w:rsid w:val="00AE787C"/>
    <w:pPr>
      <w:spacing w:before="0"/>
      <w:ind w:left="1786" w:hanging="1219"/>
    </w:pPr>
    <w:rPr>
      <w:b w:val="0"/>
    </w:rPr>
  </w:style>
  <w:style w:type="paragraph" w:customStyle="1" w:styleId="BayerBlue">
    <w:name w:val="Bayer Blue"/>
    <w:basedOn w:val="Normal"/>
    <w:next w:val="BayerBodyTextFull"/>
    <w:link w:val="BayerBlueZchn"/>
    <w:rsid w:val="00332529"/>
    <w:rPr>
      <w:color w:val="0000FF"/>
    </w:rPr>
  </w:style>
  <w:style w:type="paragraph" w:styleId="TableofFigures">
    <w:name w:val="table of figures"/>
    <w:aliases w:val="Bayer Table of Figures"/>
    <w:basedOn w:val="Normal"/>
    <w:next w:val="Normal"/>
    <w:uiPriority w:val="99"/>
    <w:qFormat/>
    <w:rsid w:val="001B6F2A"/>
    <w:pPr>
      <w:tabs>
        <w:tab w:val="left" w:pos="0"/>
        <w:tab w:val="left" w:pos="1134"/>
        <w:tab w:val="right" w:leader="dot" w:pos="9072"/>
      </w:tabs>
      <w:spacing w:before="120" w:after="120"/>
      <w:ind w:left="1134" w:hanging="1134"/>
      <w:contextualSpacing/>
    </w:pPr>
    <w:rPr>
      <w:color w:val="0000FF"/>
    </w:rPr>
  </w:style>
  <w:style w:type="character" w:styleId="Hyperlink">
    <w:name w:val="Hyperlink"/>
    <w:uiPriority w:val="99"/>
    <w:rsid w:val="00350727"/>
    <w:rPr>
      <w:color w:val="0000FF"/>
      <w:u w:val="single"/>
    </w:rPr>
  </w:style>
  <w:style w:type="paragraph" w:styleId="TOCHeading">
    <w:name w:val="TOC Heading"/>
    <w:aliases w:val="Bayer ToC Heading"/>
    <w:basedOn w:val="BayerBodyTextFull"/>
    <w:next w:val="BayerBodyTextFull"/>
    <w:uiPriority w:val="39"/>
    <w:qFormat/>
    <w:rsid w:val="005C376D"/>
    <w:pPr>
      <w:spacing w:after="60"/>
    </w:pPr>
    <w:rPr>
      <w:b/>
      <w:bCs/>
      <w:kern w:val="32"/>
      <w:szCs w:val="32"/>
    </w:rPr>
  </w:style>
  <w:style w:type="numbering" w:styleId="111111">
    <w:name w:val="Outline List 2"/>
    <w:basedOn w:val="NoList"/>
    <w:rsid w:val="00797D3B"/>
    <w:pPr>
      <w:numPr>
        <w:numId w:val="31"/>
      </w:numPr>
    </w:pPr>
  </w:style>
  <w:style w:type="table" w:styleId="TableGrid">
    <w:name w:val="Table Grid"/>
    <w:basedOn w:val="TableNormal"/>
    <w:rsid w:val="00797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rsid w:val="00350727"/>
    <w:rPr>
      <w:color w:val="800080"/>
      <w:u w:val="single"/>
    </w:rPr>
  </w:style>
  <w:style w:type="paragraph" w:styleId="Title">
    <w:name w:val="Title"/>
    <w:aliases w:val="Bayer Title"/>
    <w:basedOn w:val="Normal"/>
    <w:next w:val="Normal"/>
    <w:link w:val="TitleChar"/>
    <w:uiPriority w:val="1"/>
    <w:qFormat/>
    <w:rsid w:val="00BB422A"/>
    <w:pPr>
      <w:spacing w:before="120"/>
      <w:jc w:val="center"/>
    </w:pPr>
    <w:rPr>
      <w:b/>
      <w:bCs/>
      <w:kern w:val="28"/>
      <w:sz w:val="32"/>
      <w:szCs w:val="32"/>
    </w:rPr>
  </w:style>
  <w:style w:type="character" w:customStyle="1" w:styleId="TitleChar">
    <w:name w:val="Title Char"/>
    <w:aliases w:val="Bayer Title Char"/>
    <w:link w:val="Title"/>
    <w:uiPriority w:val="1"/>
    <w:rsid w:val="00DD6FE7"/>
    <w:rPr>
      <w:rFonts w:eastAsia="Times New Roman" w:cs="Times New Roman"/>
      <w:b/>
      <w:bCs/>
      <w:kern w:val="28"/>
      <w:sz w:val="32"/>
      <w:szCs w:val="32"/>
    </w:rPr>
  </w:style>
  <w:style w:type="paragraph" w:styleId="Subtitle">
    <w:name w:val="Subtitle"/>
    <w:aliases w:val="Bayer Subtitle"/>
    <w:basedOn w:val="BayerBodyTextFull"/>
    <w:next w:val="BayerBodyTextFull"/>
    <w:link w:val="SubtitleChar"/>
    <w:uiPriority w:val="1"/>
    <w:qFormat/>
    <w:rsid w:val="00B1729C"/>
    <w:pPr>
      <w:spacing w:after="0"/>
      <w:jc w:val="center"/>
    </w:pPr>
    <w:rPr>
      <w:b/>
      <w:kern w:val="28"/>
      <w:sz w:val="28"/>
      <w:szCs w:val="24"/>
    </w:rPr>
  </w:style>
  <w:style w:type="character" w:customStyle="1" w:styleId="SubtitleChar">
    <w:name w:val="Subtitle Char"/>
    <w:aliases w:val="Bayer Subtitle Char"/>
    <w:link w:val="Subtitle"/>
    <w:uiPriority w:val="1"/>
    <w:rsid w:val="00B1729C"/>
    <w:rPr>
      <w:b/>
      <w:kern w:val="28"/>
      <w:sz w:val="28"/>
      <w:szCs w:val="24"/>
      <w:lang w:val="en-US" w:eastAsia="en-US"/>
    </w:rPr>
  </w:style>
  <w:style w:type="character" w:customStyle="1" w:styleId="BayerBlueZchn">
    <w:name w:val="Bayer Blue Zchn"/>
    <w:link w:val="BayerBlue"/>
    <w:rsid w:val="00332529"/>
    <w:rPr>
      <w:color w:val="0000FF"/>
      <w:sz w:val="24"/>
    </w:rPr>
  </w:style>
  <w:style w:type="paragraph" w:customStyle="1" w:styleId="BayerToTToFLoRHeading">
    <w:name w:val="Bayer ToT ToF LoR Heading"/>
    <w:basedOn w:val="Normal"/>
    <w:next w:val="BayerBodyTextFull"/>
    <w:qFormat/>
    <w:rsid w:val="00305919"/>
    <w:pPr>
      <w:outlineLvl w:val="0"/>
    </w:pPr>
    <w:rPr>
      <w:b/>
    </w:rPr>
  </w:style>
  <w:style w:type="paragraph" w:customStyle="1" w:styleId="BayerBibliographyBlue">
    <w:name w:val="Bayer Bibliography Blue"/>
    <w:basedOn w:val="BayerBibliography"/>
    <w:next w:val="Normal"/>
    <w:link w:val="BayerBibliographyBlueZchn"/>
    <w:rsid w:val="009071DA"/>
    <w:rPr>
      <w:color w:val="0000FF"/>
    </w:rPr>
  </w:style>
  <w:style w:type="character" w:customStyle="1" w:styleId="BayerBibliographyZchn">
    <w:name w:val="Bayer Bibliography Zchn"/>
    <w:basedOn w:val="DefaultParagraphFont"/>
    <w:link w:val="BayerBibliography"/>
    <w:rsid w:val="009071DA"/>
    <w:rPr>
      <w:sz w:val="24"/>
      <w:lang w:val="en-US" w:eastAsia="en-US"/>
    </w:rPr>
  </w:style>
  <w:style w:type="character" w:customStyle="1" w:styleId="BayerBibliographyBlueZchn">
    <w:name w:val="Bayer Bibliography Blue Zchn"/>
    <w:basedOn w:val="BayerBibliographyZchn"/>
    <w:link w:val="BayerBibliographyBlue"/>
    <w:rsid w:val="009071DA"/>
    <w:rPr>
      <w:color w:val="0000FF"/>
      <w:sz w:val="24"/>
      <w:lang w:val="en-US" w:eastAsia="en-US"/>
    </w:rPr>
  </w:style>
  <w:style w:type="character" w:customStyle="1" w:styleId="BayerGuidanceNotesZchn">
    <w:name w:val="Bayer Guidance Notes Zchn"/>
    <w:basedOn w:val="BayerBlueZchn"/>
    <w:link w:val="BayerGuidanceNotes"/>
    <w:rsid w:val="009071DA"/>
    <w:rPr>
      <w:i/>
      <w:color w:val="0000FF"/>
      <w:sz w:val="24"/>
      <w:lang w:val="en-US" w:eastAsia="en-US"/>
    </w:rPr>
  </w:style>
  <w:style w:type="character" w:styleId="PlaceholderText">
    <w:name w:val="Placeholder Text"/>
    <w:basedOn w:val="DefaultParagraphFont"/>
    <w:uiPriority w:val="99"/>
    <w:semiHidden/>
    <w:rsid w:val="00763EB8"/>
    <w:rPr>
      <w:color w:val="808080"/>
    </w:rPr>
  </w:style>
  <w:style w:type="character" w:customStyle="1" w:styleId="BayerBodyTextFullChar">
    <w:name w:val="Bayer Body Text Full Char"/>
    <w:link w:val="BayerBodyTextFull"/>
    <w:rsid w:val="00572B9E"/>
    <w:rPr>
      <w:sz w:val="24"/>
      <w:lang w:val="en-US" w:eastAsia="en-US"/>
    </w:rPr>
  </w:style>
  <w:style w:type="character" w:customStyle="1" w:styleId="HeaderChar">
    <w:name w:val="Header Char"/>
    <w:basedOn w:val="DefaultParagraphFont"/>
    <w:link w:val="Header"/>
    <w:rsid w:val="00572B9E"/>
    <w:rPr>
      <w:sz w:val="24"/>
      <w:lang w:val="en-US" w:eastAsia="en-US"/>
    </w:rPr>
  </w:style>
  <w:style w:type="paragraph" w:customStyle="1" w:styleId="Kopfzeile1">
    <w:name w:val="Kopfzeile1"/>
    <w:basedOn w:val="Normal"/>
    <w:rsid w:val="00572B9E"/>
    <w:pPr>
      <w:tabs>
        <w:tab w:val="center" w:pos="4536"/>
        <w:tab w:val="right" w:pos="9072"/>
      </w:tabs>
    </w:pPr>
  </w:style>
  <w:style w:type="paragraph" w:customStyle="1" w:styleId="BayerSASCaptionDocFish">
    <w:name w:val="Bayer SAS Caption DocFish"/>
    <w:basedOn w:val="Heading7"/>
    <w:qFormat/>
    <w:rsid w:val="00AE787C"/>
    <w:pPr>
      <w:numPr>
        <w:ilvl w:val="0"/>
        <w:numId w:val="0"/>
      </w:numPr>
      <w:spacing w:before="0" w:line="160" w:lineRule="exact"/>
      <w:ind w:left="1814" w:hanging="907"/>
      <w:outlineLvl w:val="8"/>
    </w:pPr>
    <w:rPr>
      <w:rFonts w:ascii="SAS Monospace" w:hAnsi="SAS Monospace"/>
      <w:sz w:val="16"/>
      <w:szCs w:val="16"/>
    </w:rPr>
  </w:style>
  <w:style w:type="paragraph" w:customStyle="1" w:styleId="Smalltext80">
    <w:name w:val="Smalltext8:0"/>
    <w:uiPriority w:val="99"/>
    <w:pPr>
      <w:widowControl w:val="0"/>
      <w:autoSpaceDE w:val="0"/>
      <w:autoSpaceDN w:val="0"/>
      <w:adjustRightInd w:val="0"/>
    </w:pPr>
    <w:rPr>
      <w:rFonts w:asciiTheme="minorAscii" w:eastAsiaTheme="minorEastAsia" w:hAnsiTheme="minorHAnsi" w:cstheme="minorBidi"/>
      <w:color w:val="000000"/>
      <w:sz w:val="16"/>
      <w:szCs w:val="16"/>
      <w:lang w:val="en-US" w:eastAsia="en-US"/>
    </w:rPr>
  </w:style>
  <w:style w:type="paragraph" w:customStyle="1" w:styleId="Smalltext120">
    <w:name w:val="Smalltext12:0"/>
    <w:uiPriority w:val="99"/>
    <w:pPr>
      <w:widowControl w:val="0"/>
      <w:autoSpaceDE w:val="0"/>
      <w:autoSpaceDN w:val="0"/>
      <w:adjustRightInd w:val="0"/>
    </w:pPr>
    <w:rPr>
      <w:rFonts w:asciiTheme="minorAscii" w:eastAsiaTheme="minorEastAsia" w:hAnsiTheme="minorHAnsi" w:cstheme="minorBid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customXml" Target="../customXml/item7.xml" /><Relationship Id="rId11" Type="http://schemas.openxmlformats.org/officeDocument/2006/relationships/customXml" Target="../customXml/item8.xml"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header" Target="header3.xml" /><Relationship Id="rId15" Type="http://schemas.openxmlformats.org/officeDocument/2006/relationships/header" Target="header4.xml" /><Relationship Id="rId16" Type="http://schemas.openxmlformats.org/officeDocument/2006/relationships/image" Target="media/image2.png" /><Relationship Id="rId17" Type="http://schemas.openxmlformats.org/officeDocument/2006/relationships/image" Target="media/image3.png" /><Relationship Id="rId18" Type="http://schemas.openxmlformats.org/officeDocument/2006/relationships/header" Target="header5.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Git\docfish\resources\rd-m-0003-ctd_v2.dotx" TargetMode="External" /></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&#65279;<?xml version="1.0" encoding="utf-8" standalone="yes"?><Relationships xmlns="http://schemas.openxmlformats.org/package/2006/relationships"><Relationship Id="rId1" Type="http://schemas.openxmlformats.org/officeDocument/2006/relationships/customXmlProps" Target="itemProps7.xml" /></Relationships>
</file>

<file path=customXml/_rels/item8.xml.rels>&#65279;<?xml version="1.0" encoding="utf-8" standalone="yes"?><Relationships xmlns="http://schemas.openxmlformats.org/package/2006/relationships"><Relationship Id="rId1" Type="http://schemas.openxmlformats.org/officeDocument/2006/relationships/customXmlProps" Target="itemProps8.xml" /></Relationships>
</file>

<file path=customXml/item1.xml><?xml version="1.0" encoding="utf-8"?>
<ct:contentTypeSchema xmlns:ct="http://schemas.microsoft.com/office/2006/metadata/contentType" xmlns:ma="http://schemas.microsoft.com/office/2006/metadata/properties/metaAttributes" ct:_="" ma:_="" ma:contentTypeName="Project Workspace Document" ma:contentTypeID="0x0101002783129AC49DDD4A8D75DC52AB3AE28B" ma:contentTypeVersion="0" ma:contentTypeDescription="" ma:contentTypeScope="" ma:versionID="41253b199b5d867bf9a3605fc8ddd0f0">
  <xsd:schema xmlns:xsd="http://www.w3.org/2001/XMLSchema" xmlns:xs="http://www.w3.org/2001/XMLSchema" xmlns:p="http://schemas.microsoft.com/office/2006/metadata/properties" xmlns:ns1="http://schemas.microsoft.com/sharepoint/v3" xmlns:ns2="e941b624-166c-4987-9ed6-d539972f16a8" xmlns:ns3="51042502-ec0f-4ba3-95d1-c1e044d078f3" xmlns:ns4="7F2684DE-4891-4716-893C-73B6405F6FD0" targetNamespace="http://schemas.microsoft.com/office/2006/metadata/properties" ma:root="true" ma:fieldsID="5baa68be16ba5cff0e8b6c11561ad51e" ns1:_="" ns2:_="" ns3:_="" ns4:_="">
    <xsd:import namespace="http://schemas.microsoft.com/sharepoint/v3"/>
    <xsd:import namespace="e941b624-166c-4987-9ed6-d539972f16a8"/>
    <xsd:import namespace="51042502-ec0f-4ba3-95d1-c1e044d078f3"/>
    <xsd:import namespace="7F2684DE-4891-4716-893C-73B6405F6FD0"/>
    <xsd:element name="properties">
      <xsd:complexType>
        <xsd:sequence>
          <xsd:element name="documentManagement">
            <xsd:complexType>
              <xsd:all>
                <xsd:element ref="ns2:TaxCatchAll" minOccurs="0"/>
                <xsd:element ref="ns2:TaxCatchAllLabel" minOccurs="0"/>
                <xsd:element ref="ns2:gbbd9102adcd43839cd73b51972a464c" minOccurs="0"/>
                <xsd:element ref="ns1:_dlc_Exempt" minOccurs="0"/>
                <xsd:element ref="ns1:_dlc_ExpireDateSaved" minOccurs="0"/>
                <xsd:element ref="ns1:_dlc_ExpireDate" minOccurs="0"/>
                <xsd:element ref="ns3:_dlc_DocId" minOccurs="0"/>
                <xsd:element ref="ns3:_dlc_DocIdUrl" minOccurs="0"/>
                <xsd:element ref="ns3:_dlc_DocIdPersistId" minOccurs="0"/>
                <xsd:element ref="ns4:Owner" minOccurs="0"/>
                <xsd:element ref="ns4: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2" nillable="true" ma:displayName="Exempt from Policy" ma:hidden="true" ma:internalName="_dlc_Exempt" ma:readOnly="true">
      <xsd:simpleType>
        <xsd:restriction base="dms:Unknown"/>
      </xsd:simpleType>
    </xsd:element>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941b624-166c-4987-9ed6-d539972f16a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83ad73cd-b558-4843-a0e6-1bfb184870ea}" ma:internalName="TaxCatchAll" ma:showField="CatchAllData" ma:web="51042502-ec0f-4ba3-95d1-c1e044d078f3">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83ad73cd-b558-4843-a0e6-1bfb184870ea}" ma:internalName="TaxCatchAllLabel" ma:readOnly="true" ma:showField="CatchAllDataLabel" ma:web="51042502-ec0f-4ba3-95d1-c1e044d078f3">
      <xsd:complexType>
        <xsd:complexContent>
          <xsd:extension base="dms:MultiChoiceLookup">
            <xsd:sequence>
              <xsd:element name="Value" type="dms:Lookup" maxOccurs="unbounded" minOccurs="0" nillable="true"/>
            </xsd:sequence>
          </xsd:extension>
        </xsd:complexContent>
      </xsd:complexType>
    </xsd:element>
    <xsd:element name="gbbd9102adcd43839cd73b51972a464c" ma:index="10" ma:taxonomy="true" ma:internalName="gbbd9102adcd43839cd73b51972a464c" ma:taxonomyFieldName="DataClassBayerRetention" ma:displayName="Data Class" ma:readOnly="false" ma:default="3;#Short-Term|6d967203-8346-4b9c-90f8-b3828a3fa508" ma:fieldId="{0bbd9102-adcd-4383-9cd7-3b51972a464c}" ma:sspId="7c593367-9bb5-4764-945e-f6a26d2260c4" ma:termSetId="a305235b-fecf-45b3-8300-71c0f432cbc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042502-ec0f-4ba3-95d1-c1e044d078f3" elementFormDefault="qualified">
    <xsd:import namespace="http://schemas.microsoft.com/office/2006/documentManagement/types"/>
    <xsd:import namespace="http://schemas.microsoft.com/office/infopath/2007/PartnerControls"/>
    <xsd:element name="_dlc_DocId" ma:index="15" nillable="true" ma:displayName="Document ID Value" ma:description="The value of the document ID assigned to this item."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F2684DE-4891-4716-893C-73B6405F6FD0" elementFormDefault="qualified">
    <xsd:import namespace="http://schemas.microsoft.com/office/2006/documentManagement/types"/>
    <xsd:import namespace="http://schemas.microsoft.com/office/infopath/2007/PartnerControls"/>
    <xsd:element name="Owner" ma:index="18" nillable="true" ma:displayName="Owner" ma:list="UserInfo"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9" nillable="true" ma:displayName="Status" ma:default="Draft" ma:internalName="Status">
      <xsd:simpleType>
        <xsd:restriction base="dms:Choice">
          <xsd:enumeration value="Draft"/>
          <xsd:enumeration value="Ready For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ontrolsStorage xmlns="urn:schemas-microsoft-com.VSTO2008Demos.ControlsStorage">
  <Controls>AAEAAAD/////AQAAAAAAAAAMAgAAAEVDaGVtNFdvcmQuQ29yZSwgVmVyc2lvbj0yLjAuMS4wLCBDdWx0dXJlPW5ldXRyYWwsIFB1YmxpY0tleVRva2VuPW51bGwHAQAAAAABAAAAAAAAAAQgQ2hlbTRXb3JkLkNvcmUuQ29udHJvbFByb3BlcnRpZXMCAAAACw==</Controls>
</ControlsStorage>
</file>

<file path=customXml/item3.xml><?xml version="1.0" encoding="utf-8"?>
<?mso-contentType ?>
<p:Policy xmlns:p="office.server.policy" id="" local="true">
  <p:Name>Document</p:Name>
  <p:Description/>
  <p:Statement/>
  <p:PolicyItems>
    <p:PolicyItem featureId="Microsoft.Office.RecordsManagement.PolicyFeatures.Expiration" staticId="0x0101|-2126682137" UniqueId="ab3b55e9-aae5-4563-b264-599d7d4a4f77">
      <p:Name>Retention</p:Name>
      <p:Description>Automatic scheduling of content for processing, and performing a retention action on content that has reached its due date.</p:Description>
      <p:CustomData>
        <Schedules nextStageId="2">
          <Schedule type="Default">
            <stages>
              <data stageId="1">
                <formula id="Bayer SharePoint Retention Policy 2.1"/>
                <action type="action" id="Microsoft.Office.RecordsManagement.PolicyFeatures.Expiration.Action.MoveToRecycleBin"/>
              </data>
            </stages>
          </Schedule>
        </Schedules>
      </p:CustomData>
    </p:PolicyItem>
  </p:PolicyItems>
</p:Policy>
</file>

<file path=customXml/item4.xml><?xml version="1.0" encoding="utf-8"?>
<?mso-contentType ?>
<SharedContentType xmlns="Microsoft.SharePoint.Taxonomy.ContentTypeSync" SourceId="7c593367-9bb5-4764-945e-f6a26d2260c4" ContentTypeId="0x0101" PreviousValue="true"/>
</file>

<file path=customXml/item5.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gbbd9102adcd43839cd73b51972a464c xmlns="e941b624-166c-4987-9ed6-d539972f16a8">
      <Terms xmlns="http://schemas.microsoft.com/office/infopath/2007/PartnerControls">
        <TermInfo xmlns="http://schemas.microsoft.com/office/infopath/2007/PartnerControls">
          <TermName xmlns="http://schemas.microsoft.com/office/infopath/2007/PartnerControls">Long-Term</TermName>
          <TermId xmlns="http://schemas.microsoft.com/office/infopath/2007/PartnerControls">450f2ec9-198b-4bf0-b08c-74a80f1899d3</TermId>
        </TermInfo>
      </Terms>
    </gbbd9102adcd43839cd73b51972a464c>
    <Owner xmlns="7F2684DE-4891-4716-893C-73B6405F6FD0">
      <UserInfo>
        <DisplayName/>
        <AccountId xsi:nil="true"/>
        <AccountType/>
      </UserInfo>
    </Owner>
    <_dlc_DocId xmlns="51042502-ec0f-4ba3-95d1-c1e044d078f3">DTZMRRZ3RA43-264-92</_dlc_DocId>
    <TaxCatchAll xmlns="e941b624-166c-4987-9ed6-d539972f16a8">
      <Value>5</Value>
    </TaxCatchAll>
    <Status xmlns="7F2684DE-4891-4716-893C-73B6405F6FD0">Final</Status>
    <_dlc_ExpireDateSaved xmlns="http://schemas.microsoft.com/sharepoint/v3" xsi:nil="true"/>
    <_dlc_DocIdUrl xmlns="51042502-ec0f-4ba3-95d1-c1e044d078f3">
      <Url>http://sp-coll-bhc.bayer-ag.com/sites/200256/OI-038/_layouts/15/DocIdRedir.aspx?ID=DTZMRRZ3RA43-264-92</Url>
      <Description>DTZMRRZ3RA43-264-92</Description>
    </_dlc_DocIdUrl>
    <_dlc_ExpireDate xmlns="http://schemas.microsoft.com/sharepoint/v3">2029-02-27T16:51:30+00:00</_dlc_ExpireDate>
  </documentManagement>
</p:properties>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D60C6-3A49-44B4-BF78-48245B80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41b624-166c-4987-9ed6-d539972f16a8"/>
    <ds:schemaRef ds:uri="51042502-ec0f-4ba3-95d1-c1e044d078f3"/>
    <ds:schemaRef ds:uri="7F2684DE-4891-4716-893C-73B6405F6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3E406B-D330-40B8-8664-F6C051B6F9DE}">
  <ds:schemaRefs>
    <ds:schemaRef ds:uri="urn:schemas-microsoft-com.VSTO2008Demos.ControlsStorage"/>
  </ds:schemaRefs>
</ds:datastoreItem>
</file>

<file path=customXml/itemProps3.xml><?xml version="1.0" encoding="utf-8"?>
<ds:datastoreItem xmlns:ds="http://schemas.openxmlformats.org/officeDocument/2006/customXml" ds:itemID="{25D3B9E8-E9EE-4E2B-873A-71F0A8A746C0}">
  <ds:schemaRefs>
    <ds:schemaRef ds:uri="office.server.policy"/>
  </ds:schemaRefs>
</ds:datastoreItem>
</file>

<file path=customXml/itemProps4.xml><?xml version="1.0" encoding="utf-8"?>
<ds:datastoreItem xmlns:ds="http://schemas.openxmlformats.org/officeDocument/2006/customXml" ds:itemID="{801F3939-ED0E-4150-919E-44C16EE67876}">
  <ds:schemaRefs>
    <ds:schemaRef ds:uri="Microsoft.SharePoint.Taxonomy.ContentTypeSync"/>
  </ds:schemaRefs>
</ds:datastoreItem>
</file>

<file path=customXml/itemProps5.xml><?xml version="1.0" encoding="utf-8"?>
<ds:datastoreItem xmlns:ds="http://schemas.openxmlformats.org/officeDocument/2006/customXml" ds:itemID="{8157CBCC-355A-4995-A614-2E3DC8F4AB45}">
  <ds:schemaRefs>
    <ds:schemaRef ds:uri="http://schemas.microsoft.com/sharepoint/events"/>
  </ds:schemaRefs>
</ds:datastoreItem>
</file>

<file path=customXml/itemProps6.xml><?xml version="1.0" encoding="utf-8"?>
<ds:datastoreItem xmlns:ds="http://schemas.openxmlformats.org/officeDocument/2006/customXml" ds:itemID="{11E24364-7A03-4229-903B-7CDD68D4F304}">
  <ds:schemaRefs>
    <ds:schemaRef ds:uri="http://schemas.openxmlformats.org/officeDocument/2006/bibliography"/>
  </ds:schemaRefs>
</ds:datastoreItem>
</file>

<file path=customXml/itemProps7.xml><?xml version="1.0" encoding="utf-8"?>
<ds:datastoreItem xmlns:ds="http://schemas.openxmlformats.org/officeDocument/2006/customXml" ds:itemID="{63DE48E2-D426-447C-98E1-8EF36F4BBC32}">
  <ds:schemaRefs>
    <ds:schemaRef ds:uri="http://schemas.microsoft.com/office/2006/metadata/properties"/>
    <ds:schemaRef ds:uri="http://schemas.microsoft.com/office/infopath/2007/PartnerControls"/>
    <ds:schemaRef ds:uri="e941b624-166c-4987-9ed6-d539972f16a8"/>
    <ds:schemaRef ds:uri="7F2684DE-4891-4716-893C-73B6405F6FD0"/>
    <ds:schemaRef ds:uri="51042502-ec0f-4ba3-95d1-c1e044d078f3"/>
    <ds:schemaRef ds:uri="http://schemas.microsoft.com/sharepoint/v3"/>
  </ds:schemaRefs>
</ds:datastoreItem>
</file>

<file path=customXml/itemProps8.xml><?xml version="1.0" encoding="utf-8"?>
<ds:datastoreItem xmlns:ds="http://schemas.openxmlformats.org/officeDocument/2006/customXml" ds:itemID="{51FA366B-A0BE-4979-8391-4D232CBA2A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rd-m-0003-ctd_v2.dotx</Template>
  <TotalTime>0</TotalTime>
  <Pages>127</Pages>
  <Words>22</Words>
  <Characters>132</Characters>
  <Application>Microsoft Office Word</Application>
  <DocSecurity>0</DocSecurity>
  <Lines>1</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CTD.dotx</vt:lpstr>
      <vt:lpstr>CTD.dotx</vt:lpstr>
    </vt:vector>
  </TitlesOfParts>
  <Company>Bayer AG</Company>
  <LinksUpToDate>false</LinksUpToDate>
  <CharactersWithSpaces>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CTD.dotx</dc:title>
  <dc:subject>Attachment to Manual</dc:subject>
  <dc:creator>Dominik Habel</dc:creator>
  <cp:keywords>Version 3.0</cp:keywords>
  <dc:description>Version 3.0
Bayer TRD Source: 12 Pt
Bayer Bibliography Blue: new style
Bayer ToT ToF LoR Heading: New style
Bayer-ToC 1: right 0.5 cm
Quick parts for Bayer Tables and Figures included
Bullet Bayer Body Text adjusted
Bullet_2 Bayer Body Text adjusted
Margins adjusted to all 2,50 cm</dc:description>
  <cp:lastModifiedBy>Dominik Habel</cp:lastModifiedBy>
  <cp:revision>27</cp:revision>
  <cp:lastPrinted>2017-02-17T14:54:00Z</cp:lastPrinted>
  <dcterms:created xsi:type="dcterms:W3CDTF">2023-03-07T07:17:00Z</dcterms:created>
  <dcterms:modified xsi:type="dcterms:W3CDTF">2023-10-11T13:19:00Z</dcterms:modified>
  <cp:category>Bayer CTD</cp:category>
  <cp:contentStatus>2017-01-10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0x0101002783129AC49DDD4A8D75DC52AB3AE28B</vt:lpwstr>
  </property>
  <property fmtid="{D5CDD505-2E9C-101B-9397-08002B2CF9AE}" pid="3" name="DataClassBayerRetention">
    <vt:lpwstr>5;#Long-Term|450f2ec9-198b-4bf0-b08c-74a80f1899d3</vt:lpwstr>
  </property>
  <property fmtid="{D5CDD505-2E9C-101B-9397-08002B2CF9AE}" pid="4" name="docfish_capcount_Figure:1">
    <vt:i4>0</vt:i4>
  </property>
  <property fmtid="{D5CDD505-2E9C-101B-9397-08002B2CF9AE}" pid="5" name="docfish_capcount_Figure:2">
    <vt:i4>0</vt:i4>
  </property>
  <property fmtid="{D5CDD505-2E9C-101B-9397-08002B2CF9AE}" pid="6" name="docfish_capcount_Figure:3">
    <vt:i4>2</vt:i4>
  </property>
  <property fmtid="{D5CDD505-2E9C-101B-9397-08002B2CF9AE}" pid="7" name="docfish_capcount_Figure:4">
    <vt:i4>0</vt:i4>
  </property>
  <property fmtid="{D5CDD505-2E9C-101B-9397-08002B2CF9AE}" pid="8" name="docfish_capcount_Figure:5">
    <vt:i4>0</vt:i4>
  </property>
  <property fmtid="{D5CDD505-2E9C-101B-9397-08002B2CF9AE}" pid="9" name="docfish_capcount_Figure:6">
    <vt:i4>0</vt:i4>
  </property>
  <property fmtid="{D5CDD505-2E9C-101B-9397-08002B2CF9AE}" pid="10" name="docfish_capcount_Figure:7">
    <vt:i4>0</vt:i4>
  </property>
  <property fmtid="{D5CDD505-2E9C-101B-9397-08002B2CF9AE}" pid="11" name="docfish_capcount_Figure:8">
    <vt:i4>0</vt:i4>
  </property>
  <property fmtid="{D5CDD505-2E9C-101B-9397-08002B2CF9AE}" pid="12" name="docfish_capcount_Figure:9">
    <vt:i4>0</vt:i4>
  </property>
  <property fmtid="{D5CDD505-2E9C-101B-9397-08002B2CF9AE}" pid="13" name="docfish_capcount_Listing:1">
    <vt:i4>0</vt:i4>
  </property>
  <property fmtid="{D5CDD505-2E9C-101B-9397-08002B2CF9AE}" pid="14" name="docfish_capcount_Listing:2">
    <vt:i4>0</vt:i4>
  </property>
  <property fmtid="{D5CDD505-2E9C-101B-9397-08002B2CF9AE}" pid="15" name="docfish_capcount_Listing:3">
    <vt:i4>0</vt:i4>
  </property>
  <property fmtid="{D5CDD505-2E9C-101B-9397-08002B2CF9AE}" pid="16" name="docfish_capcount_Listing:4">
    <vt:i4>0</vt:i4>
  </property>
  <property fmtid="{D5CDD505-2E9C-101B-9397-08002B2CF9AE}" pid="17" name="docfish_capcount_Listing:5">
    <vt:i4>0</vt:i4>
  </property>
  <property fmtid="{D5CDD505-2E9C-101B-9397-08002B2CF9AE}" pid="18" name="docfish_capcount_Listing:6">
    <vt:i4>0</vt:i4>
  </property>
  <property fmtid="{D5CDD505-2E9C-101B-9397-08002B2CF9AE}" pid="19" name="docfish_capcount_Listing:7">
    <vt:i4>0</vt:i4>
  </property>
  <property fmtid="{D5CDD505-2E9C-101B-9397-08002B2CF9AE}" pid="20" name="docfish_capcount_Listing:8">
    <vt:i4>0</vt:i4>
  </property>
  <property fmtid="{D5CDD505-2E9C-101B-9397-08002B2CF9AE}" pid="21" name="docfish_capcount_Listing:9">
    <vt:i4>0</vt:i4>
  </property>
  <property fmtid="{D5CDD505-2E9C-101B-9397-08002B2CF9AE}" pid="22" name="docfish_capcount_Table:1">
    <vt:i4>0</vt:i4>
  </property>
  <property fmtid="{D5CDD505-2E9C-101B-9397-08002B2CF9AE}" pid="23" name="docfish_capcount_Table:2">
    <vt:i4>0</vt:i4>
  </property>
  <property fmtid="{D5CDD505-2E9C-101B-9397-08002B2CF9AE}" pid="24" name="docfish_capcount_Table:3">
    <vt:i4>6</vt:i4>
  </property>
  <property fmtid="{D5CDD505-2E9C-101B-9397-08002B2CF9AE}" pid="25" name="docfish_capcount_Table:4">
    <vt:i4>0</vt:i4>
  </property>
  <property fmtid="{D5CDD505-2E9C-101B-9397-08002B2CF9AE}" pid="26" name="docfish_capcount_Table:5">
    <vt:i4>0</vt:i4>
  </property>
  <property fmtid="{D5CDD505-2E9C-101B-9397-08002B2CF9AE}" pid="27" name="docfish_capcount_Table:6">
    <vt:i4>0</vt:i4>
  </property>
  <property fmtid="{D5CDD505-2E9C-101B-9397-08002B2CF9AE}" pid="28" name="docfish_capcount_Table:7">
    <vt:i4>0</vt:i4>
  </property>
  <property fmtid="{D5CDD505-2E9C-101B-9397-08002B2CF9AE}" pid="29" name="docfish_capcount_Table:8">
    <vt:i4>0</vt:i4>
  </property>
  <property fmtid="{D5CDD505-2E9C-101B-9397-08002B2CF9AE}" pid="30" name="docfish_capcount_Table:9">
    <vt:i4>0</vt:i4>
  </property>
  <property fmtid="{D5CDD505-2E9C-101B-9397-08002B2CF9AE}" pid="31" name="docfish_HeaderCount">
    <vt:lpwstr>8.1.7</vt:lpwstr>
  </property>
  <property fmtid="{D5CDD505-2E9C-101B-9397-08002B2CF9AE}" pid="32" name="docfish_title_1">
    <vt:lpwstr>Tables and figures referred to but not included in the text</vt:lpwstr>
  </property>
  <property fmtid="{D5CDD505-2E9C-101B-9397-08002B2CF9AE}" pid="33" name="docfish_title_2">
    <vt:lpwstr>Demographics</vt:lpwstr>
  </property>
  <property fmtid="{D5CDD505-2E9C-101B-9397-08002B2CF9AE}" pid="34" name="docfish_title_3">
    <vt:lpwstr>Intercurrent events</vt:lpwstr>
  </property>
  <property fmtid="{D5CDD505-2E9C-101B-9397-08002B2CF9AE}" pid="35" name="ItemRetentionFormula">
    <vt:lpwstr>&lt;formula id="Bayer SharePoint Retention Policy 2.1" /&gt;</vt:lpwstr>
  </property>
  <property fmtid="{D5CDD505-2E9C-101B-9397-08002B2CF9AE}" pid="36" name="MSIP_Label_7f850223-87a8-40c3-9eb2-432606efca2a_ActionId">
    <vt:lpwstr>d6505a88-87a3-462f-b0b9-8c69b04a0f88</vt:lpwstr>
  </property>
  <property fmtid="{D5CDD505-2E9C-101B-9397-08002B2CF9AE}" pid="37" name="MSIP_Label_7f850223-87a8-40c3-9eb2-432606efca2a_ContentBits">
    <vt:lpwstr>0</vt:lpwstr>
  </property>
  <property fmtid="{D5CDD505-2E9C-101B-9397-08002B2CF9AE}" pid="38" name="MSIP_Label_7f850223-87a8-40c3-9eb2-432606efca2a_Enabled">
    <vt:lpwstr>true</vt:lpwstr>
  </property>
  <property fmtid="{D5CDD505-2E9C-101B-9397-08002B2CF9AE}" pid="39" name="MSIP_Label_7f850223-87a8-40c3-9eb2-432606efca2a_Method">
    <vt:lpwstr>Standard</vt:lpwstr>
  </property>
  <property fmtid="{D5CDD505-2E9C-101B-9397-08002B2CF9AE}" pid="40" name="MSIP_Label_7f850223-87a8-40c3-9eb2-432606efca2a_Name">
    <vt:lpwstr>7f850223-87a8-40c3-9eb2-432606efca2a</vt:lpwstr>
  </property>
  <property fmtid="{D5CDD505-2E9C-101B-9397-08002B2CF9AE}" pid="41" name="MSIP_Label_7f850223-87a8-40c3-9eb2-432606efca2a_SetDate">
    <vt:lpwstr>2023-03-07T07:17:24Z</vt:lpwstr>
  </property>
  <property fmtid="{D5CDD505-2E9C-101B-9397-08002B2CF9AE}" pid="42" name="MSIP_Label_7f850223-87a8-40c3-9eb2-432606efca2a_SiteId">
    <vt:lpwstr>fcb2b37b-5da0-466b-9b83-0014b67a7c78</vt:lpwstr>
  </property>
  <property fmtid="{D5CDD505-2E9C-101B-9397-08002B2CF9AE}" pid="43" name="_dlc_DocIdItemGuid">
    <vt:lpwstr>6b8c3913-eedd-41ac-8151-74ade1376001</vt:lpwstr>
  </property>
  <property fmtid="{D5CDD505-2E9C-101B-9397-08002B2CF9AE}" pid="44" name="_dlc_policyId">
    <vt:lpwstr>0x0101|-2126682137</vt:lpwstr>
  </property>
</Properties>
</file>