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1.0 -->
  <w:body>
    <w:p w:rsidR="00572B9E" w:rsidRPr="00E04530" w:rsidP="00572B9E" w14:paraId="0352AB56" w14:textId="15CE101D">
      <w:pPr>
        <w:pStyle w:val="BayerBodyTextFull"/>
        <w:pageBreakBefore w:val="0"/>
        <w:rPr>
          <w:b/>
          <w:lang w:val="de-DE"/>
        </w:rPr>
      </w:pPr>
      <w:bookmarkStart w:id="0" w:name="_Toc68684329"/>
      <w:bookmarkStart w:id="1" w:name="_Toc53910770"/>
      <w:bookmarkStart w:id="2" w:name="_Toc53820456"/>
      <w:bookmarkStart w:id="3" w:name="_Ref35744917"/>
      <w:bookmarkStart w:id="4" w:name="_Ref35744886"/>
      <w:bookmarkStart w:id="5" w:name="_Ref35744875"/>
      <w:bookmarkStart w:id="6" w:name="_Ref35744861"/>
      <w:bookmarkStart w:id="7" w:name="_Ref35744844"/>
      <w:r w:rsidRPr="00E04530">
        <w:rPr>
          <w:b/>
          <w:lang w:val="de-DE"/>
        </w:rPr>
        <w:t xml:space="preserve">Table </w:t>
      </w:r>
      <w:r w:rsidRPr="00E04530">
        <w:rPr>
          <w:b/>
          <w:lang w:val="de-DE"/>
        </w:rPr>
        <w:t>of</w:t>
      </w:r>
      <w:r w:rsidRPr="00E04530">
        <w:rPr>
          <w:b/>
          <w:lang w:val="de-DE"/>
        </w:rPr>
        <w:t xml:space="preserve"> </w:t>
      </w:r>
      <w:r w:rsidRPr="00E04530">
        <w:rPr>
          <w:b/>
          <w:lang w:val="de-DE"/>
        </w:rPr>
        <w:t>contents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EDC0B92" w14:textId="69565B9B">
      <w:pPr>
        <w:pStyle w:val="TOC1"/>
        <w:rPr>
          <w:rFonts w:asciiTheme="minorHAnsi" w:hAnsiTheme="minorHAnsi"/>
          <w:noProof/>
          <w:sz w:val="22"/>
        </w:rPr>
      </w:pPr>
      <w:r w:rsidRPr="00B61F8E">
        <w:rPr>
          <w:b/>
          <w:bCs/>
          <w:noProof/>
          <w:lang w:val="de-DE"/>
        </w:rPr>
        <w:fldChar w:fldCharType="begin"/>
      </w:r>
      <w:r w:rsidRPr="00B61F8E">
        <w:rPr>
          <w:b/>
          <w:bCs/>
          <w:noProof/>
          <w:lang w:val="de-DE"/>
        </w:rPr>
        <w:instrText>TOC \o "1-9" \h</w:instrText>
      </w:r>
      <w:r w:rsidRPr="00B61F8E">
        <w:rPr>
          <w:b/>
          <w:bCs/>
          <w:noProof/>
          <w:lang w:val="de-DE"/>
        </w:rPr>
        <w:fldChar w:fldCharType="separate"/>
      </w:r>
      <w:hyperlink w:anchor="_Toc256000000" w:history="1">
        <w:r>
          <w:rPr>
            <w:rStyle w:val="Hyperlink"/>
          </w:rPr>
          <w:t>1. Tables and figures referred to but not included in the text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rPr>
          <w:rFonts w:asciiTheme="minorHAnsi" w:hAnsiTheme="minorHAnsi"/>
          <w:noProof/>
          <w:sz w:val="22"/>
        </w:rPr>
      </w:pPr>
      <w:hyperlink w:anchor="_Toc256000001" w:history="1">
        <w:r>
          <w:rPr>
            <w:rStyle w:val="Hyperlink"/>
          </w:rPr>
          <w:t>1.1 Demographics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02" w:history="1">
        <w:r>
          <w:rPr>
            <w:rStyle w:val="Hyperlink"/>
          </w:rPr>
          <w:t>1.1.1 Disposition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3" w:history="1">
        <w:r>
          <w:rPr>
            <w:rStyle w:val="Hyperlink"/>
          </w:rPr>
          <w:t>Table 1.1.1 / 1: Disposition in overall study (all enrolled subjects)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05" w:history="1">
        <w:r>
          <w:rPr>
            <w:rStyle w:val="Hyperlink"/>
          </w:rPr>
          <w:t>1.1.2 Demographics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6" w:history="1">
        <w:r>
          <w:rPr>
            <w:rStyle w:val="Hyperlink"/>
          </w:rPr>
          <w:t>Table 1.1.2 / 1: Demographics overall (full analysis set)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8" w:history="1">
        <w:r>
          <w:rPr>
            <w:rStyle w:val="Hyperlink"/>
          </w:rPr>
          <w:t>Table 1.1.2 / 2: Demographics overall (safety analysis set)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0" w:history="1">
        <w:r>
          <w:rPr>
            <w:rStyle w:val="Hyperlink"/>
          </w:rPr>
          <w:t>Table 1.1.2 / 3: Demographics overall (sleep analysis set)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rPr>
          <w:rFonts w:asciiTheme="minorHAnsi" w:hAnsiTheme="minorHAnsi"/>
          <w:noProof/>
          <w:sz w:val="22"/>
        </w:rPr>
      </w:pPr>
      <w:hyperlink w:anchor="_Toc256000012" w:history="1">
        <w:r>
          <w:rPr>
            <w:rStyle w:val="Hyperlink"/>
          </w:rPr>
          <w:t>1.2 Efficacy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13" w:history="1">
        <w:r>
          <w:rPr>
            <w:rStyle w:val="Hyperlink"/>
          </w:rPr>
          <w:t>1.2.1 Overview of the main analyses results</w:t>
        </w:r>
        <w:r>
          <w:tab/>
        </w:r>
        <w:r>
          <w:fldChar w:fldCharType="begin"/>
        </w:r>
        <w:r>
          <w:instrText xml:space="preserve"> PAGEREF _Toc256000013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4" w:history="1">
        <w:r>
          <w:rPr>
            <w:rStyle w:val="Hyperlink"/>
          </w:rPr>
          <w:t>Table 1.2.1 / 1: Overview of testing of statistical hypotheses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16" w:history="1">
        <w:r>
          <w:rPr>
            <w:rStyle w:val="Hyperlink"/>
          </w:rPr>
          <w:t>1.2.2 Frequency of moderate to severe hot flashes - Main analyses</w:t>
        </w:r>
        <w:r>
          <w:tab/>
        </w:r>
        <w:r>
          <w:fldChar w:fldCharType="begin"/>
        </w:r>
        <w:r>
          <w:instrText xml:space="preserve"> PAGEREF _Toc256000016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7" w:history="1">
        <w:r>
          <w:rPr>
            <w:rStyle w:val="Hyperlink"/>
          </w:rPr>
          <w:t>Table 1.2.2 / 1: Mean daily frequency of moderate to severe hot flashes: summary statistics and change from baseline by treatment group (full analysis set)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9" w:history="1">
        <w:r>
          <w:rPr>
            <w:rStyle w:val="Hyperlink"/>
          </w:rPr>
          <w:t>Table 1.2.2 / 2: Change from baseline in mean daily frequency of moderate to severe hot flashes - MMRM analysis - by treatment group (full analysis set)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1" w:history="1">
        <w:r>
          <w:rPr>
            <w:rStyle w:val="Hyperlink"/>
          </w:rPr>
          <w:t>Figure 1.2.2 / 1: Line plot of LS-Means (MMRM) of change from baseline in mean daily frequency of moderate to severe hot flashes by treatment group (full analysis set)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22" w:history="1">
        <w:r>
          <w:rPr>
            <w:rStyle w:val="Hyperlink"/>
          </w:rPr>
          <w:t>1.2.3 Severity of moderate to severe hot flashes - Main analyses</w:t>
        </w:r>
        <w:r>
          <w:tab/>
        </w:r>
        <w:r>
          <w:fldChar w:fldCharType="begin"/>
        </w:r>
        <w:r>
          <w:instrText xml:space="preserve"> PAGEREF _Toc256000022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3" w:history="1">
        <w:r>
          <w:rPr>
            <w:rStyle w:val="Hyperlink"/>
          </w:rPr>
          <w:t>Table 1.2.3 / 1: Mean daily severity of moderate to severe hot flashes: summary statistics and change from baseline by treatment group (full analysis set)</w:t>
        </w:r>
        <w:r>
          <w:tab/>
        </w:r>
        <w:r>
          <w:fldChar w:fldCharType="begin"/>
        </w:r>
        <w:r>
          <w:instrText xml:space="preserve"> PAGEREF _Toc256000023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5" w:history="1">
        <w:r>
          <w:rPr>
            <w:rStyle w:val="Hyperlink"/>
          </w:rPr>
          <w:t>Table 1.2.3 / 2: Change from baseline in mean daily severity of moderate to severe hot flashes - MMRM analysis - by treatment group (full analysis set)</w:t>
        </w:r>
        <w:r>
          <w:tab/>
        </w:r>
        <w:r>
          <w:fldChar w:fldCharType="begin"/>
        </w:r>
        <w:r>
          <w:instrText xml:space="preserve"> PAGEREF _Toc256000025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7" w:history="1">
        <w:r>
          <w:rPr>
            <w:rStyle w:val="Hyperlink"/>
          </w:rPr>
          <w:t>Figure 1.2.3 / 1: Line plot of LS-Means (MMRM) of change from baseline in mean daily severity of moderate to severe hot flashes by treatment group (full analysis set)</w:t>
        </w:r>
        <w:r>
          <w:tab/>
        </w:r>
        <w:r>
          <w:fldChar w:fldCharType="begin"/>
        </w:r>
        <w:r>
          <w:instrText xml:space="preserve"> PAGEREF _Toc256000027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28" w:history="1">
        <w:r>
          <w:rPr>
            <w:rStyle w:val="Hyperlink"/>
          </w:rPr>
          <w:t>1.2.4 PROMIS SD SF 8b - Main analyses</w:t>
        </w:r>
        <w:r>
          <w:tab/>
        </w:r>
        <w:r>
          <w:fldChar w:fldCharType="begin"/>
        </w:r>
        <w:r>
          <w:instrText xml:space="preserve"> PAGEREF _Toc256000028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9" w:history="1">
        <w:r>
          <w:rPr>
            <w:rStyle w:val="Hyperlink"/>
          </w:rPr>
          <w:t>Table 1.2.4 / 1: PROMIS SD SF 8b total T-score: summary statistics and change from baseline by treatment group (full analysis set)</w:t>
        </w:r>
        <w:r>
          <w:tab/>
        </w:r>
        <w:r>
          <w:fldChar w:fldCharType="begin"/>
        </w:r>
        <w:r>
          <w:instrText xml:space="preserve"> PAGEREF _Toc256000029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1" w:history="1">
        <w:r>
          <w:rPr>
            <w:rStyle w:val="Hyperlink"/>
          </w:rPr>
          <w:t>Table 1.2.4 / 2: PROMIS SD SF 8b total T-score change from baseline - MMRM analysis - by treatment group (full analysis set)</w:t>
        </w:r>
        <w:r>
          <w:tab/>
        </w:r>
        <w:r>
          <w:fldChar w:fldCharType="begin"/>
        </w:r>
        <w:r>
          <w:instrText xml:space="preserve"> PAGEREF _Toc256000031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33" w:history="1">
        <w:r>
          <w:rPr>
            <w:rStyle w:val="Hyperlink"/>
          </w:rPr>
          <w:t>1.2.5 MENQOL - Main analyses</w:t>
        </w:r>
        <w:r>
          <w:tab/>
        </w:r>
        <w:r>
          <w:fldChar w:fldCharType="begin"/>
        </w:r>
        <w:r>
          <w:instrText xml:space="preserve"> PAGEREF _Toc256000033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4" w:history="1">
        <w:r>
          <w:rPr>
            <w:rStyle w:val="Hyperlink"/>
          </w:rPr>
          <w:t>Table 1.2.5 / 1: MENQOL total score: summary statistics and change from baseline by treatment group (full analysis set)</w:t>
        </w:r>
        <w:r>
          <w:tab/>
        </w:r>
        <w:r>
          <w:fldChar w:fldCharType="begin"/>
        </w:r>
        <w:r>
          <w:instrText xml:space="preserve"> PAGEREF _Toc256000034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6" w:history="1">
        <w:r>
          <w:rPr>
            <w:rStyle w:val="Hyperlink"/>
          </w:rPr>
          <w:t>Table 1.2.5 / 2: MENQOL total score change from baseline - MMRM analysis - by treatment group (full analysis set)</w:t>
        </w:r>
        <w:r>
          <w:tab/>
        </w:r>
        <w:r>
          <w:fldChar w:fldCharType="begin"/>
        </w:r>
        <w:r>
          <w:instrText xml:space="preserve"> PAGEREF _Toc256000036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2"/>
        <w:rPr>
          <w:rFonts w:asciiTheme="minorHAnsi" w:hAnsiTheme="minorHAnsi"/>
          <w:noProof/>
          <w:sz w:val="22"/>
        </w:rPr>
      </w:pPr>
      <w:hyperlink w:anchor="_Toc256000038" w:history="1">
        <w:r>
          <w:rPr>
            <w:rStyle w:val="Hyperlink"/>
          </w:rPr>
          <w:t>1.3 Safety</w:t>
        </w:r>
        <w:r>
          <w:tab/>
        </w:r>
        <w:r>
          <w:fldChar w:fldCharType="begin"/>
        </w:r>
        <w:r>
          <w:instrText xml:space="preserve"> PAGEREF _Toc256000038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39" w:history="1">
        <w:r>
          <w:rPr>
            <w:rStyle w:val="Hyperlink"/>
          </w:rPr>
          <w:t>1.3.1 Treatment-emergent adverse events</w:t>
        </w:r>
        <w:r>
          <w:tab/>
        </w:r>
        <w:r>
          <w:fldChar w:fldCharType="begin"/>
        </w:r>
        <w:r>
          <w:instrText xml:space="preserve"> PAGEREF _Toc256000039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0" w:history="1">
        <w:r>
          <w:rPr>
            <w:rStyle w:val="Hyperlink"/>
          </w:rPr>
          <w:t>Table 1.3.1 / 1: Treatment-emergent adverse events: number of subjects by primary system organ class and preferred term (safety analysis set)</w:t>
        </w:r>
        <w:r>
          <w:tab/>
        </w:r>
        <w:r>
          <w:fldChar w:fldCharType="begin"/>
        </w:r>
        <w:r>
          <w:instrText xml:space="preserve"> PAGEREF _Toc256000040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3"/>
        <w:rPr>
          <w:rFonts w:asciiTheme="minorHAnsi" w:hAnsiTheme="minorHAnsi"/>
          <w:noProof/>
          <w:sz w:val="22"/>
        </w:rPr>
      </w:pPr>
      <w:hyperlink w:anchor="_Toc256000042" w:history="1">
        <w:r>
          <w:rPr>
            <w:rStyle w:val="Hyperlink"/>
          </w:rPr>
          <w:t>1.3.2 Treatment-emergent serious adverse events</w:t>
        </w:r>
        <w:r>
          <w:tab/>
        </w:r>
        <w:r>
          <w:fldChar w:fldCharType="begin"/>
        </w:r>
        <w:r>
          <w:instrText xml:space="preserve"> PAGEREF _Toc256000042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43" w:history="1">
        <w:r>
          <w:rPr>
            <w:rStyle w:val="Hyperlink"/>
          </w:rPr>
          <w:t>Table 1.3.2 / 1: Treatment-emergent serious adverse events: number of subjects by primary system organ class and preferred term (safety analysis set)</w:t>
        </w:r>
        <w:r>
          <w:tab/>
        </w:r>
        <w:r>
          <w:fldChar w:fldCharType="begin"/>
        </w:r>
        <w:r>
          <w:instrText xml:space="preserve"> PAGEREF _Toc256000043 \h </w:instrText>
        </w:r>
        <w:r>
          <w:fldChar w:fldCharType="separate"/>
        </w:r>
        <w:r>
          <w:t>44</w:t>
        </w:r>
        <w:r>
          <w:fldChar w:fldCharType="end"/>
        </w:r>
      </w:hyperlink>
    </w:p>
    <w:p w:rsidR="00572B9E" w:rsidRPr="0063016D" w:rsidP="00572B9E">
      <w:pPr>
        <w:pStyle w:val="BayerBodyTextFull"/>
        <w:rPr>
          <w:b/>
          <w:bCs/>
          <w:noProof/>
          <w:lang w:val="de-DE"/>
        </w:rPr>
        <w:sectPr w:rsidSect="002E0C06">
          <w:headerReference w:type="default" r:id="rId12"/>
          <w:headerReference w:type="first" r:id="rId13"/>
          <w:endnotePr>
            <w:numFmt w:val="decimal"/>
          </w:endnotePr>
          <w:pgSz w:w="11907" w:h="16840" w:code="9"/>
          <w:pgMar w:top="1418" w:right="1418" w:bottom="1418" w:left="1418" w:header="720" w:footer="57" w:gutter="0"/>
          <w:cols w:space="720"/>
          <w:formProt w:val="0"/>
          <w:titlePg/>
          <w:docGrid w:linePitch="326"/>
        </w:sectPr>
      </w:pPr>
      <w:r w:rsidRPr="00B61F8E">
        <w:rPr>
          <w:b/>
          <w:bCs/>
          <w:noProof/>
          <w:lang w:val="de-DE"/>
        </w:rPr>
        <w:fldChar w:fldCharType="end"/>
      </w:r>
    </w:p>
    <w:p>
      <w:pPr>
        <w:pStyle w:val="Heading1"/>
        <w:pageBreakBefore w:val="0"/>
        <w:spacing w:before="240" w:after="120" w:line="240" w:lineRule="auto"/>
        <w:sectPr w:rsidSect="00650FC8">
          <w:headerReference w:type="default" r:id="rId14"/>
          <w:pgSz w:w="16839" w:h="11907" w:orient="landscape" w:code="9"/>
          <w:pgMar w:top="1418" w:right="1418" w:bottom="1418" w:left="1418" w:header="720" w:footer="57" w:gutter="0"/>
          <w:cols w:space="720"/>
          <w:docGrid w:linePitch="326"/>
        </w:sectPr>
      </w:pPr>
      <w:bookmarkStart w:id="8" w:name="_Toc256000000"/>
      <w:r>
        <w:t>1. Tables and figures referred to but not included in the text</w:t>
      </w:r>
      <w:bookmarkEnd w:id="8"/>
    </w:p>
    <w:p>
      <w:pPr>
        <w:pStyle w:val="Heading2"/>
        <w:pageBreakBefore w:val="0"/>
        <w:spacing w:before="240" w:after="120" w:line="240" w:lineRule="auto"/>
        <w:sectPr w:rsidSect="00650FC8">
          <w:headerReference w:type="default" r:id="rId15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center"/>
          <w:docGrid w:linePitch="326"/>
        </w:sectPr>
      </w:pPr>
      <w:bookmarkStart w:id="9" w:name="_Toc256000001"/>
      <w:r>
        <w:t>1.1 Demographics</w:t>
      </w:r>
      <w:bookmarkEnd w:id="9"/>
    </w:p>
    <w:p>
      <w:pPr>
        <w:pStyle w:val="Heading3"/>
        <w:pageBreakBefore w:val="0"/>
        <w:spacing w:before="120" w:after="0" w:line="240" w:lineRule="auto"/>
      </w:pPr>
      <w:bookmarkStart w:id="10" w:name="_Toc256000002"/>
      <w:r>
        <w:t>1.1.1 Disposition</w:t>
      </w:r>
      <w:bookmarkEnd w:id="10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0"/>
        <w:gridCol w:w="1465"/>
        <w:gridCol w:w="2105"/>
        <w:gridCol w:w="11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075" w:type="dxa"/>
            <w:gridSpan w:val="4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1" w:name="_Toc256000003"/>
            <w:r>
              <w:t>Table 1.1.1 / 1: Disposition in overall study (all enrolled subjects)</w:t>
            </w:r>
            <w:bookmarkEnd w:id="11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3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of subjects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Total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Enrolled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1535                 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Randomized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  (100.0%)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  (100.0%)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396  (100.0%)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198  (  99.5%)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195  (  99.0%)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393  (  99.2%)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Completed study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154  (  77.4%)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  (  78.7%)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309  (  78.0%)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Did not complete study treatment but completed post-treatment phase/follow-up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16  (    8.0%)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5.1%)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26  (    6.6%)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Did not complete study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  (  14.6%)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  (  16.2%)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61  (  15.4%)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Primary reason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  (  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  (    4.6%)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16  (    4.0%)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Lack of Efficacy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Lost to Follow-up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  (  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11  (  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Non-Compliance with Study Drug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5  (  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Other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Physician Decision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Randomized by Mistake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Subject Decision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  (    4.6%)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14  (    3.5%)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53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49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missing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 6  (  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075" w:type="dxa"/>
            <w:gridSpan w:val="4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Definition of completed study = completed all phases of the study including the last visit.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Number of subjects enrolled is the number of subjects who signed informed consent.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/var/swan/root/bhc/3427080/21651/stat/main01/prod/analysis/pgms/t_8_1_3_adds_disp_ovrl.sas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3"/>
        <w:pageBreakBefore/>
        <w:spacing w:before="120" w:after="0" w:line="240" w:lineRule="auto"/>
      </w:pPr>
      <w:bookmarkStart w:id="12" w:name="_Toc256000005"/>
      <w:r>
        <w:t>1.1.2 Demographics</w:t>
      </w:r>
      <w:bookmarkEnd w:id="12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1785"/>
        <w:gridCol w:w="2425"/>
        <w:gridCol w:w="17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15" w:type="dxa"/>
            <w:gridSpan w:val="4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3" w:name="_Toc256000006"/>
            <w:r>
              <w:t>Table 1.1.2 / 1: Demographics overall (full analysis set)</w:t>
            </w:r>
            <w:bookmarkEnd w:id="13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98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17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N=199 (100%)</w:t>
            </w:r>
          </w:p>
        </w:tc>
        <w:tc>
          <w:tcPr>
            <w:tcW w:w="2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N=197 (100%)</w:t>
            </w:r>
          </w:p>
        </w:tc>
        <w:tc>
          <w:tcPr>
            <w:tcW w:w="17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Total </w:t>
              <w:br/>
              <w:t>N=396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Female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  (100.0%)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  (100.0%)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396  (100.0%)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White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  (  75.9%)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154  (  78.2%)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305  (  77.0%)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Black or African American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  (  19.1%)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  (  19.3%)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  (  19.2%)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American Indian or Alaska Native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Multiple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  (    1.8%)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Hispanic or Latino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  (  90.5%)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  (  90.9%)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359  (  90.7%)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Hispanic or Latino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  (    8.5%)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7.1%)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  (    7.8%)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1.5%)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(years)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396                  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54.6  (4.9)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54.5  (4.9)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54.6  (4.9)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54.0               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55.0               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55.0               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41,  65           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40,  65           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40,  65           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group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40 - 49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  (  14.6%)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  (  15.7%)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  (  15.2%)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50 - 59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  (  67.8%)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  (  68.0%)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269  (  67.9%)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60 - 65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  (  17.6%)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  (  16.2%)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  (  16.9%)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Weight (kg)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396                  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76.17  (14.83)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74.81  (12.58)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75.50  (13.76)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74.00             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72.40             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73.20             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45.8,  117.4   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50.0,  111.1   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45.8,  117.4   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Height (cm)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396                  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165.45  (7.12)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164.57  (7.07)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165.01  (7.10)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165.10             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164.50             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165.00             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147.3,  189.0   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144.7,  184.0   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144.7,  189.0   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(kg/m2)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396                  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27.78  (4.84)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27.65  (4.52)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27.72  (4.68)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27.40             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27.20             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27.35             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18.3,  37.7     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Group (kg/m2)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&lt;18.5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18.5 to &lt;25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  (  34.7%)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  (  29.4%)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  (  32.1%)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to &lt;30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64  (  32.2%)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  (  37.1%)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  (  34.6%)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&gt;=30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  (  32.7%)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  (  33.0%)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  (  32.8%)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 History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Never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  (  75.4%)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  (  58.4%)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265  (  66.9%)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Former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  (  13.1%)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  (  16.8%)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  (  14.9%)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Current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  (  11.6%)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49  (  24.9%)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  (  18.2%)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Level of Education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Missing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College or university education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93  (  46.7%)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90  (  45.7%)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  (  46.2%)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Professional certification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  (  22.6%)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  (  20.8%)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  (  21.7%)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Attending college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Other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  (  29.6%)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63  (  32.0%)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  (  30.8%)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15" w:type="dxa"/>
            <w:gridSpan w:val="4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/var/swan/root/bhc/3427080/21651/stat/main01/prod/analysis/pgms/t_8_1_4_adsl_demo_ovrl.sas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1785"/>
        <w:gridCol w:w="2425"/>
        <w:gridCol w:w="17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15" w:type="dxa"/>
            <w:gridSpan w:val="4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4" w:name="_Toc256000008"/>
            <w:r>
              <w:t>Table 1.1.2 / 2: Demographics overall (safety analysis set)</w:t>
            </w:r>
            <w:bookmarkEnd w:id="14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98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17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N=199 (100%)</w:t>
            </w:r>
          </w:p>
        </w:tc>
        <w:tc>
          <w:tcPr>
            <w:tcW w:w="2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N=194 (100%)</w:t>
            </w:r>
          </w:p>
        </w:tc>
        <w:tc>
          <w:tcPr>
            <w:tcW w:w="17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Total </w:t>
              <w:br/>
              <w:t>N=393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Female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  (100.0%)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  (100.0%)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393  (100.0%)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White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151  (  75.9%)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154  (  79.4%)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305  (  77.6%)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Black or African American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38  (  19.1%)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36  (  18.6%)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  (  18.8%)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American Indian or Alaska Native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Multiple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7  (    1.8%)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Hispanic or Latino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  (  90.5%)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176  (  90.7%)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356  (  90.6%)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Hispanic or Latino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17  (    8.5%)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7.2%)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31  (    7.9%)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2.1%)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1.5%)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(years)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393                  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54.6  (4.9)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54.6  (4.9)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54.6  (4.9)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54.0               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55.0               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55.0               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41,  65           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40,  65           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40,  65           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group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40 - 49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  (  14.6%)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29  (  14.9%)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  (  14.8%)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50 - 59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  (  67.8%)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133  (  68.6%)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268  (  68.2%)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60 - 65 years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  (  17.6%)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  (  16.5%)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67  (  17.0%)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Weight (kg)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393                  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76.17  (14.82)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74.52  (12.35)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75.35  (13.67)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74.00             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72.28             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73.12             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45.8,  117.4   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50.0,  107.0   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45.8,  117.4   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Height (cm)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393                  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165.49  (7.09)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164.49  (7.03)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165.00  (7.07)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165.10             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164.25             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165.00             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147.3,  189.0   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144.7,  184.0   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144.7,  189.0   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(kg/m2)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199                  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393                  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27.75  (4.81)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27.58  (4.51)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27.67  (4.66)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27.40             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27.15             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27.20             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18.3,  37.7     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Group (kg/m2)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&lt;18.5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18.5 to &lt;25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69  (  34.7%)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58  (  29.9%)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  (  32.3%)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to &lt;30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64  (  32.2%)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  (  37.6%)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  (  34.9%)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&gt;=30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65  (  32.7%)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62  (  32.0%)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  (  32.3%)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 History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Never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150  (  75.4%)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112  (  57.7%)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262  (  66.7%)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Former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  (  13.1%)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33  (  17.0%)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59  (  15.0%)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Current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  (  11.6%)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49  (  25.3%)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72  (  18.3%)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Level of Education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Missing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College or university education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92  (  46.2%)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89  (  45.9%)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  (  46.1%)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Professional certification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  (  22.6%)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41  (  21.1%)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86  (  21.9%)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Attending college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1.0%)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Other</w:t>
            </w:r>
          </w:p>
        </w:tc>
        <w:tc>
          <w:tcPr>
            <w:tcW w:w="17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60  (  30.2%)   </w:t>
            </w:r>
          </w:p>
        </w:tc>
        <w:tc>
          <w:tcPr>
            <w:tcW w:w="2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61  (  31.4%)   </w:t>
            </w:r>
          </w:p>
        </w:tc>
        <w:tc>
          <w:tcPr>
            <w:tcW w:w="17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121  (  30.8%)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15" w:type="dxa"/>
            <w:gridSpan w:val="4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/var/swan/root/bhc/3427080/21651/stat/main01/prod/analysis/pgms/t_8_1_4_adsl_demo_ovrl.sas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5"/>
        <w:gridCol w:w="2445"/>
        <w:gridCol w:w="16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35" w:type="dxa"/>
            <w:gridSpan w:val="4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5" w:name="_Toc256000010"/>
            <w:r>
              <w:t>Table 1.1.2 / 3: Demographics overall (sleep analysis set)</w:t>
            </w:r>
            <w:bookmarkEnd w:id="15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0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18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N=35 (100%)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N=35 (100%)</w:t>
            </w:r>
          </w:p>
        </w:tc>
        <w:tc>
          <w:tcPr>
            <w:tcW w:w="16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Total </w:t>
              <w:br/>
              <w:t>N=70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Sex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Female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 (100.0%)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 (100.0%)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  (100.0%)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Race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White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 (  68.6%)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 (  80.0%)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  (  74.3%)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Black or African American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20.0%)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11.4%)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 (  15.7%)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Asian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5.7%)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2.9%)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American Indian or Alaska Native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2.9%)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5.7%)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4.3%)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Ethnicity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Hispanic or Latino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 (  82.9%)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  (  85.7%)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 (  84.3%)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Hispanic or Latino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14.3%)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11.4%)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  (  12.9%)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Not reported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2.9%)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(years)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55.3  (4.3)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55.9  (4.3)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55.6  (4.3)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56.0               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56.0               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56.0               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45,  63           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46,  64           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45,  64           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Age group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40 - 49 years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11.4%)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8.6%)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10.0%)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50 - 59 years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 (  74.3%)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 (  74.3%)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  (  74.3%)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60 - 65 years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14.3%)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17.1%)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 (  15.7%)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Weight (kg)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75.91  (14.86)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75.26  (10.50)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75.58  (12.78)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77.57             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73.80             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75.95             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45.8,  106.1   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55.5,  95.9     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45.8,  106.1   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Height (cm)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163.47  (7.56)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163.45  (7.37)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163.46  (7.41)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165.10             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163.00             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163.50             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147.6,  176.0   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148.5,  180.3   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147.6,  180.3   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(kg/m2)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70                  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28.34  (4.97)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28.29  (4.38)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28.32  (4.65)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28.50             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28.30             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28.35             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19.8,  37.5     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18.3,  39.0     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Body Mass Index Group (kg/m2)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&lt;18.5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1.4%)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18.5 to &lt;25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20.0%)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17.1%)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 (  18.6%)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to &lt;30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 (  48.6%)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 (  51.4%)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 (  50.0%)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&gt;=30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 (  28.6%)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 (  31.4%)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 (  30.0%)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Smoking History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Never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 (  77.1%)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  (  62.9%)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  (  70.0%)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Former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17.1%)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17.1%)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 (  17.1%)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Current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5.7%)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20.0%)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  (  12.9%)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Level of Education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Missing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1.4%)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College or university education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 (  51.4%)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 (  51.4%)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  (  51.4%)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Professional certification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8.6%)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11.4%)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10.0%)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Attending college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2.9%)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1.4%)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30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Other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 (  37.1%)     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 (  34.3%)     </w:t>
            </w:r>
          </w:p>
        </w:tc>
        <w:tc>
          <w:tcPr>
            <w:tcW w:w="16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 (  35.7%)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35" w:type="dxa"/>
            <w:gridSpan w:val="4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/var/swan/root/bhc/3427080/21651/stat/main01/prod/analysis/pgms/t_8_1_4_adsl_demo_ovrl.sas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2"/>
        <w:pageBreakBefore/>
        <w:spacing w:before="240" w:after="120" w:line="240" w:lineRule="auto"/>
      </w:pPr>
      <w:bookmarkStart w:id="16" w:name="_Toc256000012"/>
      <w:r>
        <w:t>1.2 Efficacy</w:t>
      </w:r>
      <w:bookmarkEnd w:id="16"/>
    </w:p>
    <w:p>
      <w:pPr>
        <w:pStyle w:val="Heading3"/>
        <w:spacing w:before="120" w:after="0" w:line="240" w:lineRule="auto"/>
      </w:pPr>
      <w:bookmarkStart w:id="17" w:name="_Toc256000013"/>
      <w:r>
        <w:t>1.2.1 Overview of the main analyses results</w:t>
      </w:r>
      <w:bookmarkEnd w:id="17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"/>
        <w:gridCol w:w="2905"/>
        <w:gridCol w:w="1345"/>
        <w:gridCol w:w="1445"/>
        <w:gridCol w:w="22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20" w:type="dxa"/>
            <w:gridSpan w:val="5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8" w:name="_Toc256000014"/>
            <w:r>
              <w:t>Table 1.2.1 / 1: Overview of testing of statistical hypotheses</w:t>
            </w:r>
            <w:bookmarkEnd w:id="18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4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Hypotheses</w:t>
            </w:r>
          </w:p>
        </w:tc>
        <w:tc>
          <w:tcPr>
            <w:tcW w:w="29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Efficacy variable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Significance level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Result regarding null hypothesis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H1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HF frequency at week 4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0.0250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H2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HF frequency at week 12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0.0250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H3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HF severity at week 4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0.0125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H4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HF severity at week 12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0.0125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H5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PROMIS SD SF 8b total score at week 12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0.0125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H6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HF frequency at week 1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0.0250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H7</w:t>
            </w:r>
          </w:p>
        </w:tc>
        <w:tc>
          <w:tcPr>
            <w:tcW w:w="29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MENQOL total score at week 12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0.0250</w:t>
            </w:r>
          </w:p>
        </w:tc>
        <w:tc>
          <w:tcPr>
            <w:tcW w:w="1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22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Rejected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20" w:type="dxa"/>
            <w:gridSpan w:val="5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Significance level according to multiple testing strategy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/var/swan/root/bhc/3427080/21651/stat/main01/prod/analysis/pgms/i_8_2_1_13_over_main.sas      27DEC2023 20:55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3"/>
        <w:pageBreakBefore/>
        <w:spacing w:before="120" w:after="0" w:line="240" w:lineRule="auto"/>
      </w:pPr>
      <w:bookmarkStart w:id="19" w:name="_Toc256000016"/>
      <w:r>
        <w:t>1.2.2 Frequency of moderate to severe hot flashes - Main analyses</w:t>
      </w:r>
      <w:bookmarkEnd w:id="19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1085"/>
        <w:gridCol w:w="665"/>
        <w:gridCol w:w="865"/>
        <w:gridCol w:w="425"/>
        <w:gridCol w:w="1205"/>
        <w:gridCol w:w="665"/>
        <w:gridCol w:w="9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6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0" w:name="_Toc256000017"/>
            <w:r>
              <w:t>Table 1.2.2 / 1: Mean daily frequency of moderate to severe hot flashes: summary statistics and change from baseline by treatment group (full analysis set)</w:t>
            </w:r>
            <w:bookmarkEnd w:id="20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0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32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(N=199)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13.38  (6.57)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5.0,  40.7  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8.45  (6.25)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0.0,  49.3  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-5.00  (5.05)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-26.0,  10.3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7.01  (5.89)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5.56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0.0,  38.3  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-6.39  (5.34)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-29.4,  5.6  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6.34  (5.56)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0.0,  35.3  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-7.14  (5.60)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-28.1,  6.1  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5.93  (5.57)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0.0,  36.1  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-7.48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-31.6,  5.4  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5.65  (5.49)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0.0,  31.4  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-7.82  (5.90)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-32.9,  9.5  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5.40  (5.72)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0.0,  40.6  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-8.07  (6.15)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-7.21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-29.1,  10.8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5.32  (5.70)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0.0,  33.8  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-8.13  (6.16)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-31.0,  10.5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(5.55)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0.0,  46.0  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-8.42  (6.50)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-7.82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-33.6,  13.1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5.03  (7.45)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0.0,  85.1  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-8.29  (7.62)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4.84  (7.25)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0.0,  81.6  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-8.37  (7.57)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-34.6,  40.9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4.49  (4.40)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0.0,  19.5  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-8.58  (6.53)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-33.4,  7.5  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4.37  (4.59)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0.0,  20.4  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-8.74  (6.70)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-34.9,  8.9  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4.20  (4.54)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-8.82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-33.6,  5.5  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3.88  (4.35)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-9.09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-34.6,  2.9  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3.93  (4.47)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0.0,  23.9  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-9.07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-34.5,  5.3  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3.78  (4.36)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2.07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-9.19  (6.21)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-34.7,  3.4  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3.63  (4.27)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2.14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-9.38  (6.30)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3.34  (4.12)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-9.60  (6.35)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3.45  (4.28)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-9.53  (6.31)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-35.2,  6.0  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3.12  (3.87)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-9.87  (6.40)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-35.2,  0.9  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3.31  (4.16)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-9.72  (6.58)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3.16  (3.88)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0.0,  20.1  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-9.83  (6.48)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3.14  (4.02)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0.0,  22.9  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-9.89  (6.36)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-35.2,  4.3  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3.12  (3.93)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-9.90  (6.32)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-35.2,  2.4  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3.10  (4.14)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-10.08  (6.46)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-35.2,  3.0  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3.21  (4.18)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0.0,  19.7  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-10.11  (6.41)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-8.45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5.00  (5.33)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0.0,  28.9  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-7.85  (6.20)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-33.6,  17.0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5.73  (6.18)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0.0,  37.9  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-7.05  (5.87)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-7.00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-33.6,  8.6  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5.85  (6.14)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0.0,  34.6  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-7.00  (5.78)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-33.6,  4.8  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  (6.71)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0.0,  39.0  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-6.70  (5.99)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-33.6,  6.4  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(N=197)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14.26  (13.94)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10.85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1.5,  173.9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11.63  (12.66)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0.7,  157.6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-2.72  (4.99)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10.73  (12.19)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-3.72  (5.80)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-31.6,  25.6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10.38  (14.35)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0.0,  173.4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-4.06  (6.13)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-26.6,  32.8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10.09  (15.16)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-4.37  (6.73)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9.54  (13.57)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0.0,  155.2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-4.98  (7.29)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-3.81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-33.7,  40.4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9.49  (16.13)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-4.77  (7.36)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-4.07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-27.8,  42.1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9.24  (16.46)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-4.99  (7.82)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-27.2,  54.4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9.04  (14.09)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-5.24  (8.08)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-33.2,  60.1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8.84  (13.63)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0.0,  130.5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-5.40  (8.92)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-43.4,  71.1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8.97  (15.26)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0.0,  146.6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-5.27  (9.54)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-27.3,  84.9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8.57  (14.61)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-5.66  (9.93)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-39.6,  82.9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8.68  (14.99)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-5.53  (10.16)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7.67  (17.15)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0.0,  183.2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-6.48  (9.67)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-31.9,  80.2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6.32  (14.18)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0.0,  135.9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-7.83  (9.17)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-38.0,  67.6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6.21  (17.01)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-7.89  (8.85)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-34.8,  64.5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6.03  (17.64)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-8.08  (8.87)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-37.9,  54.4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5.39  (15.83)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0.0,  171.4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-8.73  (8.51)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-37.6,  57.5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5.17  (15.94)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2.21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-8.92  (8.01)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-38.1,  50.8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5.22  (15.11)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1.93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0.0,  164.7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-8.83  (7.86)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-39.4,  45.2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5.17  (17.19)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1.71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0.0,  194.6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-8.88  (8.30)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-8.29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-38.7,  45.4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5.01  (17.29)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-9.14  (8.38)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-8.50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-38.2,  44.1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4.70  (17.16)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1.57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-9.37  (8.30)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-8.79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-38.8,  45.1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4.65  (16.59)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1.36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0.0,  184.4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-9.46  (8.38)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-37.9,  48.9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4.87  (18.55)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-9.31  (8.85)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-8.64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-38.9,  44.4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4.86  (17.76)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1.43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0.0,  195.9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-9.25  (8.76)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-8.43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-39.5,  48.2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4.94  (20.17)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1.79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0.0,  209.3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-10.10  (8.75)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-8.36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-46.9,  35.4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6.02  (16.24)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2.86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0.0,  178.9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-8.59  (8.83)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-49.1,  48.9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7.26  (18.89)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4.29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-7.10  (9.49)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-6.57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7.56  (18.01)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4.50</w:t>
            </w:r>
          </w:p>
        </w:tc>
        <w:tc>
          <w:tcPr>
            <w:tcW w:w="8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0.0,  196.9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2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-6.79  (9.41)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-6.18</w:t>
            </w:r>
          </w:p>
        </w:tc>
        <w:tc>
          <w:tcPr>
            <w:tcW w:w="9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-49.1,  58.1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8.42  (20.93)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4.57</w:t>
            </w:r>
          </w:p>
        </w:tc>
        <w:tc>
          <w:tcPr>
            <w:tcW w:w="8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0.0,  212.4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2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-6.15  (10.52)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-5.64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-49.1,  59.2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6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 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/var/swan/root/bhc/3427080/21651/stat/main01/prod/analysis/pgms/t_8_2_1_1_1_hfss_mhf_s.sas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505"/>
        <w:gridCol w:w="2105"/>
        <w:gridCol w:w="2745"/>
        <w:gridCol w:w="22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40" w:type="dxa"/>
            <w:gridSpan w:val="5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1" w:name="_Toc256000019"/>
            <w:r>
              <w:t>Table 1.2.2 / 2: Change from baseline in mean daily frequency of moderate to severe hot flashes - MMRM analysis - by treatment group (full analysis set)</w:t>
            </w:r>
            <w:bookmarkEnd w:id="21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74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Time</w:t>
            </w:r>
          </w:p>
        </w:tc>
        <w:tc>
          <w:tcPr>
            <w:tcW w:w="2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Statistics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 199)</w:t>
            </w:r>
          </w:p>
        </w:tc>
        <w:tc>
          <w:tcPr>
            <w:tcW w:w="2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 197)</w:t>
            </w:r>
          </w:p>
        </w:tc>
        <w:tc>
          <w:tcPr>
            <w:tcW w:w="22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vs. Placebo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-5.13 (0.33)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-2.68 (0.33)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-5.77, -4.49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-3.33, -2.03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-2.45 (0.46)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-3.36, -1.55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195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-7.60 (0.43)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-4.31 (0.43)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-8.43, -6.76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-5.16, -3.46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-3.29 (0.61)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-4.47, -2.10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174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-8.66 (0.58)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-5.44 (0.59)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-9.79, -7.53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-6.60, -4.28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-3.22 (0.81)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-4.81, -1.63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40" w:type="dxa"/>
            <w:gridSpan w:val="5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n = number of subjects with observed value for this timepoint and considered in the analysis model.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is not available for more than 2 days within a week, the value for that particular week was set to missing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Multiple imputation is used to impute missing values.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LS-Means = Least Squares Means, SE = Standard Error, MMRM = Mixed Model Repeated Measures, CI = Confidence Interval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/var/swan/root/bhc/3427080/21651/stat/main01/prod/analysis/pgms/if_8_2_1_1_1_hfss.sas      27DEC2023 20:03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BayerSASCaptionDocFish"/>
        <w:pageBreakBefore/>
        <w:spacing w:before="0" w:after="0" w:line="160" w:lineRule="exact"/>
        <w:ind w:left="1638" w:hanging="1638"/>
        <w:outlineLvl w:val="3"/>
      </w:pPr>
      <w:bookmarkStart w:id="22" w:name="_Toc256000021"/>
      <w:r>
        <w:t>Figure 1.2.2 / 1: Line plot of LS-Means (MMRM) of change from baseline in mean daily frequency of moderate to severe hot flashes by treatment group (full analysis set)</w:t>
      </w:r>
      <w:bookmarkEnd w:id="22"/>
    </w:p>
    <w:p/>
    <w:p>
      <w:pPr>
        <w:pageBreakBefore w:val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73pt;height:357.55pt;mso-position-horizontal:center;mso-position-horizontal-relative:page;mso-position-vertical:center;mso-position-vertical-relative:page">
            <v:imagedata r:id="rId16" o:title=""/>
            <o:lock v:ext="edit" aspectratio="t"/>
          </v:shape>
        </w:pict>
      </w:r>
    </w:p>
    <w:p>
      <w:pPr>
        <w:pStyle w:val="Heading3"/>
        <w:pageBreakBefore/>
        <w:spacing w:before="120" w:after="0" w:line="240" w:lineRule="auto"/>
      </w:pPr>
      <w:bookmarkStart w:id="23" w:name="_Toc256000022"/>
      <w:r>
        <w:t>1.2.3 Severity of moderate to severe hot flashes - Main analyses</w:t>
      </w:r>
      <w:bookmarkEnd w:id="23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84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4" w:name="_Toc256000023"/>
            <w:r>
              <w:t>Table 1.2.3 / 1: Mean daily severity of moderate to severe hot flashes: summary statistics and change from baseline by treatment group (full analysis set)</w:t>
            </w:r>
            <w:bookmarkEnd w:id="24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(N=199)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1.95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-0.62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1.90  (0.65)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1.79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(0.67)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  (0.70)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-0.89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-1.04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1.34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  (0.84)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-1.26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-1.27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-1.30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1.62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-0.84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-0.78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-0.77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-2.7,  0.7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(N=197)</w:t>
            </w: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2.19  (0.44)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  (0.36)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2.14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  (0.42)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 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  (0.54)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  (0.51)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-0.45  (0.52)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2.05  (0.57)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  (0.53)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2.02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-0.50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  (0.61)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-0.53  (0.58)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 (0.56)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1.85  (0.66)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 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1.69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-0.83  (0.71)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1.59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-0.93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  (0.81)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-1.08 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1.41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-1.11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-1.16  (0.83)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1.27  (0.89)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-1.25  (0.88)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1.33  (0.87)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-1.20  (0.85)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1.54  (0.80)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-0.98  (0.79)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  (0.77)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  (0.73)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1.78  (0.74)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-0.74 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-2.9,  0.5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3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 week 4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1.82  (0.71)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1.98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0.0,  3.0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-0.70  (0.67)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-0.49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-2.8,  0.5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8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was missing for more than 2 days within a week, the value for that particular week was set to missing.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 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/var/swan/root/bhc/3427080/21651/stat/main01/prod/analysis/pgms/t_8_2_1_2_1_hfss_shf_s.sas      27DEC2023 20:04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505"/>
        <w:gridCol w:w="2105"/>
        <w:gridCol w:w="2745"/>
        <w:gridCol w:w="22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40" w:type="dxa"/>
            <w:gridSpan w:val="5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5" w:name="_Toc256000025"/>
            <w:r>
              <w:t>Table 1.2.3 / 2: Change from baseline in mean daily severity of moderate to severe hot flashes - MMRM analysis - by treatment group (full analysis set)</w:t>
            </w:r>
            <w:bookmarkEnd w:id="25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74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Time</w:t>
            </w:r>
          </w:p>
        </w:tc>
        <w:tc>
          <w:tcPr>
            <w:tcW w:w="2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Statistics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 199)</w:t>
            </w:r>
          </w:p>
        </w:tc>
        <w:tc>
          <w:tcPr>
            <w:tcW w:w="2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 197)</w:t>
            </w:r>
          </w:p>
        </w:tc>
        <w:tc>
          <w:tcPr>
            <w:tcW w:w="22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vs. Placebo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195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188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(0.04)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(0.04)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-0.81, -0.66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-0.47, -0.32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 (0.06)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-0.44, -0.23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174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-0.92 (0.05)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(0.05)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-1.02, -0.82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-0.63, -0.42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(0.07)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-0.54, -0.25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40" w:type="dxa"/>
            <w:gridSpan w:val="5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n = number of subjects with observed value for this timepoint and considered in the analysis model.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 case data is not available for more than 2 days within a week, the value for that particular week was set to missing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Multiple imputation is used to impute missing values.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LS-Means = Least Squares Means, SE = Standard Error, CI = Confidence Interval, MMRM = Mixed Model Repeated Measures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/var/swan/root/bhc/3427080/21651/stat/main01/prod/analysis/pgms/if_8_2_1_2_1_shf.sas      27DEC2023 20:04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BayerSASCaptionDocFish"/>
        <w:pageBreakBefore/>
        <w:spacing w:before="0" w:after="0" w:line="160" w:lineRule="exact"/>
        <w:ind w:left="1638" w:hanging="1638"/>
        <w:outlineLvl w:val="3"/>
      </w:pPr>
      <w:bookmarkStart w:id="26" w:name="_Toc256000027"/>
      <w:r>
        <w:t>Figure 1.2.3 / 1: Line plot of LS-Means (MMRM) of change from baseline in mean daily severity of moderate to severe hot flashes by treatment group (full analysis set)</w:t>
      </w:r>
      <w:bookmarkEnd w:id="26"/>
    </w:p>
    <w:p/>
    <w:p>
      <w:pPr>
        <w:pageBreakBefore w:val="0"/>
        <w:jc w:val="center"/>
      </w:pPr>
      <w:r>
        <w:pict>
          <v:shape id="_x0000_i1026" type="#_x0000_t75" style="width:476.73pt;height:357.55pt;mso-position-horizontal:center;mso-position-horizontal-relative:page;mso-position-vertical:center;mso-position-vertical-relative:page">
            <v:imagedata r:id="rId17" o:title=""/>
            <o:lock v:ext="edit" aspectratio="t"/>
          </v:shape>
        </w:pict>
      </w:r>
    </w:p>
    <w:p>
      <w:pPr>
        <w:pStyle w:val="Heading3"/>
        <w:pageBreakBefore/>
        <w:spacing w:before="120" w:after="0" w:line="240" w:lineRule="auto"/>
      </w:pPr>
      <w:bookmarkStart w:id="27" w:name="_Toc256000028"/>
      <w:r>
        <w:t>1.2.4 PROMIS SD SF 8b - Main analyses</w:t>
      </w:r>
      <w:bookmarkEnd w:id="27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88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30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8" w:name="_Toc256000029"/>
            <w:r>
              <w:t>Table 1.2.4 / 1: PROMIS SD SF 8b total T-score: summary statistics and change from baseline by treatment group (full analysis set)</w:t>
            </w:r>
            <w:bookmarkEnd w:id="28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8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(N=199)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184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61.0  (7.7)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192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52.2  (8.4)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  (9.2)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-48,  7 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190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50.8  (8.9)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-10.3  (9.5)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-40,  6 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50.3  (8.5)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29,  68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-10.9  (9.3)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-44,  8 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50.5  (9.0)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  (9.4)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-44,  7 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182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49.5  (9.2)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29,  68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-11.9  (10.4)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-48,  10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50.3  (8.8)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29,  69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  (9.6)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-44,  12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135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48.5  (8.6)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29,  68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-12.4  (9.7)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-44,  11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48.2  (9.1)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29,  66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-12.9  (10.5)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-48,  6 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127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52.9  (9.4)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-7.6  (9.3)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-36,  8 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(N=197)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60.2  (7.2)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192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57.9  (7.5)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-2.4  (6.3)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-2.0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-22,  19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56.6  (8.1)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-3.7  (7.1)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-22,  17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56.1  (7.9)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  (7.2)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-29,  13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183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56.5  (7.8)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-3.8  (7.1)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-3.1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-22,  22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172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  (7.8)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-4.4  (7.6)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-24,  22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  (8.7)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-5.0  (6.9)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-4.5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-23,  12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142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50.1  (9.3)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-9.8  (8.7)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-8.6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-39,  12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8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49.7  (9.6)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49.6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-10.7  (9.5)  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-9.4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-35,  15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129</w:t>
            </w:r>
          </w:p>
        </w:tc>
        <w:tc>
          <w:tcPr>
            <w:tcW w:w="8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54.4  (8.8)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54.3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33,  77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-6.1  (7.7)  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-6.4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-25,  18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30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Total score converted as T-score.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/var/swan/root/bhc/3427080/21651/stat/main01/prod/analysis/pgms/t_8_2_1_3_1_adqs_ts_s.sas      27DEC2023 20:06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505"/>
        <w:gridCol w:w="2105"/>
        <w:gridCol w:w="2745"/>
        <w:gridCol w:w="22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40" w:type="dxa"/>
            <w:gridSpan w:val="5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9" w:name="_Toc256000031"/>
            <w:r>
              <w:t>Table 1.2.4 / 2: PROMIS SD SF 8b total T-score change from baseline - MMRM analysis - by treatment group (full analysis set)</w:t>
            </w:r>
            <w:bookmarkEnd w:id="29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74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Time</w:t>
            </w:r>
          </w:p>
        </w:tc>
        <w:tc>
          <w:tcPr>
            <w:tcW w:w="2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Statistics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 199)</w:t>
            </w:r>
          </w:p>
        </w:tc>
        <w:tc>
          <w:tcPr>
            <w:tcW w:w="2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 197)</w:t>
            </w:r>
          </w:p>
        </w:tc>
        <w:tc>
          <w:tcPr>
            <w:tcW w:w="22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vs. Placebo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181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-10.41 (0.60)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-4.83 (0.62)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-11.58, -9.24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-6.05, -3.62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-5.58 (0.82)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-7.18, -3.98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40" w:type="dxa"/>
            <w:gridSpan w:val="5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n = number of subjects with observed value for this timepoint and considered in the analysis model.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Multiple imputation is used to impute missing values.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LS-Means = Least Squares Means, SE = Standard Error, MMRM = Mixed Model Repeated Measures, CI = Confidence Interval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/var/swan/root/bhc/3427080/21651/stat/main01/prod/analysis/pgms/i_8_2_1_3_1_pr.sas      27DEC2023 20:06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3"/>
        <w:pageBreakBefore/>
        <w:spacing w:before="120" w:after="0" w:line="240" w:lineRule="auto"/>
      </w:pPr>
      <w:bookmarkStart w:id="30" w:name="_Toc256000033"/>
      <w:r>
        <w:t>1.2.5 MENQOL - Main analyses</w:t>
      </w:r>
      <w:bookmarkEnd w:id="30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845"/>
        <w:gridCol w:w="425"/>
        <w:gridCol w:w="925"/>
        <w:gridCol w:w="665"/>
        <w:gridCol w:w="825"/>
        <w:gridCol w:w="425"/>
        <w:gridCol w:w="10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345" w:type="dxa"/>
            <w:gridSpan w:val="10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1" w:name="_Toc256000034"/>
            <w:r>
              <w:t>Table 1.2.5 / 1: MENQOL total score: summary statistics and change from baseline by treatment group (full analysis set)</w:t>
            </w:r>
            <w:bookmarkEnd w:id="31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3545" w:type="dxa"/>
            <w:gridSpan w:val="2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Value at Visit  </w:t>
            </w:r>
          </w:p>
        </w:tc>
        <w:tc>
          <w:tcPr>
            <w:tcW w:w="29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Change from baseline 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Treatment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(N=199)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3.40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-1.18  (1.14)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-4.3,  1.6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3.26 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-5.5,  2.4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-1.41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-5.6,  2.3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2.90  (1.12)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2.83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  (1.23)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-6.8,  1.5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2.86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2.71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-1.71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-4.9,  1.5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125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3.23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-1.29  (1.33)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(N=197)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4.49 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1.6,  7.8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3.86  (1.25)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-0.66  (0.95)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-4.7,  2.0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 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3.37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-0.90 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-4.9,  4.8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 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2.87  (1.26)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-1.63  (1.34)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-6.7,  1.4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 (1.21)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2.30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1.0,  7.2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-1.96  (1.48)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-6.2,  1.4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70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Follow-up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128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3.31  (1.34)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3.07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1.0,  6.6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-1.33  (1.35)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-1.12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35"/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-6.1,  1.3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345" w:type="dxa"/>
            <w:gridSpan w:val="10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In case a subject prematurely discontinued study drug before Week 12, and continued with scheduled visits/procedures in a post-treatment period, available post-treatment data are considered under follow-up.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SD = Standard Deviation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/var/swan/root/bhc/3427080/21651/stat/main01/prod/analysis/pgms/t_8_2_1_4_1_adqs_ms_s.sas      27DEC2023 20:08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505"/>
        <w:gridCol w:w="2105"/>
        <w:gridCol w:w="2745"/>
        <w:gridCol w:w="22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340" w:type="dxa"/>
            <w:gridSpan w:val="5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2" w:name="_Toc256000036"/>
            <w:r>
              <w:t>Table 1.2.5 / 2: MENQOL total score change from baseline - MMRM analysis - by treatment group (full analysis set)</w:t>
            </w:r>
            <w:bookmarkEnd w:id="32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74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Time</w:t>
            </w:r>
          </w:p>
        </w:tc>
        <w:tc>
          <w:tcPr>
            <w:tcW w:w="2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Statistics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(N= 199)</w:t>
            </w:r>
          </w:p>
        </w:tc>
        <w:tc>
          <w:tcPr>
            <w:tcW w:w="27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 (N= 197)</w:t>
            </w:r>
          </w:p>
        </w:tc>
        <w:tc>
          <w:tcPr>
            <w:tcW w:w="22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 vs. Placebo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-1.36 (0.08)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-0.94 (0.08)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-1.52, -1.20</w:t>
            </w: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-1.10, -0.78</w:t>
            </w: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(0.11)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-0.64, -0.20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74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7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2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340" w:type="dxa"/>
            <w:gridSpan w:val="5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n = number of subjects with observed value for this timepoint and considered in the analysis model.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Multiple imputation is used to impute missing values.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LS-Means = Least Squares Means, SE = Standard Error, MMRM = Mixed Model Repeated Measures, CI = Confidence Interval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/var/swan/root/bhc/3427080/21651/stat/main01/prod/analysis/pgms/i_8_2_1_4_1_mq.sas      27DEC2023 20:08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2"/>
        <w:pageBreakBefore/>
        <w:spacing w:before="240" w:after="120" w:line="240" w:lineRule="auto"/>
      </w:pPr>
      <w:bookmarkStart w:id="33" w:name="_Toc256000038"/>
      <w:r>
        <w:t>1.3 Safety</w:t>
      </w:r>
      <w:bookmarkEnd w:id="33"/>
    </w:p>
    <w:p>
      <w:pPr>
        <w:pStyle w:val="Heading3"/>
        <w:spacing w:before="120" w:after="0" w:line="240" w:lineRule="auto"/>
      </w:pPr>
      <w:bookmarkStart w:id="34" w:name="_Toc256000039"/>
      <w:r>
        <w:t>1.3.1 Treatment-emergent adverse events</w:t>
      </w:r>
      <w:bookmarkEnd w:id="34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0"/>
        <w:gridCol w:w="1105"/>
        <w:gridCol w:w="1145"/>
        <w:gridCol w:w="1585"/>
        <w:gridCol w:w="1585"/>
        <w:gridCol w:w="15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6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5" w:name="_Toc256000040"/>
            <w:r>
              <w:t>Table 1.3.1 / 1: Treatment-emergent adverse events: number of subjects by primary system organ class and preferred term (safety analysis set)</w:t>
            </w:r>
            <w:bookmarkEnd w:id="35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Primary System Organ Class </w:t>
              <w:br/>
              <w:t xml:space="preserve">   Preferred Term </w:t>
              <w:br/>
              <w:t xml:space="preserve">   MedDRA Version 26.1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  (  51.3%)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94  (  48.5%)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 (  34.5%)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  (  45.2%)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  (  53.7%)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and lymphatic system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Thrombocytopenia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Lymphadenopathy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Thrombocytosis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Cardiac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Palpitations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Tachycardia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Congenital, familial and genetic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Congenital cystic kidney disease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Ear and labyrinth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Tinnitus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Vertigo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Endocrine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Goitre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Hyperthyroidism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3.0%)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  (  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movement disorder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Dry eye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irritation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Iridocyclitis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Periorbital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Vision blurred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Visual impairment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Vitreous detachment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Gastrointestinal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27  (  13.6%)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 (    9.8%)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 (    7.0%)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 (  11.3%)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52  (  14.2%)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Diarrhoea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  (  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Gastrooesophageal reflux disease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3.0%)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pain upper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Constipation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Haemorrhoids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distension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Flatulence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Toothache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adhesions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discomfort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pain lower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Colitis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Dental caries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Diverticulum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Dry mouth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Large intestinal ulcer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Large intestine polyp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Lumbar hernia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Noninfective sialoadenitis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Tongue eruption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Vomiting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Diverticulum intestinal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General disorders and administration site conditions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21  (  10.6%)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  (    4.1%)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  4.2%)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28  (    7.6%)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15  (    4.1%)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Peripheral swelling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Pyrexia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Chest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Asthenia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Chills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Influenza like illness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Swelling face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Early satiety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Non-cardiac chest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Oedema peripheral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Hepatobiliary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Cholelithiasis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Cholecystitis acute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Immune system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Seasonal allergy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Allergy to animal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 hypersensitivity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Hypersensitivity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Infections and infestations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  (  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 (  11.9%)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 (  12.3%)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 (  17.3%)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64  (  17.4%)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Urinary tract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  (  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COVID-19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  (    3.0%)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Nasopharyngitis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Upper respiratory tract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3.0%)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Influenza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Cystitis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Otitis media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Vulvovaginal mycotic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Acute sinusitis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Borrelia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infection viral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Fungal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Gastrointestinal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Herpes zoster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Hordeolum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Kidney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Onychomycosis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Otitis externa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Otitis media acute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Perirectal abscess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Pharyngitis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Pneumonia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Pyelonephritis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Salmonellosis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Sinusitis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Vaginal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Viral diarrhoea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Viral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Vulvovaginitis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Bronchitis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Candida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Coronavirus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Gastroenteritis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Herpes dermatitis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Tonsillitis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Tooth infection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Injury, poisoning and procedural complications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3.0%)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  (    5.4%)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  (    4.9%)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Foot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Accident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Arthropod bite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Bite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Bone contusion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Fall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Ligament injury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Ligament sprain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Limb injury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Lisfranc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strain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Post procedural haemorrhage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Rib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Road traffic accident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Skin laceration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Tibia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Tooth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Burns second degree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Face injury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Hip fracture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Investigations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  (  13.1%)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 (  10.8%)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  4.2%)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35  (    9.5%)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 rating scale score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  (    6.0%)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 (    5.7%)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3.8%)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creatine phosphokinase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Activated partial thromboplastin time prolonged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Alanine aminotransferase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Aspartate aminotransferase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Bilirubin conjugated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pressure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Gamma-glutamyltransferase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SARS-CoV-2 test positive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Thyroxine free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alkaline phosphatase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alkaline phosphatase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bilirubin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cholesterol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lactate dehydrogenase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pressure diastolic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testosterone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thyroid stimulating hormone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thyroid stimulating hormone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triglycerides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False positive investigation result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Glycosylated haemoglobin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Human papilloma virus test positive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Liver function test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Low density lipoprotein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Platelet count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Serum procollagen type I N-terminal propeptide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Smear cervix normal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Transaminases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Weight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Weight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creatinine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follicle stimulating hormone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glucose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glucose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potassium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Bone density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Gastric pH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Haemoglobin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International normalised ratio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Oestradiol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Progesterone increased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Prothrombin time prolonged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Metabolism and nutrition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  (  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Type 2 diabetes mellitus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Hypercholesterolaemia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Decreased appetite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Fluid retention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Hypercalcaemia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Hyperkalaemia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Hypoglycaemia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Increased appetite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Obesity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Dyslipidaemia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Hypertriglyceridaemia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Musculoskeletal and connective tissue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  (  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 (  10.3%)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8  (    4.7%)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  4.2%)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32  (    8.7%)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5.0%)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 (    5.2%)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12  (  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Back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spasms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Myalgia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Osteoporosis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Plantar fasciitis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Intervertebral disc protrusion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tightness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Musculoskeletal stiffness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Neck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 in extremity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Rotator cuff syndrome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Bone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Osteoarthritis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 in jaw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Tendonitis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Neoplasms benign, malignant and unspecified (incl cysts and polyps)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Leiomyoma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Lipoma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leiomyoma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Nervous system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26  (  13.1%)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7  (    3.6%)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 (    6.4%)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 (    7.7%)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47  (  12.8%)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24  (    6.5%)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Dizziness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10  (  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Somnolence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Migraine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Dysgeusia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Lethargy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Brain fog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Complex regional pain syndrome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Disturbance in attention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Hypersomnia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Hypoaesthesia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Intention tremor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Ophthalmic migraine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Paraesthesia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Post herpetic neuralgia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Resting tremor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Syncope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Tremor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Clumsiness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Psychiatric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18  (  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 (    7.2%)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23  (    6.3%)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9  (    4.6%)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  (  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Anxiety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Depressed mood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Irritability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disorder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Libido decreased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Mood altered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Onychophagia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Depressive symptom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Mood swings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terror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Renal and urinary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Nephrolithiasis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Dysuria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Hypertonic bladder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Reproductive system and breast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5  (  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14  (    3.8%)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Vaginal haemorrhage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haemorrhage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Vaginal discharge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Adnexa uteri cyst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Breast mass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Breast tenderness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Endometrial disorder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Fibrocystic breast disease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Ovarian cyst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Pelvic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Cervical dysplasia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Dyspareunia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Vulvovaginal burning sensation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Respiratory, thoracic and mediastinal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2.4%)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9  (  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Cough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Sinus congestion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Asthma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Dysphonia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Oropharyngeal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Pharyngeal erythema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Pulmonary embolism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Rhinorrhoea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Upper respiratory tract congestion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Dry throat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Epistaxis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apnoea syndrome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Skin and subcutaneous tissue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11  (    5.5%)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5  (  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22  (    6.0%)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Rash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Photosensitivity reaction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Alopecia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Dermatitis contact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Dry skin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Hyperhidrosis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Pruritus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Erythema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Excessive granulation tissue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Lichen sclerosus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 of skin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Rash pruritic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Skin discomfort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Surgical and medical procedures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Mammoplasty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Arthrodesis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Bunion operation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Foot operation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Liposuction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Nerve block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Urethrotomy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Haemorrhoid operation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Tooth extraction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Vascular disorders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3  (  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6  (    3.1%)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6  (  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Hypertension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Orthostatic hypotension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Peripheral venous disease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Vascular pain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Circulatory collapse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Hot flush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6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Adverse events are sorted by alphabetical order of the SOC and by frequency of the PTs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 subject is counted only once within each primary SOC and preferred term.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Week 1-12 represents the placebo controlled period of the study.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Week 13-26 represents the period at which all participants are treated with elinzanetant.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/var/swan/root/bhc/3427080/21651/stat/main01/prod/analysis/pgms/t_8_3_2_3_adae_teae_socpt.sas      27DEC2023 20:09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pStyle w:val="Heading3"/>
        <w:pageBreakBefore/>
        <w:spacing w:before="120" w:after="0" w:line="240" w:lineRule="auto"/>
      </w:pPr>
      <w:bookmarkStart w:id="36" w:name="_Toc256000042"/>
      <w:r>
        <w:t>1.3.2 Treatment-emergent serious adverse events</w:t>
      </w:r>
      <w:bookmarkEnd w:id="36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541" w:hanging="1541"/>
              <w:jc w:val="left"/>
              <w:outlineLvl w:val="3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37" w:name="_Toc256000043"/>
            <w:r>
              <w:t>Table 1.3.2 / 1: Treatment-emergent serious adverse events: number of subjects by primary system organ class and preferred term (safety analysis set)</w:t>
            </w:r>
            <w:bookmarkEnd w:id="37"/>
          </w:p>
          <w:p>
            <w:pPr>
              <w:pStyle w:val="BayerSASCaptionDocFish"/>
              <w:ind w:left="1541" w:hanging="1541"/>
              <w:outlineLvl w:val="3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Primary System Organ Class </w:t>
              <w:br/>
              <w:t xml:space="preserve">   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 (  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 (    5.4%)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 (    3.5%)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Gastrointestinal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Hepatobiliary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Cholelithiasis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Cholecystitis acute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0                 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Infections and infestations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4  (  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Otitis externa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Pneumonia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Pyelonephritis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Injury, poisoning and procedural complications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2  (  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Accident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Tibia fracture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Nervous system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Syncope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Respiratory, thoracic and mediastinal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Pulmonary embolism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spacing w:after="2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Surgical and medical procedures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 (  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3  (  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Arthrodesis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Bunion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Mammoplasty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0                 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 (  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1  (  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Placebo - Elinzanetant 120mg = Placebo for 12 weeks, followed by elinzanetant 120 mg for 14 weeks.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Adverse events are sorted by alphabetical order of the SOC and by frequency of the PTs.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A subject is counted only once within each primary SOC and preferred term.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Week 1-12 represents the placebo controlled period of the study.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Week 13-26 represents the period at which all participants are treated with elinzanetant.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Bayer: /var/swan/root/bhc/3427080/21651/stat/main01/prod/analysis/pgms/t_8_3_2_4_adae_tesaesocpt.sas      27DEC2023 20:10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sectPr w:rsidSect="00650FC8">
      <w:headerReference w:type="default" r:id="rId18"/>
      <w:type w:val="nextPage"/>
      <w:pgSz w:w="16839" w:h="11907" w:orient="landscape" w:code="9"/>
      <w:pgMar w:top="1418" w:right="1418" w:bottom="1418" w:left="1418" w:header="720" w:footer="57" w:gutter="0"/>
      <w:cols w:space="720"/>
      <w:vAlign w:val="top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S Monospace">
    <w:altName w:val="Calibri"/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charset w:val="00"/>
    <w:family w:val="roman"/>
    <w:pitch w:val="variable"/>
    <w:sig w:usb0="00000000" w:usb1="00000000" w:usb2="00000000" w:usb3="00000000" w:csb0="00000001" w:csb1="00000000"/>
  </w:font>
  <w:font w:name="Courier">
    <w:charset w:val="00"/>
    <w:family w:val="modern"/>
    <w:pitch w:val="fixed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054725C9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FC0747" w:rsidRPr="001341A1" w:rsidP="00FC0747" w14:paraId="109243D5" w14:textId="62E33A47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1423C7DE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FC0747" w:rsidRPr="005B12E1" w:rsidP="00A716A7" w14:paraId="172FCCB2" w14:textId="3BB74BD1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FC0747" w:rsidRPr="005B12E1" w:rsidP="00FC0747" w14:paraId="1FCC8CED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56C7DD60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FC0747" w:rsidRPr="005B12E1" w:rsidP="00FC0747" w14:paraId="158140A7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FC0747" w:rsidRPr="005B12E1" w:rsidP="00FC0747" w14:paraId="1A99F5BA" w14:textId="73903292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FC0747" w:rsidRPr="005B12E1" w:rsidP="00FC0747" w14:paraId="1F7496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</w:rPr>
            <w:t>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</w:rPr>
            <w:t>2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RPr="00FC1221" w:rsidP="00E15B85" w14:paraId="4C848A5C" w14:textId="54A2E4CC">
    <w:pPr>
      <w:pStyle w:val="Kopfzeile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455818FC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2E0C06" w:rsidRPr="001341A1" w:rsidP="002E0C06" w14:paraId="07849896" w14:textId="36AAC0BD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04DE5410" w14:textId="74FE8FD2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2E0C06" w:rsidRPr="005B12E1" w:rsidP="002E0C06" w14:paraId="604BABAC" w14:textId="6458C727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5205D8B9" w14:textId="2A54D36F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0203A222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2E0C06" w:rsidRPr="005B12E1" w:rsidP="002E0C06" w14:paraId="5FC344F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2E0C06" w:rsidRPr="005B12E1" w:rsidP="002E0C06" w14:paraId="613A04F5" w14:textId="41917123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2E0C06" w:rsidRPr="005B12E1" w:rsidP="002E0C06" w14:paraId="09DD188D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45</w:t>
          </w:r>
          <w:r w:rsidRPr="005B12E1">
            <w:rPr>
              <w:sz w:val="20"/>
            </w:rPr>
            <w:fldChar w:fldCharType="end"/>
          </w:r>
        </w:p>
      </w:tc>
    </w:tr>
  </w:tbl>
  <w:p w:rsidR="0068438A" w14:paraId="440A4AC6" w14:textId="349E80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5336597</wp:posOffset>
          </wp:positionH>
          <wp:positionV relativeFrom="page">
            <wp:posOffset>443552</wp:posOffset>
          </wp:positionV>
          <wp:extent cx="397510" cy="397510"/>
          <wp:effectExtent l="0" t="0" r="2540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8940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751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paraId="4C3049C7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4E7929E8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572B9E" w:rsidRPr="00FC651C" w:rsidP="00A716A7" w14:paraId="3FA642FA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paraId="686457B2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paraId="4CA4E98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paraId="6DA03C41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paraId="373483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45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paraId="7B814D91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3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45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Clinical Study Report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45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45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64C89"/>
    <w:multiLevelType w:val="multilevel"/>
    <w:tmpl w:val="F05A524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</w:abstractNum>
  <w:abstractNum w:abstractNumId="1">
    <w:nsid w:val="059D7AB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99001B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0C2E7AB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24213ED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30184E32"/>
    <w:multiLevelType w:val="multilevel"/>
    <w:tmpl w:val="1180973C"/>
    <w:lvl w:ilvl="0">
      <w:start w:val="1"/>
      <w:numFmt w:val="none"/>
      <w:lvlText w:val="%1"/>
      <w:lvlJc w:val="left"/>
      <w:pPr>
        <w:tabs>
          <w:tab w:val="num" w:pos="432"/>
        </w:tabs>
        <w:ind w:left="432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32"/>
        </w:tabs>
        <w:ind w:left="133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"/>
        </w:tabs>
        <w:ind w:left="133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2016" w:hanging="1584"/>
      </w:pPr>
      <w:rPr>
        <w:rFonts w:hint="default"/>
      </w:rPr>
    </w:lvl>
  </w:abstractNum>
  <w:abstractNum w:abstractNumId="6">
    <w:nsid w:val="30B13C9E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3275624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32814C3A"/>
    <w:multiLevelType w:val="singleLevel"/>
    <w:tmpl w:val="164A6F20"/>
    <w:lvl w:ilvl="0">
      <w:start w:val="1"/>
      <w:numFmt w:val="bullet"/>
      <w:pStyle w:val="Bullet2BayerBodyTex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9">
    <w:nsid w:val="32965B3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>
    <w:nsid w:val="3BEF0AC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3C0E1611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3E5D3010"/>
    <w:multiLevelType w:val="hybridMultilevel"/>
    <w:tmpl w:val="3740EB6E"/>
    <w:lvl w:ilvl="0">
      <w:start w:val="1"/>
      <w:numFmt w:val="bullet"/>
      <w:pStyle w:val="BulletBayer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7B5DC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5AE83037"/>
    <w:multiLevelType w:val="multilevel"/>
    <w:tmpl w:val="FDA400E6"/>
    <w:lvl w:ilvl="0">
      <w:start w:val="1"/>
      <w:numFmt w:val="none"/>
      <w:pStyle w:val="Heading1"/>
      <w:lvlText w:val="%1."/>
      <w:lvlJc w:val="left"/>
      <w:pPr>
        <w:tabs>
          <w:tab w:val="num" w:pos="0"/>
        </w:tabs>
        <w:ind w:left="1134" w:hanging="1134"/>
      </w:pPr>
      <w:rPr>
        <w:rFonts w:hint="default"/>
        <w:b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134" w:hanging="1134"/>
      </w:pPr>
      <w:rPr>
        <w:rFonts w:hint="default"/>
      </w:rPr>
    </w:lvl>
  </w:abstractNum>
  <w:abstractNum w:abstractNumId="15">
    <w:nsid w:val="5C6851DD"/>
    <w:multiLevelType w:val="multilevel"/>
    <w:tmpl w:val="0AE445D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9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0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6">
    <w:nsid w:val="61D90A07"/>
    <w:multiLevelType w:val="hybridMultilevel"/>
    <w:tmpl w:val="A46EB040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7D2A9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6E8D546F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02465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B5F437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7E513EE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4"/>
  </w:num>
  <w:num w:numId="5">
    <w:abstractNumId w:val="6"/>
  </w:num>
  <w:num w:numId="6">
    <w:abstractNumId w:val="3"/>
  </w:num>
  <w:num w:numId="7">
    <w:abstractNumId w:val="20"/>
  </w:num>
  <w:num w:numId="8">
    <w:abstractNumId w:val="14"/>
  </w:num>
  <w:num w:numId="9">
    <w:abstractNumId w:val="8"/>
  </w:num>
  <w:num w:numId="10">
    <w:abstractNumId w:val="8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14"/>
  </w:num>
  <w:num w:numId="19">
    <w:abstractNumId w:val="12"/>
  </w:num>
  <w:num w:numId="20">
    <w:abstractNumId w:val="11"/>
  </w:num>
  <w:num w:numId="21">
    <w:abstractNumId w:val="4"/>
  </w:num>
  <w:num w:numId="22">
    <w:abstractNumId w:val="9"/>
  </w:num>
  <w:num w:numId="23">
    <w:abstractNumId w:val="17"/>
  </w:num>
  <w:num w:numId="24">
    <w:abstractNumId w:val="10"/>
  </w:num>
  <w:num w:numId="25">
    <w:abstractNumId w:val="7"/>
  </w:num>
  <w:num w:numId="26">
    <w:abstractNumId w:val="21"/>
  </w:num>
  <w:num w:numId="27">
    <w:abstractNumId w:val="13"/>
  </w:num>
  <w:num w:numId="28">
    <w:abstractNumId w:val="2"/>
  </w:num>
  <w:num w:numId="29">
    <w:abstractNumId w:val="18"/>
  </w:num>
  <w:num w:numId="30">
    <w:abstractNumId w:val="0"/>
  </w:num>
  <w:num w:numId="31">
    <w:abstractNumId w:val="1"/>
  </w:num>
  <w:num w:numId="32">
    <w:abstractNumId w:val="19"/>
  </w:num>
  <w:num w:numId="33">
    <w:abstractNumId w:val="1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zoom w:percent="120"/>
  <w:displayBackgroundShape/>
  <w:proofState w:spelling="clean" w:grammar="clean"/>
  <w:attachedTemplate r:id="rId1"/>
  <w:stylePaneFormatFilter w:val="BF01" w:allStyles="1" w:alternateStyleNames="1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lickAndTypeStyle w:val="BayerBodyTextFull"/>
  <w:hyphenationZone w:val="425"/>
  <w:drawingGridHorizontalSpacing w:val="120"/>
  <w:displayHorizontalDrawingGridEvery w:val="0"/>
  <w:displayVerticalDrawingGridEvery w:val="0"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9E"/>
    <w:rsid w:val="000009FB"/>
    <w:rsid w:val="00020BB7"/>
    <w:rsid w:val="00023E52"/>
    <w:rsid w:val="0002673B"/>
    <w:rsid w:val="000311BA"/>
    <w:rsid w:val="00035906"/>
    <w:rsid w:val="0003699C"/>
    <w:rsid w:val="00042D79"/>
    <w:rsid w:val="00055F53"/>
    <w:rsid w:val="00056E7F"/>
    <w:rsid w:val="00057F8D"/>
    <w:rsid w:val="000656FB"/>
    <w:rsid w:val="00067C58"/>
    <w:rsid w:val="00075BCE"/>
    <w:rsid w:val="000857A1"/>
    <w:rsid w:val="00085BC1"/>
    <w:rsid w:val="000862F6"/>
    <w:rsid w:val="00093C55"/>
    <w:rsid w:val="00094BE0"/>
    <w:rsid w:val="00096909"/>
    <w:rsid w:val="000A6F5B"/>
    <w:rsid w:val="000B203B"/>
    <w:rsid w:val="000B3AD5"/>
    <w:rsid w:val="000D4FC7"/>
    <w:rsid w:val="000E2C1E"/>
    <w:rsid w:val="000E4663"/>
    <w:rsid w:val="000F1721"/>
    <w:rsid w:val="000F4073"/>
    <w:rsid w:val="00101B05"/>
    <w:rsid w:val="00104CEB"/>
    <w:rsid w:val="00110BD5"/>
    <w:rsid w:val="00111289"/>
    <w:rsid w:val="00111FAD"/>
    <w:rsid w:val="00115EFF"/>
    <w:rsid w:val="00122016"/>
    <w:rsid w:val="00127071"/>
    <w:rsid w:val="00127F62"/>
    <w:rsid w:val="001341A1"/>
    <w:rsid w:val="00140235"/>
    <w:rsid w:val="00145109"/>
    <w:rsid w:val="0017234D"/>
    <w:rsid w:val="001765A3"/>
    <w:rsid w:val="0018798C"/>
    <w:rsid w:val="00190070"/>
    <w:rsid w:val="00194000"/>
    <w:rsid w:val="001A6270"/>
    <w:rsid w:val="001B6F2A"/>
    <w:rsid w:val="001D0430"/>
    <w:rsid w:val="001D23F6"/>
    <w:rsid w:val="001E2948"/>
    <w:rsid w:val="001E452F"/>
    <w:rsid w:val="001F2A51"/>
    <w:rsid w:val="001F5E9E"/>
    <w:rsid w:val="001F6631"/>
    <w:rsid w:val="00215E91"/>
    <w:rsid w:val="0022411C"/>
    <w:rsid w:val="00224D24"/>
    <w:rsid w:val="00224D69"/>
    <w:rsid w:val="00230255"/>
    <w:rsid w:val="002330B7"/>
    <w:rsid w:val="00235F6F"/>
    <w:rsid w:val="00243C03"/>
    <w:rsid w:val="002440C3"/>
    <w:rsid w:val="00245EE7"/>
    <w:rsid w:val="00255977"/>
    <w:rsid w:val="0025729D"/>
    <w:rsid w:val="00261A26"/>
    <w:rsid w:val="0026438C"/>
    <w:rsid w:val="00267BEA"/>
    <w:rsid w:val="00272030"/>
    <w:rsid w:val="00272D59"/>
    <w:rsid w:val="00275E6E"/>
    <w:rsid w:val="00282524"/>
    <w:rsid w:val="0028303F"/>
    <w:rsid w:val="00284E24"/>
    <w:rsid w:val="002877F9"/>
    <w:rsid w:val="002913B6"/>
    <w:rsid w:val="00294C0C"/>
    <w:rsid w:val="002A73CE"/>
    <w:rsid w:val="002A7758"/>
    <w:rsid w:val="002B482B"/>
    <w:rsid w:val="002B555D"/>
    <w:rsid w:val="002C27D5"/>
    <w:rsid w:val="002C56DA"/>
    <w:rsid w:val="002C6C07"/>
    <w:rsid w:val="002C7EEB"/>
    <w:rsid w:val="002D372F"/>
    <w:rsid w:val="002D3966"/>
    <w:rsid w:val="002D4A22"/>
    <w:rsid w:val="002D5C55"/>
    <w:rsid w:val="002D6744"/>
    <w:rsid w:val="002E0C06"/>
    <w:rsid w:val="002E2768"/>
    <w:rsid w:val="002E2B6F"/>
    <w:rsid w:val="003035E9"/>
    <w:rsid w:val="00305919"/>
    <w:rsid w:val="00307E41"/>
    <w:rsid w:val="00310871"/>
    <w:rsid w:val="00323070"/>
    <w:rsid w:val="00326680"/>
    <w:rsid w:val="00330B81"/>
    <w:rsid w:val="00332529"/>
    <w:rsid w:val="00332E07"/>
    <w:rsid w:val="00344370"/>
    <w:rsid w:val="00350727"/>
    <w:rsid w:val="00350BDA"/>
    <w:rsid w:val="00354875"/>
    <w:rsid w:val="00354BF2"/>
    <w:rsid w:val="00377004"/>
    <w:rsid w:val="00377A85"/>
    <w:rsid w:val="00391357"/>
    <w:rsid w:val="00394661"/>
    <w:rsid w:val="00396255"/>
    <w:rsid w:val="003B2EF0"/>
    <w:rsid w:val="003B506A"/>
    <w:rsid w:val="003B5E62"/>
    <w:rsid w:val="003B74C4"/>
    <w:rsid w:val="003C58FC"/>
    <w:rsid w:val="003D1EE2"/>
    <w:rsid w:val="003E4F8A"/>
    <w:rsid w:val="003E57A1"/>
    <w:rsid w:val="003E6F95"/>
    <w:rsid w:val="00406EDD"/>
    <w:rsid w:val="00412B33"/>
    <w:rsid w:val="00417A7C"/>
    <w:rsid w:val="0042142E"/>
    <w:rsid w:val="0042636D"/>
    <w:rsid w:val="00431121"/>
    <w:rsid w:val="00432B1A"/>
    <w:rsid w:val="00442FE1"/>
    <w:rsid w:val="00453249"/>
    <w:rsid w:val="00455C3C"/>
    <w:rsid w:val="00456FFE"/>
    <w:rsid w:val="00457234"/>
    <w:rsid w:val="00461B1D"/>
    <w:rsid w:val="00467871"/>
    <w:rsid w:val="00467C73"/>
    <w:rsid w:val="00470C2E"/>
    <w:rsid w:val="004720DE"/>
    <w:rsid w:val="00491BB2"/>
    <w:rsid w:val="00495B45"/>
    <w:rsid w:val="004A48D6"/>
    <w:rsid w:val="004B0FDE"/>
    <w:rsid w:val="004D3CD0"/>
    <w:rsid w:val="004D3F67"/>
    <w:rsid w:val="004E69BC"/>
    <w:rsid w:val="004F0089"/>
    <w:rsid w:val="004F06ED"/>
    <w:rsid w:val="004F382E"/>
    <w:rsid w:val="005032B1"/>
    <w:rsid w:val="00514BEA"/>
    <w:rsid w:val="00526D83"/>
    <w:rsid w:val="0054251D"/>
    <w:rsid w:val="00544090"/>
    <w:rsid w:val="00550EAA"/>
    <w:rsid w:val="0055685C"/>
    <w:rsid w:val="005712F1"/>
    <w:rsid w:val="00572B9E"/>
    <w:rsid w:val="005828BD"/>
    <w:rsid w:val="005925F0"/>
    <w:rsid w:val="00597133"/>
    <w:rsid w:val="005A4BE3"/>
    <w:rsid w:val="005A61E6"/>
    <w:rsid w:val="005B12E1"/>
    <w:rsid w:val="005B20E8"/>
    <w:rsid w:val="005B4C64"/>
    <w:rsid w:val="005B6DC4"/>
    <w:rsid w:val="005C266B"/>
    <w:rsid w:val="005C2ED4"/>
    <w:rsid w:val="005C376D"/>
    <w:rsid w:val="005C56C9"/>
    <w:rsid w:val="005D4BEE"/>
    <w:rsid w:val="005D531F"/>
    <w:rsid w:val="005E7E2B"/>
    <w:rsid w:val="005F5595"/>
    <w:rsid w:val="00604A93"/>
    <w:rsid w:val="00604F10"/>
    <w:rsid w:val="00610D5B"/>
    <w:rsid w:val="00615211"/>
    <w:rsid w:val="0063016D"/>
    <w:rsid w:val="006333CA"/>
    <w:rsid w:val="006358E2"/>
    <w:rsid w:val="00636C86"/>
    <w:rsid w:val="00643442"/>
    <w:rsid w:val="00644BC7"/>
    <w:rsid w:val="00650FC8"/>
    <w:rsid w:val="00661631"/>
    <w:rsid w:val="00663C33"/>
    <w:rsid w:val="006708B6"/>
    <w:rsid w:val="0068438A"/>
    <w:rsid w:val="006A03F5"/>
    <w:rsid w:val="006A3F19"/>
    <w:rsid w:val="006B1C55"/>
    <w:rsid w:val="006B60D6"/>
    <w:rsid w:val="006B677F"/>
    <w:rsid w:val="006C57C7"/>
    <w:rsid w:val="006C7655"/>
    <w:rsid w:val="006D10B9"/>
    <w:rsid w:val="006D45F3"/>
    <w:rsid w:val="006E049E"/>
    <w:rsid w:val="006E1D8E"/>
    <w:rsid w:val="006F06E8"/>
    <w:rsid w:val="006F16EF"/>
    <w:rsid w:val="006F4EB3"/>
    <w:rsid w:val="006F51BF"/>
    <w:rsid w:val="00700D20"/>
    <w:rsid w:val="007045AA"/>
    <w:rsid w:val="00711862"/>
    <w:rsid w:val="0071573E"/>
    <w:rsid w:val="00715CF0"/>
    <w:rsid w:val="00734B46"/>
    <w:rsid w:val="0073677A"/>
    <w:rsid w:val="00752CA3"/>
    <w:rsid w:val="00763EB8"/>
    <w:rsid w:val="00774F36"/>
    <w:rsid w:val="00784C0B"/>
    <w:rsid w:val="00790C8C"/>
    <w:rsid w:val="00797D3B"/>
    <w:rsid w:val="007A1620"/>
    <w:rsid w:val="007C00D4"/>
    <w:rsid w:val="007C3ED6"/>
    <w:rsid w:val="007C3EEC"/>
    <w:rsid w:val="007D402E"/>
    <w:rsid w:val="007D54AF"/>
    <w:rsid w:val="007E1B7C"/>
    <w:rsid w:val="007E1FA4"/>
    <w:rsid w:val="007E7206"/>
    <w:rsid w:val="007F02C5"/>
    <w:rsid w:val="007F1E57"/>
    <w:rsid w:val="007F6B59"/>
    <w:rsid w:val="00805223"/>
    <w:rsid w:val="00805BFE"/>
    <w:rsid w:val="008104CF"/>
    <w:rsid w:val="00811288"/>
    <w:rsid w:val="008150AD"/>
    <w:rsid w:val="00823B63"/>
    <w:rsid w:val="00824074"/>
    <w:rsid w:val="00827926"/>
    <w:rsid w:val="0083497C"/>
    <w:rsid w:val="0083708A"/>
    <w:rsid w:val="00851CC0"/>
    <w:rsid w:val="008555BD"/>
    <w:rsid w:val="00865254"/>
    <w:rsid w:val="00865799"/>
    <w:rsid w:val="00871A9E"/>
    <w:rsid w:val="008741D9"/>
    <w:rsid w:val="00882552"/>
    <w:rsid w:val="0089327A"/>
    <w:rsid w:val="008A221E"/>
    <w:rsid w:val="008A3B78"/>
    <w:rsid w:val="008A434E"/>
    <w:rsid w:val="008A4686"/>
    <w:rsid w:val="008A6CAC"/>
    <w:rsid w:val="008B6A84"/>
    <w:rsid w:val="008D1195"/>
    <w:rsid w:val="008E4A22"/>
    <w:rsid w:val="008F54E2"/>
    <w:rsid w:val="009071DA"/>
    <w:rsid w:val="00912FAB"/>
    <w:rsid w:val="00914744"/>
    <w:rsid w:val="009149F0"/>
    <w:rsid w:val="00916212"/>
    <w:rsid w:val="009219A8"/>
    <w:rsid w:val="00942FE9"/>
    <w:rsid w:val="00947547"/>
    <w:rsid w:val="00960C0D"/>
    <w:rsid w:val="00962BFF"/>
    <w:rsid w:val="00970684"/>
    <w:rsid w:val="00972991"/>
    <w:rsid w:val="00976EA0"/>
    <w:rsid w:val="0099465E"/>
    <w:rsid w:val="009A0221"/>
    <w:rsid w:val="009A6A51"/>
    <w:rsid w:val="009B19FD"/>
    <w:rsid w:val="009B305D"/>
    <w:rsid w:val="009B65F0"/>
    <w:rsid w:val="009B79A1"/>
    <w:rsid w:val="009C24D6"/>
    <w:rsid w:val="009D3FE7"/>
    <w:rsid w:val="009D3FEF"/>
    <w:rsid w:val="009D4BE1"/>
    <w:rsid w:val="009E232D"/>
    <w:rsid w:val="009E249F"/>
    <w:rsid w:val="009E3B8E"/>
    <w:rsid w:val="009E5784"/>
    <w:rsid w:val="009E7F1D"/>
    <w:rsid w:val="00A05CB3"/>
    <w:rsid w:val="00A142DB"/>
    <w:rsid w:val="00A20EF1"/>
    <w:rsid w:val="00A4342A"/>
    <w:rsid w:val="00A53E33"/>
    <w:rsid w:val="00A56344"/>
    <w:rsid w:val="00A61361"/>
    <w:rsid w:val="00A667EB"/>
    <w:rsid w:val="00A67DDC"/>
    <w:rsid w:val="00A716A7"/>
    <w:rsid w:val="00A74FA1"/>
    <w:rsid w:val="00A777DF"/>
    <w:rsid w:val="00A80D35"/>
    <w:rsid w:val="00A8574C"/>
    <w:rsid w:val="00AA1BDF"/>
    <w:rsid w:val="00AC7DD1"/>
    <w:rsid w:val="00AD0CF7"/>
    <w:rsid w:val="00AD1C8C"/>
    <w:rsid w:val="00AD4AF7"/>
    <w:rsid w:val="00AE0354"/>
    <w:rsid w:val="00AE3E4E"/>
    <w:rsid w:val="00AE787C"/>
    <w:rsid w:val="00AF2ABC"/>
    <w:rsid w:val="00AF6F25"/>
    <w:rsid w:val="00B02F8E"/>
    <w:rsid w:val="00B171FB"/>
    <w:rsid w:val="00B1729C"/>
    <w:rsid w:val="00B17A26"/>
    <w:rsid w:val="00B26A96"/>
    <w:rsid w:val="00B273E5"/>
    <w:rsid w:val="00B40D0C"/>
    <w:rsid w:val="00B41416"/>
    <w:rsid w:val="00B471AB"/>
    <w:rsid w:val="00B5453A"/>
    <w:rsid w:val="00B54C3C"/>
    <w:rsid w:val="00B61F8E"/>
    <w:rsid w:val="00B71AD8"/>
    <w:rsid w:val="00B87098"/>
    <w:rsid w:val="00B90152"/>
    <w:rsid w:val="00B90685"/>
    <w:rsid w:val="00B94DFC"/>
    <w:rsid w:val="00BA0088"/>
    <w:rsid w:val="00BA7995"/>
    <w:rsid w:val="00BB0503"/>
    <w:rsid w:val="00BB422A"/>
    <w:rsid w:val="00BC1606"/>
    <w:rsid w:val="00BD0344"/>
    <w:rsid w:val="00BD3FAA"/>
    <w:rsid w:val="00BD5047"/>
    <w:rsid w:val="00BD5CDD"/>
    <w:rsid w:val="00BD61FD"/>
    <w:rsid w:val="00BE070D"/>
    <w:rsid w:val="00BE6B57"/>
    <w:rsid w:val="00BE7299"/>
    <w:rsid w:val="00BF3454"/>
    <w:rsid w:val="00BF62D3"/>
    <w:rsid w:val="00BF72AA"/>
    <w:rsid w:val="00C111BE"/>
    <w:rsid w:val="00C1173B"/>
    <w:rsid w:val="00C17065"/>
    <w:rsid w:val="00C17C02"/>
    <w:rsid w:val="00C21350"/>
    <w:rsid w:val="00C251DB"/>
    <w:rsid w:val="00C269CC"/>
    <w:rsid w:val="00C35D38"/>
    <w:rsid w:val="00C3727A"/>
    <w:rsid w:val="00C46E8A"/>
    <w:rsid w:val="00C63E6B"/>
    <w:rsid w:val="00C72449"/>
    <w:rsid w:val="00C76B63"/>
    <w:rsid w:val="00C8608C"/>
    <w:rsid w:val="00C8641B"/>
    <w:rsid w:val="00CC1CA0"/>
    <w:rsid w:val="00CE389B"/>
    <w:rsid w:val="00CE3DCA"/>
    <w:rsid w:val="00D040F3"/>
    <w:rsid w:val="00D04792"/>
    <w:rsid w:val="00D04F53"/>
    <w:rsid w:val="00D068C0"/>
    <w:rsid w:val="00D13955"/>
    <w:rsid w:val="00D15D3B"/>
    <w:rsid w:val="00D17718"/>
    <w:rsid w:val="00D30789"/>
    <w:rsid w:val="00D43C57"/>
    <w:rsid w:val="00D441DF"/>
    <w:rsid w:val="00D62457"/>
    <w:rsid w:val="00D70461"/>
    <w:rsid w:val="00D71FA5"/>
    <w:rsid w:val="00D760FF"/>
    <w:rsid w:val="00D9163B"/>
    <w:rsid w:val="00DA7991"/>
    <w:rsid w:val="00DB1404"/>
    <w:rsid w:val="00DC2D8C"/>
    <w:rsid w:val="00DD3243"/>
    <w:rsid w:val="00DD6FE7"/>
    <w:rsid w:val="00DD7CF6"/>
    <w:rsid w:val="00DE05E9"/>
    <w:rsid w:val="00DF576E"/>
    <w:rsid w:val="00DF78BA"/>
    <w:rsid w:val="00DF7F7D"/>
    <w:rsid w:val="00E01383"/>
    <w:rsid w:val="00E04530"/>
    <w:rsid w:val="00E067D0"/>
    <w:rsid w:val="00E0754F"/>
    <w:rsid w:val="00E15B85"/>
    <w:rsid w:val="00E23201"/>
    <w:rsid w:val="00E41A4B"/>
    <w:rsid w:val="00E461BC"/>
    <w:rsid w:val="00E462DB"/>
    <w:rsid w:val="00E62861"/>
    <w:rsid w:val="00E66E14"/>
    <w:rsid w:val="00E67943"/>
    <w:rsid w:val="00E81152"/>
    <w:rsid w:val="00E93F8A"/>
    <w:rsid w:val="00E9797D"/>
    <w:rsid w:val="00EA40B3"/>
    <w:rsid w:val="00EA54C6"/>
    <w:rsid w:val="00EA741E"/>
    <w:rsid w:val="00EA79CF"/>
    <w:rsid w:val="00ED6405"/>
    <w:rsid w:val="00EE072C"/>
    <w:rsid w:val="00EF03DD"/>
    <w:rsid w:val="00EF4166"/>
    <w:rsid w:val="00EF664A"/>
    <w:rsid w:val="00F029F6"/>
    <w:rsid w:val="00F06AA4"/>
    <w:rsid w:val="00F06ED1"/>
    <w:rsid w:val="00F11CED"/>
    <w:rsid w:val="00F16F06"/>
    <w:rsid w:val="00F20F60"/>
    <w:rsid w:val="00F24772"/>
    <w:rsid w:val="00F40126"/>
    <w:rsid w:val="00F40252"/>
    <w:rsid w:val="00F4270C"/>
    <w:rsid w:val="00F431C7"/>
    <w:rsid w:val="00F56644"/>
    <w:rsid w:val="00F603E0"/>
    <w:rsid w:val="00F62D62"/>
    <w:rsid w:val="00F646E6"/>
    <w:rsid w:val="00F6693F"/>
    <w:rsid w:val="00F70B1D"/>
    <w:rsid w:val="00F772E8"/>
    <w:rsid w:val="00F87DE0"/>
    <w:rsid w:val="00F9510C"/>
    <w:rsid w:val="00F96127"/>
    <w:rsid w:val="00FA0420"/>
    <w:rsid w:val="00FA72FC"/>
    <w:rsid w:val="00FB554B"/>
    <w:rsid w:val="00FC0747"/>
    <w:rsid w:val="00FC1221"/>
    <w:rsid w:val="00FC13AD"/>
    <w:rsid w:val="00FC651C"/>
    <w:rsid w:val="00FD22A9"/>
    <w:rsid w:val="00FF0BFD"/>
    <w:rsid w:val="00FF5663"/>
    <w:rsid w:val="00FF7D14"/>
  </w:rsids>
  <w:docVars>
    <w:docVar w:name="DOCX97_42" w:val="0 Footnotes"/>
    <w:docVar w:name="DOCX97_43" w:val="0 Endnotes"/>
    <w:docVar w:name="DOCX97_66" w:val="GoodQuotes"/>
    <w:docVar w:name="DOCX97_89" w:val="Word8MacrosDone"/>
    <w:docVar w:name="DOCX97_91" w:val="Bayer"/>
  </w:docVars>
  <m:mathPr>
    <m:mathFont m:val="Cambria Math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5AD68ECB-3A48-44F0-B9BD-20110C5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9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semiHidden="1" w:unhideWhenUsed="1"/>
    <w:lsdException w:name="Subtitle" w:uiPriority="5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ook Title" w:semiHidden="1" w:uiPriority="33" w:unhideWhenUsed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ayer Normal,Standard1"/>
    <w:qFormat/>
    <w:rsid w:val="00572B9E"/>
    <w:rPr>
      <w:sz w:val="24"/>
      <w:lang w:val="en-US" w:eastAsia="en-US"/>
    </w:rPr>
  </w:style>
  <w:style w:type="paragraph" w:styleId="Heading1">
    <w:name w:val="heading 1"/>
    <w:aliases w:val="Bayer-Heading 1"/>
    <w:basedOn w:val="Normal"/>
    <w:next w:val="BayerBodyTextFull"/>
    <w:qFormat/>
    <w:rsid w:val="00431121"/>
    <w:pPr>
      <w:keepNext/>
      <w:numPr>
        <w:ilvl w:val="0"/>
        <w:numId w:val="0"/>
      </w:numPr>
      <w:tabs>
        <w:tab w:val="left" w:pos="851"/>
      </w:tabs>
      <w:spacing w:before="240" w:after="120"/>
      <w:outlineLvl w:val="0"/>
    </w:pPr>
    <w:rPr>
      <w:b/>
      <w:kern w:val="28"/>
      <w:sz w:val="28"/>
    </w:rPr>
  </w:style>
  <w:style w:type="paragraph" w:styleId="Heading2">
    <w:name w:val="heading 2"/>
    <w:aliases w:val="Bayer-Heading 2"/>
    <w:basedOn w:val="Heading1"/>
    <w:next w:val="BayerBodyTextFull"/>
    <w:qFormat/>
    <w:rsid w:val="00431121"/>
    <w:pPr>
      <w:numPr>
        <w:ilvl w:val="0"/>
        <w:numId w:val="0"/>
      </w:numPr>
      <w:tabs>
        <w:tab w:val="clear" w:pos="0"/>
        <w:tab w:val="clear" w:pos="851"/>
        <w:tab w:val="left" w:pos="992"/>
      </w:tabs>
      <w:ind w:left="992" w:hanging="992"/>
      <w:outlineLvl w:val="1"/>
    </w:pPr>
    <w:rPr>
      <w:sz w:val="26"/>
    </w:rPr>
  </w:style>
  <w:style w:type="paragraph" w:styleId="Heading3">
    <w:name w:val="heading 3"/>
    <w:aliases w:val="Bayer-Heading 3"/>
    <w:basedOn w:val="Heading1"/>
    <w:next w:val="BayerBodyTextFull"/>
    <w:qFormat/>
    <w:rsid w:val="005C266B"/>
    <w:pPr>
      <w:numPr>
        <w:ilvl w:val="0"/>
        <w:numId w:val="0"/>
      </w:numPr>
      <w:tabs>
        <w:tab w:val="clear" w:pos="851"/>
        <w:tab w:val="left" w:pos="1134"/>
      </w:tabs>
      <w:spacing w:before="120" w:after="0"/>
      <w:outlineLvl w:val="2"/>
    </w:pPr>
    <w:rPr>
      <w:sz w:val="26"/>
    </w:rPr>
  </w:style>
  <w:style w:type="paragraph" w:styleId="Heading4">
    <w:name w:val="heading 4"/>
    <w:aliases w:val="Bayer-Heading 4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276"/>
      </w:tabs>
      <w:spacing w:before="120" w:after="0"/>
      <w:ind w:left="1276" w:hanging="1276"/>
      <w:outlineLvl w:val="3"/>
    </w:pPr>
    <w:rPr>
      <w:sz w:val="26"/>
    </w:rPr>
  </w:style>
  <w:style w:type="paragraph" w:styleId="Heading5">
    <w:name w:val="heading 5"/>
    <w:aliases w:val="Bayer-Heading 5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418"/>
      </w:tabs>
      <w:spacing w:before="120" w:after="0"/>
      <w:ind w:left="1418" w:hanging="1418"/>
      <w:outlineLvl w:val="4"/>
    </w:pPr>
    <w:rPr>
      <w:sz w:val="26"/>
    </w:rPr>
  </w:style>
  <w:style w:type="paragraph" w:styleId="Heading6">
    <w:name w:val="heading 6"/>
    <w:aliases w:val="Bayer-Heading 6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559"/>
      </w:tabs>
      <w:spacing w:before="120" w:after="0"/>
      <w:ind w:left="1219" w:hanging="1219"/>
      <w:outlineLvl w:val="5"/>
    </w:pPr>
    <w:rPr>
      <w:sz w:val="26"/>
    </w:rPr>
  </w:style>
  <w:style w:type="paragraph" w:styleId="Heading7">
    <w:name w:val="heading 7"/>
    <w:aliases w:val="Bayer-Heading 7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701"/>
      </w:tabs>
      <w:spacing w:before="120" w:after="0"/>
      <w:ind w:left="1219" w:hanging="1219"/>
      <w:outlineLvl w:val="6"/>
    </w:pPr>
    <w:rPr>
      <w:sz w:val="26"/>
    </w:rPr>
  </w:style>
  <w:style w:type="paragraph" w:styleId="Heading8">
    <w:name w:val="heading 8"/>
    <w:aliases w:val="Bayer-Heading 8"/>
    <w:basedOn w:val="Heading1"/>
    <w:next w:val="BayerBodyTextFull"/>
    <w:qFormat/>
    <w:rsid w:val="00AE0354"/>
    <w:pPr>
      <w:numPr>
        <w:ilvl w:val="0"/>
        <w:numId w:val="0"/>
      </w:numPr>
      <w:tabs>
        <w:tab w:val="clear" w:pos="0"/>
        <w:tab w:val="clear" w:pos="851"/>
        <w:tab w:val="left" w:pos="1843"/>
      </w:tabs>
      <w:spacing w:before="120" w:after="0"/>
      <w:ind w:left="1644" w:hanging="1644"/>
      <w:outlineLvl w:val="7"/>
    </w:pPr>
    <w:rPr>
      <w:sz w:val="26"/>
    </w:rPr>
  </w:style>
  <w:style w:type="paragraph" w:styleId="Heading9">
    <w:name w:val="heading 9"/>
    <w:aliases w:val="Bayer-Heading 9"/>
    <w:basedOn w:val="Heading1"/>
    <w:next w:val="BayerBodyTextFull"/>
    <w:qFormat/>
    <w:rsid w:val="002B482B"/>
    <w:pPr>
      <w:numPr>
        <w:ilvl w:val="0"/>
        <w:numId w:val="0"/>
      </w:numPr>
      <w:tabs>
        <w:tab w:val="clear" w:pos="0"/>
        <w:tab w:val="clear" w:pos="851"/>
        <w:tab w:val="left" w:pos="1985"/>
      </w:tabs>
      <w:spacing w:before="120" w:after="0"/>
      <w:ind w:left="1985" w:hanging="1985"/>
      <w:outlineLvl w:val="8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yerXspace">
    <w:name w:val="Bayer Xspace"/>
    <w:basedOn w:val="Normal"/>
    <w:next w:val="BayerBodyTextFull"/>
    <w:qFormat/>
    <w:rsid w:val="00FA72FC"/>
    <w:rPr>
      <w:sz w:val="8"/>
    </w:rPr>
  </w:style>
  <w:style w:type="paragraph" w:customStyle="1" w:styleId="BayerTableRowHeadings">
    <w:name w:val="Bayer Table Row Headings"/>
    <w:basedOn w:val="BayerTableStyleRightJustified"/>
    <w:qFormat/>
    <w:rsid w:val="007C3EEC"/>
    <w:pPr>
      <w:jc w:val="left"/>
    </w:pPr>
  </w:style>
  <w:style w:type="paragraph" w:customStyle="1" w:styleId="BayerBodyTextFull">
    <w:name w:val="Bayer Body Text Full"/>
    <w:basedOn w:val="Normal"/>
    <w:link w:val="BayerBodyTextFullChar"/>
    <w:qFormat/>
    <w:rsid w:val="00FA72FC"/>
    <w:pPr>
      <w:spacing w:before="120" w:after="120"/>
    </w:pPr>
  </w:style>
  <w:style w:type="character" w:styleId="CommentReference">
    <w:name w:val="annotation reference"/>
    <w:uiPriority w:val="99"/>
    <w:semiHidden/>
    <w:rsid w:val="00FA72FC"/>
    <w:rPr>
      <w:sz w:val="16"/>
      <w:szCs w:val="16"/>
    </w:rPr>
  </w:style>
  <w:style w:type="paragraph" w:styleId="DocumentMap">
    <w:name w:val="Document Map"/>
    <w:basedOn w:val="Normal"/>
    <w:uiPriority w:val="99"/>
    <w:semiHidden/>
    <w:rsid w:val="00FA72FC"/>
    <w:pPr>
      <w:shd w:val="clear" w:color="auto" w:fill="000080"/>
    </w:pPr>
    <w:rPr>
      <w:rFonts w:ascii="Tahoma" w:hAnsi="Tahoma"/>
    </w:rPr>
  </w:style>
  <w:style w:type="paragraph" w:customStyle="1" w:styleId="BayerBibliography">
    <w:name w:val="Bayer Bibliography"/>
    <w:basedOn w:val="Normal"/>
    <w:link w:val="BayerBibliographyZchn"/>
    <w:rsid w:val="00FA72FC"/>
    <w:pPr>
      <w:spacing w:after="120"/>
      <w:ind w:left="1627" w:hanging="720"/>
    </w:pPr>
  </w:style>
  <w:style w:type="paragraph" w:customStyle="1" w:styleId="BayerTRDASectionHeading2">
    <w:name w:val="Bayer TRD_A_Section Heading 2"/>
    <w:basedOn w:val="BayerTRDASectionHeading1"/>
    <w:next w:val="BayerBodyTextFull"/>
    <w:qFormat/>
    <w:rsid w:val="00FA72FC"/>
    <w:pPr>
      <w:ind w:left="1418"/>
      <w:outlineLvl w:val="1"/>
    </w:pPr>
    <w:rPr>
      <w:b w:val="0"/>
      <w:szCs w:val="24"/>
    </w:rPr>
  </w:style>
  <w:style w:type="paragraph" w:customStyle="1" w:styleId="BulletBayerBodyText">
    <w:name w:val="Bullet Bayer Body Text"/>
    <w:basedOn w:val="Normal"/>
    <w:qFormat/>
    <w:rsid w:val="00E01383"/>
    <w:pPr>
      <w:numPr>
        <w:numId w:val="19"/>
      </w:numPr>
      <w:tabs>
        <w:tab w:val="clear" w:pos="720"/>
      </w:tabs>
      <w:spacing w:after="60"/>
      <w:ind w:left="511" w:hanging="284"/>
    </w:pPr>
  </w:style>
  <w:style w:type="paragraph" w:customStyle="1" w:styleId="BayerTableColumnHeadings">
    <w:name w:val="Bayer Table Column Headings"/>
    <w:basedOn w:val="Normal"/>
    <w:qFormat/>
    <w:rsid w:val="00FA72FC"/>
    <w:pPr>
      <w:jc w:val="center"/>
    </w:pPr>
    <w:rPr>
      <w:rFonts w:ascii="Arial" w:hAnsi="Arial"/>
      <w:b/>
      <w:sz w:val="20"/>
    </w:rPr>
  </w:style>
  <w:style w:type="paragraph" w:customStyle="1" w:styleId="BayerTableFootnote">
    <w:name w:val="Bayer Table Footnote"/>
    <w:basedOn w:val="BayerTableStyleLeftJustified"/>
    <w:qFormat/>
    <w:rsid w:val="00FA72FC"/>
    <w:pPr>
      <w:ind w:left="360" w:hanging="360"/>
    </w:pPr>
  </w:style>
  <w:style w:type="paragraph" w:customStyle="1" w:styleId="BayerFootnote">
    <w:name w:val="Bayer Footnote"/>
    <w:basedOn w:val="Normal"/>
    <w:rsid w:val="00FA72FC"/>
    <w:pPr>
      <w:tabs>
        <w:tab w:val="left" w:pos="907"/>
      </w:tabs>
      <w:spacing w:after="60"/>
      <w:ind w:left="907"/>
    </w:pPr>
    <w:rPr>
      <w:sz w:val="20"/>
    </w:rPr>
  </w:style>
  <w:style w:type="paragraph" w:customStyle="1" w:styleId="BayerSectionHeading">
    <w:name w:val="Bayer Section Heading"/>
    <w:basedOn w:val="Normal"/>
    <w:next w:val="Normal"/>
    <w:qFormat/>
    <w:rsid w:val="00FA72FC"/>
    <w:rPr>
      <w:b/>
      <w:sz w:val="28"/>
    </w:rPr>
  </w:style>
  <w:style w:type="paragraph" w:customStyle="1" w:styleId="BayerSubscript">
    <w:name w:val="Bayer Subscript"/>
    <w:basedOn w:val="Normal"/>
    <w:link w:val="BayerSubscriptZchn"/>
    <w:qFormat/>
    <w:rsid w:val="00FA72FC"/>
    <w:rPr>
      <w:vertAlign w:val="subscript"/>
    </w:rPr>
  </w:style>
  <w:style w:type="paragraph" w:customStyle="1" w:styleId="BayerSuperscript">
    <w:name w:val="Bayer Superscript"/>
    <w:basedOn w:val="Normal"/>
    <w:link w:val="BayerSuperscriptZchn"/>
    <w:qFormat/>
    <w:rsid w:val="00FA72FC"/>
    <w:rPr>
      <w:vertAlign w:val="superscript"/>
    </w:rPr>
  </w:style>
  <w:style w:type="paragraph" w:styleId="TOC1">
    <w:name w:val="toc 1"/>
    <w:aliases w:val="Bayer-TOC 1"/>
    <w:basedOn w:val="Normal"/>
    <w:next w:val="Normal"/>
    <w:uiPriority w:val="39"/>
    <w:rsid w:val="009C24D6"/>
    <w:pPr>
      <w:tabs>
        <w:tab w:val="right" w:leader="dot" w:pos="9072"/>
      </w:tabs>
      <w:spacing w:before="120"/>
      <w:ind w:left="425" w:right="284" w:hanging="425"/>
    </w:pPr>
    <w:rPr>
      <w:b/>
      <w:color w:val="0000FF"/>
    </w:rPr>
  </w:style>
  <w:style w:type="paragraph" w:customStyle="1" w:styleId="SynopsisLeftColumn">
    <w:name w:val="Synopsis Left Column"/>
    <w:basedOn w:val="Normal"/>
    <w:uiPriority w:val="99"/>
    <w:semiHidden/>
    <w:rsid w:val="00FA72FC"/>
    <w:pPr>
      <w:spacing w:before="120" w:after="120"/>
      <w:jc w:val="right"/>
    </w:pPr>
    <w:rPr>
      <w:b/>
    </w:rPr>
  </w:style>
  <w:style w:type="paragraph" w:customStyle="1" w:styleId="SynopsisRightColumn">
    <w:name w:val="Synopsis Right Column"/>
    <w:basedOn w:val="Normal"/>
    <w:uiPriority w:val="99"/>
    <w:semiHidden/>
    <w:rsid w:val="00FA72FC"/>
    <w:pPr>
      <w:spacing w:before="120" w:after="120"/>
    </w:pPr>
  </w:style>
  <w:style w:type="paragraph" w:styleId="TOC2">
    <w:name w:val="toc 2"/>
    <w:aliases w:val="Bayer-TOC 2"/>
    <w:basedOn w:val="TOC1"/>
    <w:next w:val="Normal"/>
    <w:uiPriority w:val="39"/>
    <w:rsid w:val="009D3FE7"/>
    <w:pPr>
      <w:spacing w:before="0"/>
      <w:ind w:left="624" w:hanging="624"/>
    </w:pPr>
    <w:rPr>
      <w:b w:val="0"/>
    </w:rPr>
  </w:style>
  <w:style w:type="paragraph" w:styleId="TOC3">
    <w:name w:val="toc 3"/>
    <w:aliases w:val="Bayer-TOC 3"/>
    <w:basedOn w:val="TOC1"/>
    <w:next w:val="Normal"/>
    <w:uiPriority w:val="39"/>
    <w:rsid w:val="009D3FE7"/>
    <w:pPr>
      <w:spacing w:before="0"/>
      <w:ind w:left="822" w:hanging="822"/>
    </w:pPr>
    <w:rPr>
      <w:b w:val="0"/>
    </w:rPr>
  </w:style>
  <w:style w:type="paragraph" w:styleId="TOC4">
    <w:name w:val="toc 4"/>
    <w:aliases w:val="Bayer-TOC 4"/>
    <w:basedOn w:val="TOC1"/>
    <w:next w:val="Normal"/>
    <w:uiPriority w:val="39"/>
    <w:rsid w:val="009D3FE7"/>
    <w:pPr>
      <w:spacing w:before="0"/>
      <w:ind w:left="1021" w:hanging="1021"/>
    </w:pPr>
    <w:rPr>
      <w:b w:val="0"/>
    </w:rPr>
  </w:style>
  <w:style w:type="paragraph" w:styleId="TOC5">
    <w:name w:val="toc 5"/>
    <w:aliases w:val="Bayer-TOC 5"/>
    <w:basedOn w:val="TOC1"/>
    <w:next w:val="Normal"/>
    <w:uiPriority w:val="39"/>
    <w:rsid w:val="009D3FE7"/>
    <w:pPr>
      <w:spacing w:before="0"/>
      <w:ind w:left="1219" w:hanging="1219"/>
    </w:pPr>
    <w:rPr>
      <w:b w:val="0"/>
    </w:rPr>
  </w:style>
  <w:style w:type="paragraph" w:customStyle="1" w:styleId="BayerGuidanceNotes">
    <w:name w:val="Bayer Guidance Notes"/>
    <w:basedOn w:val="BayerBlue"/>
    <w:next w:val="Normal"/>
    <w:link w:val="BayerGuidanceNotesZchn"/>
    <w:qFormat/>
    <w:rsid w:val="00FA72FC"/>
    <w:rPr>
      <w:i/>
    </w:rPr>
  </w:style>
  <w:style w:type="paragraph" w:styleId="CommentText">
    <w:name w:val="annotation text"/>
    <w:basedOn w:val="Normal"/>
    <w:uiPriority w:val="99"/>
    <w:semiHidden/>
    <w:rsid w:val="00FA72FC"/>
    <w:rPr>
      <w:sz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FA72FC"/>
    <w:rPr>
      <w:b/>
      <w:bCs/>
    </w:rPr>
  </w:style>
  <w:style w:type="paragraph" w:customStyle="1" w:styleId="BayerTableStyleCentered">
    <w:name w:val="Bayer TableStyle Centered"/>
    <w:basedOn w:val="Normal"/>
    <w:qFormat/>
    <w:rsid w:val="00FA72FC"/>
    <w:pPr>
      <w:keepNext/>
      <w:widowControl w:val="0"/>
      <w:jc w:val="center"/>
    </w:pPr>
    <w:rPr>
      <w:rFonts w:ascii="Arial" w:hAnsi="Arial"/>
      <w:sz w:val="20"/>
    </w:rPr>
  </w:style>
  <w:style w:type="paragraph" w:styleId="BalloonText">
    <w:name w:val="Balloon Text"/>
    <w:basedOn w:val="Normal"/>
    <w:uiPriority w:val="99"/>
    <w:semiHidden/>
    <w:rsid w:val="00FA72FC"/>
    <w:rPr>
      <w:rFonts w:ascii="Tahoma" w:hAnsi="Tahoma" w:cs="Tahoma"/>
      <w:sz w:val="16"/>
      <w:szCs w:val="16"/>
    </w:rPr>
  </w:style>
  <w:style w:type="paragraph" w:customStyle="1" w:styleId="BayerTRDASectionHeading1">
    <w:name w:val="Bayer TRD_A_Section Heading 1"/>
    <w:basedOn w:val="Heading1"/>
    <w:next w:val="BayerBodyTextFull"/>
    <w:qFormat/>
    <w:rsid w:val="00EF03DD"/>
    <w:pPr>
      <w:numPr>
        <w:numId w:val="0"/>
      </w:numPr>
      <w:spacing w:before="60" w:after="60"/>
    </w:pPr>
    <w:rPr>
      <w:sz w:val="24"/>
    </w:rPr>
  </w:style>
  <w:style w:type="paragraph" w:customStyle="1" w:styleId="BayerTRDSource">
    <w:name w:val="Bayer TRD Source"/>
    <w:basedOn w:val="Normal"/>
    <w:next w:val="BayerBodyTextFull"/>
    <w:qFormat/>
    <w:rsid w:val="005D531F"/>
    <w:pPr>
      <w:spacing w:after="120"/>
      <w:ind w:left="1417" w:hanging="992"/>
    </w:pPr>
    <w:rPr>
      <w:i/>
      <w:szCs w:val="22"/>
    </w:rPr>
  </w:style>
  <w:style w:type="paragraph" w:customStyle="1" w:styleId="BayerTRDASectionHeading3">
    <w:name w:val="Bayer TRD_A_Section Heading 3"/>
    <w:basedOn w:val="BayerTRDASectionHeading1"/>
    <w:next w:val="BayerBodyTextFull"/>
    <w:qFormat/>
    <w:rsid w:val="00FA72FC"/>
    <w:pPr>
      <w:ind w:left="1559"/>
      <w:outlineLvl w:val="2"/>
    </w:pPr>
    <w:rPr>
      <w:b w:val="0"/>
      <w:szCs w:val="24"/>
    </w:rPr>
  </w:style>
  <w:style w:type="paragraph" w:customStyle="1" w:styleId="BayerTRDASectionHeading4">
    <w:name w:val="Bayer TRD_A_Section Heading 4"/>
    <w:basedOn w:val="BayerTRDASectionHeading1"/>
    <w:next w:val="BayerBodyTextFull"/>
    <w:qFormat/>
    <w:rsid w:val="00FA72FC"/>
    <w:pPr>
      <w:ind w:left="1701"/>
      <w:outlineLvl w:val="3"/>
    </w:pPr>
    <w:rPr>
      <w:b w:val="0"/>
    </w:rPr>
  </w:style>
  <w:style w:type="paragraph" w:styleId="TOC6">
    <w:name w:val="toc 6"/>
    <w:aliases w:val="Bayer-TOC 6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7">
    <w:name w:val="toc 7"/>
    <w:aliases w:val="Bayer-TOC 7"/>
    <w:basedOn w:val="TOC1"/>
    <w:next w:val="Normal"/>
    <w:uiPriority w:val="39"/>
    <w:rsid w:val="00AE0354"/>
    <w:pPr>
      <w:spacing w:before="0"/>
      <w:ind w:left="1474" w:hanging="1474"/>
    </w:pPr>
    <w:rPr>
      <w:b w:val="0"/>
    </w:rPr>
  </w:style>
  <w:style w:type="paragraph" w:customStyle="1" w:styleId="BayerTRDASectionHeading5">
    <w:name w:val="Bayer TRD_A_Section Heading 5"/>
    <w:basedOn w:val="BayerTRDASectionHeading1"/>
    <w:next w:val="BayerBodyTextFull"/>
    <w:qFormat/>
    <w:rsid w:val="00FA72FC"/>
    <w:pPr>
      <w:ind w:left="1701"/>
      <w:outlineLvl w:val="4"/>
    </w:pPr>
    <w:rPr>
      <w:b w:val="0"/>
    </w:rPr>
  </w:style>
  <w:style w:type="paragraph" w:customStyle="1" w:styleId="BayerTableStyleLeftJustified">
    <w:name w:val="Bayer TableStyle Left Justified"/>
    <w:basedOn w:val="Normal"/>
    <w:qFormat/>
    <w:rsid w:val="00FA72FC"/>
    <w:pPr>
      <w:keepNext/>
      <w:widowControl w:val="0"/>
    </w:pPr>
    <w:rPr>
      <w:rFonts w:ascii="Arial" w:hAnsi="Arial"/>
      <w:sz w:val="20"/>
    </w:rPr>
  </w:style>
  <w:style w:type="paragraph" w:customStyle="1" w:styleId="BayerTableStyleRightJustified">
    <w:name w:val="Bayer TableStyle Right Justified"/>
    <w:qFormat/>
    <w:rsid w:val="00DE05E9"/>
    <w:pPr>
      <w:keepNext/>
      <w:widowControl w:val="0"/>
      <w:jc w:val="right"/>
    </w:pPr>
    <w:rPr>
      <w:rFonts w:ascii="Arial" w:hAnsi="Arial"/>
      <w:lang w:val="en-US" w:eastAsia="en-US"/>
    </w:rPr>
  </w:style>
  <w:style w:type="paragraph" w:styleId="Caption">
    <w:name w:val="caption"/>
    <w:aliases w:val="Bayer Caption"/>
    <w:basedOn w:val="Normal"/>
    <w:next w:val="Normal"/>
    <w:qFormat/>
    <w:rsid w:val="00FA72FC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customStyle="1" w:styleId="BayerSASCaption">
    <w:name w:val="Bayer SAS Caption"/>
    <w:basedOn w:val="Caption"/>
    <w:next w:val="BayerSASMono"/>
    <w:qFormat/>
    <w:rsid w:val="00FA72FC"/>
    <w:pPr>
      <w:spacing w:before="0" w:after="0"/>
      <w:ind w:left="1814" w:hanging="907"/>
    </w:pPr>
    <w:rPr>
      <w:rFonts w:ascii="SAS Monospace" w:hAnsi="SAS Monospace"/>
      <w:sz w:val="16"/>
    </w:rPr>
  </w:style>
  <w:style w:type="paragraph" w:customStyle="1" w:styleId="BayerSASMono">
    <w:name w:val="Bayer SAS Mono"/>
    <w:basedOn w:val="Normal"/>
    <w:qFormat/>
    <w:rsid w:val="00115EFF"/>
    <w:pPr>
      <w:spacing w:line="160" w:lineRule="exact"/>
    </w:pPr>
    <w:rPr>
      <w:rFonts w:ascii="SAS Monospace" w:hAnsi="SAS Monospace"/>
      <w:sz w:val="16"/>
      <w:szCs w:val="16"/>
    </w:rPr>
  </w:style>
  <w:style w:type="paragraph" w:customStyle="1" w:styleId="Bullet2BayerBodyText">
    <w:name w:val="Bullet_2 Bayer Body Text"/>
    <w:basedOn w:val="BulletBayerBodyText"/>
    <w:next w:val="BayerBodyTextFull"/>
    <w:qFormat/>
    <w:rsid w:val="00F11CED"/>
    <w:pPr>
      <w:numPr>
        <w:numId w:val="10"/>
      </w:numPr>
      <w:tabs>
        <w:tab w:val="clear" w:pos="1778"/>
      </w:tabs>
      <w:ind w:left="794" w:hanging="284"/>
    </w:pPr>
  </w:style>
  <w:style w:type="paragraph" w:styleId="Header">
    <w:name w:val="header"/>
    <w:basedOn w:val="Normal"/>
    <w:link w:val="HeaderChar"/>
    <w:rsid w:val="00FA72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semiHidden/>
    <w:rsid w:val="00FA72FC"/>
    <w:pPr>
      <w:tabs>
        <w:tab w:val="center" w:pos="4536"/>
        <w:tab w:val="right" w:pos="9072"/>
      </w:tabs>
    </w:pPr>
  </w:style>
  <w:style w:type="character" w:customStyle="1" w:styleId="BayerSuperscriptZchn">
    <w:name w:val="Bayer Superscript Zchn"/>
    <w:link w:val="BayerSuperscript"/>
    <w:rsid w:val="00F603E0"/>
    <w:rPr>
      <w:sz w:val="24"/>
      <w:vertAlign w:val="superscript"/>
    </w:rPr>
  </w:style>
  <w:style w:type="character" w:customStyle="1" w:styleId="BayerSubscriptZchn">
    <w:name w:val="Bayer Subscript Zchn"/>
    <w:link w:val="BayerSubscript"/>
    <w:rsid w:val="00F603E0"/>
    <w:rPr>
      <w:sz w:val="24"/>
      <w:vertAlign w:val="subscript"/>
    </w:rPr>
  </w:style>
  <w:style w:type="paragraph" w:customStyle="1" w:styleId="JapancontBayerCaption">
    <w:name w:val="Japan cont Bayer Caption"/>
    <w:basedOn w:val="Normal"/>
    <w:next w:val="BayerBodyTextFull"/>
    <w:qFormat/>
    <w:rsid w:val="00A142DB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styleId="TOC8">
    <w:name w:val="toc 8"/>
    <w:aliases w:val="Bayer-TOC 8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9">
    <w:name w:val="toc 9"/>
    <w:aliases w:val="Bayer-TOC 9"/>
    <w:basedOn w:val="TOC1"/>
    <w:next w:val="Normal"/>
    <w:uiPriority w:val="39"/>
    <w:rsid w:val="00AE787C"/>
    <w:pPr>
      <w:spacing w:before="0"/>
      <w:ind w:left="1786" w:hanging="1219"/>
    </w:pPr>
    <w:rPr>
      <w:b w:val="0"/>
    </w:rPr>
  </w:style>
  <w:style w:type="paragraph" w:customStyle="1" w:styleId="BayerBlue">
    <w:name w:val="Bayer Blue"/>
    <w:basedOn w:val="Normal"/>
    <w:next w:val="BayerBodyTextFull"/>
    <w:link w:val="BayerBlueZchn"/>
    <w:rsid w:val="00332529"/>
    <w:rPr>
      <w:color w:val="0000FF"/>
    </w:rPr>
  </w:style>
  <w:style w:type="paragraph" w:styleId="TableofFigures">
    <w:name w:val="table of figures"/>
    <w:aliases w:val="Bayer Table of Figures"/>
    <w:basedOn w:val="Normal"/>
    <w:next w:val="Normal"/>
    <w:uiPriority w:val="99"/>
    <w:qFormat/>
    <w:rsid w:val="001B6F2A"/>
    <w:pPr>
      <w:tabs>
        <w:tab w:val="left" w:pos="0"/>
        <w:tab w:val="left" w:pos="1134"/>
        <w:tab w:val="right" w:leader="dot" w:pos="9072"/>
      </w:tabs>
      <w:spacing w:before="120" w:after="120"/>
      <w:ind w:left="1134" w:hanging="1134"/>
      <w:contextualSpacing/>
    </w:pPr>
    <w:rPr>
      <w:color w:val="0000FF"/>
    </w:rPr>
  </w:style>
  <w:style w:type="character" w:styleId="Hyperlink">
    <w:name w:val="Hyperlink"/>
    <w:uiPriority w:val="99"/>
    <w:rsid w:val="00350727"/>
    <w:rPr>
      <w:color w:val="0000FF"/>
      <w:u w:val="single"/>
    </w:rPr>
  </w:style>
  <w:style w:type="paragraph" w:styleId="TOCHeading">
    <w:name w:val="TOC Heading"/>
    <w:aliases w:val="Bayer ToC Heading"/>
    <w:basedOn w:val="BayerBodyTextFull"/>
    <w:next w:val="BayerBodyTextFull"/>
    <w:uiPriority w:val="39"/>
    <w:qFormat/>
    <w:rsid w:val="005C376D"/>
    <w:pPr>
      <w:spacing w:after="60"/>
    </w:pPr>
    <w:rPr>
      <w:b/>
      <w:bCs/>
      <w:kern w:val="32"/>
      <w:szCs w:val="32"/>
    </w:rPr>
  </w:style>
  <w:style w:type="numbering" w:styleId="111111">
    <w:name w:val="Outline List 2"/>
    <w:basedOn w:val="NoList"/>
    <w:rsid w:val="00797D3B"/>
    <w:pPr>
      <w:numPr>
        <w:numId w:val="31"/>
      </w:numPr>
    </w:pPr>
  </w:style>
  <w:style w:type="table" w:styleId="TableGrid">
    <w:name w:val="Table Grid"/>
    <w:basedOn w:val="TableNormal"/>
    <w:rsid w:val="00797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rsid w:val="00350727"/>
    <w:rPr>
      <w:color w:val="800080"/>
      <w:u w:val="single"/>
    </w:rPr>
  </w:style>
  <w:style w:type="paragraph" w:styleId="Title">
    <w:name w:val="Title"/>
    <w:aliases w:val="Bayer Title"/>
    <w:basedOn w:val="Normal"/>
    <w:next w:val="Normal"/>
    <w:link w:val="TitleChar"/>
    <w:uiPriority w:val="1"/>
    <w:qFormat/>
    <w:rsid w:val="00BB422A"/>
    <w:pPr>
      <w:spacing w:before="120"/>
      <w:jc w:val="center"/>
    </w:pPr>
    <w:rPr>
      <w:b/>
      <w:bCs/>
      <w:kern w:val="28"/>
      <w:sz w:val="32"/>
      <w:szCs w:val="32"/>
    </w:rPr>
  </w:style>
  <w:style w:type="character" w:customStyle="1" w:styleId="TitleChar">
    <w:name w:val="Title Char"/>
    <w:aliases w:val="Bayer Title Char"/>
    <w:link w:val="Title"/>
    <w:uiPriority w:val="1"/>
    <w:rsid w:val="00DD6FE7"/>
    <w:rPr>
      <w:rFonts w:eastAsia="Times New Roman" w:cs="Times New Roman"/>
      <w:b/>
      <w:bCs/>
      <w:kern w:val="28"/>
      <w:sz w:val="32"/>
      <w:szCs w:val="32"/>
    </w:rPr>
  </w:style>
  <w:style w:type="paragraph" w:styleId="Subtitle">
    <w:name w:val="Subtitle"/>
    <w:aliases w:val="Bayer Subtitle"/>
    <w:basedOn w:val="BayerBodyTextFull"/>
    <w:next w:val="BayerBodyTextFull"/>
    <w:link w:val="SubtitleChar"/>
    <w:uiPriority w:val="1"/>
    <w:qFormat/>
    <w:rsid w:val="00B1729C"/>
    <w:pPr>
      <w:spacing w:after="0"/>
      <w:jc w:val="center"/>
    </w:pPr>
    <w:rPr>
      <w:b/>
      <w:kern w:val="28"/>
      <w:sz w:val="28"/>
      <w:szCs w:val="24"/>
    </w:rPr>
  </w:style>
  <w:style w:type="character" w:customStyle="1" w:styleId="SubtitleChar">
    <w:name w:val="Subtitle Char"/>
    <w:aliases w:val="Bayer Subtitle Char"/>
    <w:link w:val="Subtitle"/>
    <w:uiPriority w:val="1"/>
    <w:rsid w:val="00B1729C"/>
    <w:rPr>
      <w:b/>
      <w:kern w:val="28"/>
      <w:sz w:val="28"/>
      <w:szCs w:val="24"/>
      <w:lang w:val="en-US" w:eastAsia="en-US"/>
    </w:rPr>
  </w:style>
  <w:style w:type="character" w:customStyle="1" w:styleId="BayerBlueZchn">
    <w:name w:val="Bayer Blue Zchn"/>
    <w:link w:val="BayerBlue"/>
    <w:rsid w:val="00332529"/>
    <w:rPr>
      <w:color w:val="0000FF"/>
      <w:sz w:val="24"/>
    </w:rPr>
  </w:style>
  <w:style w:type="paragraph" w:customStyle="1" w:styleId="BayerToTToFLoRHeading">
    <w:name w:val="Bayer ToT ToF LoR Heading"/>
    <w:basedOn w:val="Normal"/>
    <w:next w:val="BayerBodyTextFull"/>
    <w:qFormat/>
    <w:rsid w:val="00305919"/>
    <w:pPr>
      <w:outlineLvl w:val="0"/>
    </w:pPr>
    <w:rPr>
      <w:b/>
    </w:rPr>
  </w:style>
  <w:style w:type="paragraph" w:customStyle="1" w:styleId="BayerBibliographyBlue">
    <w:name w:val="Bayer Bibliography Blue"/>
    <w:basedOn w:val="BayerBibliography"/>
    <w:next w:val="Normal"/>
    <w:link w:val="BayerBibliographyBlueZchn"/>
    <w:rsid w:val="009071DA"/>
    <w:rPr>
      <w:color w:val="0000FF"/>
    </w:rPr>
  </w:style>
  <w:style w:type="character" w:customStyle="1" w:styleId="BayerBibliographyZchn">
    <w:name w:val="Bayer Bibliography Zchn"/>
    <w:basedOn w:val="DefaultParagraphFont"/>
    <w:link w:val="BayerBibliography"/>
    <w:rsid w:val="009071DA"/>
    <w:rPr>
      <w:sz w:val="24"/>
      <w:lang w:val="en-US" w:eastAsia="en-US"/>
    </w:rPr>
  </w:style>
  <w:style w:type="character" w:customStyle="1" w:styleId="BayerBibliographyBlueZchn">
    <w:name w:val="Bayer Bibliography Blue Zchn"/>
    <w:basedOn w:val="BayerBibliographyZchn"/>
    <w:link w:val="BayerBibliographyBlue"/>
    <w:rsid w:val="009071DA"/>
    <w:rPr>
      <w:color w:val="0000FF"/>
      <w:sz w:val="24"/>
      <w:lang w:val="en-US" w:eastAsia="en-US"/>
    </w:rPr>
  </w:style>
  <w:style w:type="character" w:customStyle="1" w:styleId="BayerGuidanceNotesZchn">
    <w:name w:val="Bayer Guidance Notes Zchn"/>
    <w:basedOn w:val="BayerBlueZchn"/>
    <w:link w:val="BayerGuidanceNotes"/>
    <w:rsid w:val="009071DA"/>
    <w:rPr>
      <w:i/>
      <w:color w:val="0000FF"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3EB8"/>
    <w:rPr>
      <w:color w:val="808080"/>
    </w:rPr>
  </w:style>
  <w:style w:type="character" w:customStyle="1" w:styleId="BayerBodyTextFullChar">
    <w:name w:val="Bayer Body Text Full Char"/>
    <w:link w:val="BayerBodyTextFull"/>
    <w:rsid w:val="00572B9E"/>
    <w:rPr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572B9E"/>
    <w:rPr>
      <w:sz w:val="24"/>
      <w:lang w:val="en-US" w:eastAsia="en-US"/>
    </w:rPr>
  </w:style>
  <w:style w:type="paragraph" w:customStyle="1" w:styleId="Kopfzeile1">
    <w:name w:val="Kopfzeile1"/>
    <w:basedOn w:val="Normal"/>
    <w:rsid w:val="00572B9E"/>
    <w:pPr>
      <w:tabs>
        <w:tab w:val="center" w:pos="4536"/>
        <w:tab w:val="right" w:pos="9072"/>
      </w:tabs>
    </w:pPr>
  </w:style>
  <w:style w:type="paragraph" w:customStyle="1" w:styleId="BayerSASCaptionDocFish">
    <w:name w:val="Bayer SAS Caption DocFish"/>
    <w:basedOn w:val="Heading7"/>
    <w:qFormat/>
    <w:rsid w:val="00AE787C"/>
    <w:pPr>
      <w:numPr>
        <w:ilvl w:val="0"/>
        <w:numId w:val="0"/>
      </w:numPr>
      <w:spacing w:before="0" w:line="160" w:lineRule="exact"/>
      <w:ind w:left="1814" w:hanging="907"/>
      <w:outlineLvl w:val="8"/>
    </w:pPr>
    <w:rPr>
      <w:rFonts w:ascii="SAS Monospace" w:hAnsi="SAS Monospace"/>
      <w:sz w:val="16"/>
      <w:szCs w:val="16"/>
    </w:rPr>
  </w:style>
  <w:style w:type="paragraph" w:customStyle="1" w:styleId="Smalltext80">
    <w:name w:val="Smalltext8:0"/>
    <w:uiPriority w:val="99"/>
    <w:pPr>
      <w:widowControl w:val="0"/>
      <w:autoSpaceDE w:val="0"/>
      <w:autoSpaceDN w:val="0"/>
      <w:adjustRightInd w:val="0"/>
    </w:pPr>
    <w:rPr>
      <w:rFonts w:asciiTheme="minorAscii" w:eastAsiaTheme="minorEastAsia" w:hAnsiTheme="minorHAnsi" w:cstheme="minorBidi"/>
      <w:color w:val="000000"/>
      <w:sz w:val="16"/>
      <w:szCs w:val="16"/>
      <w:lang w:val="en-US" w:eastAsia="en-US"/>
    </w:rPr>
  </w:style>
  <w:style w:type="paragraph" w:customStyle="1" w:styleId="Smalltext120">
    <w:name w:val="Smalltext12:0"/>
    <w:uiPriority w:val="99"/>
    <w:pPr>
      <w:widowControl w:val="0"/>
      <w:autoSpaceDE w:val="0"/>
      <w:autoSpaceDN w:val="0"/>
      <w:adjustRightInd w:val="0"/>
    </w:pPr>
    <w:rPr>
      <w:rFonts w:asciiTheme="minorAscii" w:eastAsiaTheme="minorEastAsia" w:hAnsiTheme="minorHAnsi" w:cstheme="minorBid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customXml" Target="../customXml/item7.xml" /><Relationship Id="rId11" Type="http://schemas.openxmlformats.org/officeDocument/2006/relationships/customXml" Target="../customXml/item8.xml" /><Relationship Id="rId12" Type="http://schemas.openxmlformats.org/officeDocument/2006/relationships/header" Target="header1.xml" /><Relationship Id="rId13" Type="http://schemas.openxmlformats.org/officeDocument/2006/relationships/header" Target="header2.xml" /><Relationship Id="rId14" Type="http://schemas.openxmlformats.org/officeDocument/2006/relationships/header" Target="header3.xml" /><Relationship Id="rId15" Type="http://schemas.openxmlformats.org/officeDocument/2006/relationships/header" Target="header4.xml" /><Relationship Id="rId16" Type="http://schemas.openxmlformats.org/officeDocument/2006/relationships/image" Target="media/image2.png" /><Relationship Id="rId17" Type="http://schemas.openxmlformats.org/officeDocument/2006/relationships/image" Target="media/image3.png" /><Relationship Id="rId18" Type="http://schemas.openxmlformats.org/officeDocument/2006/relationships/header" Target="header5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customXml" Target="../customXml/item6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Git\docfish\resources\rd-m-0003-ctd_v2.dotx" TargetMode="External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8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 Workspace Document" ma:contentTypeID="0x0101002783129AC49DDD4A8D75DC52AB3AE28B" ma:contentTypeVersion="0" ma:contentTypeDescription="" ma:contentTypeScope="" ma:versionID="41253b199b5d867bf9a3605fc8ddd0f0">
  <xsd:schema xmlns:xsd="http://www.w3.org/2001/XMLSchema" xmlns:xs="http://www.w3.org/2001/XMLSchema" xmlns:p="http://schemas.microsoft.com/office/2006/metadata/properties" xmlns:ns1="http://schemas.microsoft.com/sharepoint/v3" xmlns:ns2="e941b624-166c-4987-9ed6-d539972f16a8" xmlns:ns3="51042502-ec0f-4ba3-95d1-c1e044d078f3" xmlns:ns4="7F2684DE-4891-4716-893C-73B6405F6FD0" targetNamespace="http://schemas.microsoft.com/office/2006/metadata/properties" ma:root="true" ma:fieldsID="5baa68be16ba5cff0e8b6c11561ad51e" ns1:_="" ns2:_="" ns3:_="" ns4:_="">
    <xsd:import namespace="http://schemas.microsoft.com/sharepoint/v3"/>
    <xsd:import namespace="e941b624-166c-4987-9ed6-d539972f16a8"/>
    <xsd:import namespace="51042502-ec0f-4ba3-95d1-c1e044d078f3"/>
    <xsd:import namespace="7F2684DE-4891-4716-893C-73B6405F6FD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gbbd9102adcd43839cd73b51972a464c" minOccurs="0"/>
                <xsd:element ref="ns1:_dlc_Exempt" minOccurs="0"/>
                <xsd:element ref="ns1:_dlc_ExpireDateSaved" minOccurs="0"/>
                <xsd:element ref="ns1:_dlc_ExpireDate" minOccurs="0"/>
                <xsd:element ref="ns3:_dlc_DocId" minOccurs="0"/>
                <xsd:element ref="ns3:_dlc_DocIdUrl" minOccurs="0"/>
                <xsd:element ref="ns3:_dlc_DocIdPersistId" minOccurs="0"/>
                <xsd:element ref="ns4:Owner" minOccurs="0"/>
                <xsd:element ref="ns4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2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3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4" nillable="true" ma:displayName="Expiration Date" ma:hidden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b624-166c-4987-9ed6-d539972f16a8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83ad73cd-b558-4843-a0e6-1bfb184870ea}" ma:internalName="TaxCatchAll" ma:showField="CatchAllData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83ad73cd-b558-4843-a0e6-1bfb184870ea}" ma:internalName="TaxCatchAllLabel" ma:readOnly="true" ma:showField="CatchAllDataLabel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bbd9102adcd43839cd73b51972a464c" ma:index="10" ma:taxonomy="true" ma:internalName="gbbd9102adcd43839cd73b51972a464c" ma:taxonomyFieldName="DataClassBayerRetention" ma:displayName="Data Class" ma:readOnly="false" ma:default="3;#Short-Term|6d967203-8346-4b9c-90f8-b3828a3fa508" ma:fieldId="{0bbd9102-adcd-4383-9cd7-3b51972a464c}" ma:sspId="7c593367-9bb5-4764-945e-f6a26d2260c4" ma:termSetId="a305235b-fecf-45b3-8300-71c0f432cbc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42502-ec0f-4ba3-95d1-c1e044d078f3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684DE-4891-4716-893C-73B6405F6FD0" elementFormDefault="qualified">
    <xsd:import namespace="http://schemas.microsoft.com/office/2006/documentManagement/types"/>
    <xsd:import namespace="http://schemas.microsoft.com/office/infopath/2007/PartnerControls"/>
    <xsd:element name="Owner" ma:index="18" nillable="true" ma:displayName="Owner" ma:list="UserInfo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19" nillable="true" ma:displayName="Status" ma:default="Draft" ma:internalName="Status">
      <xsd:simpleType>
        <xsd:restriction base="dms:Choice">
          <xsd:enumeration value="Draft"/>
          <xsd:enumeration value="Ready For Review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rolsStorage xmlns="urn:schemas-microsoft-com.VSTO2008Demos.ControlsStorage">
  <Controls>AAEAAAD/////AQAAAAAAAAAMAgAAAEVDaGVtNFdvcmQuQ29yZSwgVmVyc2lvbj0yLjAuMS4wLCBDdWx0dXJlPW5ldXRyYWwsIFB1YmxpY0tleVRva2VuPW51bGwHAQAAAAABAAAAAAAAAAQgQ2hlbTRXb3JkLkNvcmUuQ29udHJvbFByb3BlcnRpZXMCAAAACw==</Controls>
</ControlsStorage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Expiration" staticId="0x0101|-2126682137" UniqueId="ab3b55e9-aae5-4563-b264-599d7d4a4f77">
      <p:Name>Retention</p:Name>
      <p:Description>Automatic scheduling of content for processing, and performing a retention action on content that has reached its due date.</p:Description>
      <p:CustomData>
        <Schedules nextStageId="2">
          <Schedule type="Default">
            <stages>
              <data stageId="1">
                <formula id="Bayer SharePoint Retention Policy 2.1"/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4.xml><?xml version="1.0" encoding="utf-8"?>
<?mso-contentType ?>
<SharedContentType xmlns="Microsoft.SharePoint.Taxonomy.ContentTypeSync" SourceId="7c593367-9bb5-4764-945e-f6a26d2260c4" ContentTypeId="0x0101" PreviousValue="true"/>
</file>

<file path=customXml/item5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Assembly>Microsoft.Office.Policy, Version=14.0.0.0, Culture=neutral, PublicKeyToken=71e9bce111e9429c</Assembly>
    <Class>Microsoft.Office.RecordsManagement.Internal.UpdateExpireDate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bbd9102adcd43839cd73b51972a464c xmlns="e941b624-166c-4987-9ed6-d539972f16a8">
      <Terms xmlns="http://schemas.microsoft.com/office/infopath/2007/PartnerControls">
        <TermInfo xmlns="http://schemas.microsoft.com/office/infopath/2007/PartnerControls">
          <TermName xmlns="http://schemas.microsoft.com/office/infopath/2007/PartnerControls">Long-Term</TermName>
          <TermId xmlns="http://schemas.microsoft.com/office/infopath/2007/PartnerControls">450f2ec9-198b-4bf0-b08c-74a80f1899d3</TermId>
        </TermInfo>
      </Terms>
    </gbbd9102adcd43839cd73b51972a464c>
    <Owner xmlns="7F2684DE-4891-4716-893C-73B6405F6FD0">
      <UserInfo>
        <DisplayName/>
        <AccountId xsi:nil="true"/>
        <AccountType/>
      </UserInfo>
    </Owner>
    <_dlc_DocId xmlns="51042502-ec0f-4ba3-95d1-c1e044d078f3">DTZMRRZ3RA43-264-92</_dlc_DocId>
    <TaxCatchAll xmlns="e941b624-166c-4987-9ed6-d539972f16a8">
      <Value>5</Value>
    </TaxCatchAll>
    <Status xmlns="7F2684DE-4891-4716-893C-73B6405F6FD0">Final</Status>
    <_dlc_ExpireDateSaved xmlns="http://schemas.microsoft.com/sharepoint/v3" xsi:nil="true"/>
    <_dlc_DocIdUrl xmlns="51042502-ec0f-4ba3-95d1-c1e044d078f3">
      <Url>http://sp-coll-bhc.bayer-ag.com/sites/200256/OI-038/_layouts/15/DocIdRedir.aspx?ID=DTZMRRZ3RA43-264-92</Url>
      <Description>DTZMRRZ3RA43-264-92</Description>
    </_dlc_DocIdUrl>
    <_dlc_ExpireDate xmlns="http://schemas.microsoft.com/sharepoint/v3">2029-02-27T16:51:30+00:00</_dlc_ExpireDate>
  </documentManagement>
</p:properties>
</file>

<file path=customXml/item8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D60C6-3A49-44B4-BF78-48245B80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41b624-166c-4987-9ed6-d539972f16a8"/>
    <ds:schemaRef ds:uri="51042502-ec0f-4ba3-95d1-c1e044d078f3"/>
    <ds:schemaRef ds:uri="7F2684DE-4891-4716-893C-73B6405F6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E406B-D330-40B8-8664-F6C051B6F9DE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25D3B9E8-E9EE-4E2B-873A-71F0A8A746C0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801F3939-ED0E-4150-919E-44C16EE6787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8157CBCC-355A-4995-A614-2E3DC8F4AB45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1E24364-7A03-4229-903B-7CDD68D4F304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63DE48E2-D426-447C-98E1-8EF36F4BBC32}">
  <ds:schemaRefs>
    <ds:schemaRef ds:uri="http://schemas.microsoft.com/office/2006/metadata/properties"/>
    <ds:schemaRef ds:uri="http://schemas.microsoft.com/office/infopath/2007/PartnerControls"/>
    <ds:schemaRef ds:uri="e941b624-166c-4987-9ed6-d539972f16a8"/>
    <ds:schemaRef ds:uri="7F2684DE-4891-4716-893C-73B6405F6FD0"/>
    <ds:schemaRef ds:uri="51042502-ec0f-4ba3-95d1-c1e044d078f3"/>
    <ds:schemaRef ds:uri="http://schemas.microsoft.com/sharepoint/v3"/>
  </ds:schemaRefs>
</ds:datastoreItem>
</file>

<file path=customXml/itemProps8.xml><?xml version="1.0" encoding="utf-8"?>
<ds:datastoreItem xmlns:ds="http://schemas.openxmlformats.org/officeDocument/2006/customXml" ds:itemID="{51FA366B-A0BE-4979-8391-4D232CBA2A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rd-m-0003-ctd_v2.dotx</Template>
  <TotalTime>0</TotalTime>
  <Pages>45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CTD.dotx</vt:lpstr>
      <vt:lpstr>CTD.dotx</vt:lpstr>
    </vt:vector>
  </TitlesOfParts>
  <Company>Bayer AG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CTD.dotx</dc:title>
  <dc:subject>Attachment to Manual</dc:subject>
  <dc:creator>Dominik Habel</dc:creator>
  <cp:keywords>Version 3.0</cp:keywords>
  <dc:description>Version 3.0
Bayer TRD Source: 12 Pt
Bayer Bibliography Blue: new style
Bayer ToT ToF LoR Heading: New style
Bayer-ToC 1: right 0.5 cm
Quick parts for Bayer Tables and Figures included
Bullet Bayer Body Text adjusted
Bullet_2 Bayer Body Text adjusted
Margins adjusted to all 2,50 cm</dc:description>
  <cp:lastModifiedBy>Dominik Habel</cp:lastModifiedBy>
  <cp:revision>27</cp:revision>
  <cp:lastPrinted>2017-02-17T14:54:00Z</cp:lastPrinted>
  <dcterms:created xsi:type="dcterms:W3CDTF">2023-03-07T07:17:00Z</dcterms:created>
  <dcterms:modified xsi:type="dcterms:W3CDTF">2023-10-11T13:19:00Z</dcterms:modified>
  <cp:category>Bayer CTD</cp:category>
  <cp:contentStatus>2017-01-10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0x0101002783129AC49DDD4A8D75DC52AB3AE28B</vt:lpwstr>
  </property>
  <property fmtid="{D5CDD505-2E9C-101B-9397-08002B2CF9AE}" pid="3" name="DataClassBayerRetention">
    <vt:lpwstr>5;#Long-Term|450f2ec9-198b-4bf0-b08c-74a80f1899d3</vt:lpwstr>
  </property>
  <property fmtid="{D5CDD505-2E9C-101B-9397-08002B2CF9AE}" pid="4" name="docfish_capcount_Figure:1">
    <vt:i4>0</vt:i4>
  </property>
  <property fmtid="{D5CDD505-2E9C-101B-9397-08002B2CF9AE}" pid="5" name="docfish_capcount_Figure:2">
    <vt:i4>0</vt:i4>
  </property>
  <property fmtid="{D5CDD505-2E9C-101B-9397-08002B2CF9AE}" pid="6" name="docfish_capcount_Figure:3">
    <vt:i4>0</vt:i4>
  </property>
  <property fmtid="{D5CDD505-2E9C-101B-9397-08002B2CF9AE}" pid="7" name="docfish_capcount_Figure:4">
    <vt:i4>0</vt:i4>
  </property>
  <property fmtid="{D5CDD505-2E9C-101B-9397-08002B2CF9AE}" pid="8" name="docfish_capcount_Figure:5">
    <vt:i4>0</vt:i4>
  </property>
  <property fmtid="{D5CDD505-2E9C-101B-9397-08002B2CF9AE}" pid="9" name="docfish_capcount_Figure:6">
    <vt:i4>0</vt:i4>
  </property>
  <property fmtid="{D5CDD505-2E9C-101B-9397-08002B2CF9AE}" pid="10" name="docfish_capcount_Figure:7">
    <vt:i4>0</vt:i4>
  </property>
  <property fmtid="{D5CDD505-2E9C-101B-9397-08002B2CF9AE}" pid="11" name="docfish_capcount_Figure:8">
    <vt:i4>0</vt:i4>
  </property>
  <property fmtid="{D5CDD505-2E9C-101B-9397-08002B2CF9AE}" pid="12" name="docfish_capcount_Figure:9">
    <vt:i4>0</vt:i4>
  </property>
  <property fmtid="{D5CDD505-2E9C-101B-9397-08002B2CF9AE}" pid="13" name="docfish_capcount_Listing:1">
    <vt:i4>0</vt:i4>
  </property>
  <property fmtid="{D5CDD505-2E9C-101B-9397-08002B2CF9AE}" pid="14" name="docfish_capcount_Listing:2">
    <vt:i4>0</vt:i4>
  </property>
  <property fmtid="{D5CDD505-2E9C-101B-9397-08002B2CF9AE}" pid="15" name="docfish_capcount_Listing:3">
    <vt:i4>0</vt:i4>
  </property>
  <property fmtid="{D5CDD505-2E9C-101B-9397-08002B2CF9AE}" pid="16" name="docfish_capcount_Listing:4">
    <vt:i4>0</vt:i4>
  </property>
  <property fmtid="{D5CDD505-2E9C-101B-9397-08002B2CF9AE}" pid="17" name="docfish_capcount_Listing:5">
    <vt:i4>0</vt:i4>
  </property>
  <property fmtid="{D5CDD505-2E9C-101B-9397-08002B2CF9AE}" pid="18" name="docfish_capcount_Listing:6">
    <vt:i4>0</vt:i4>
  </property>
  <property fmtid="{D5CDD505-2E9C-101B-9397-08002B2CF9AE}" pid="19" name="docfish_capcount_Listing:7">
    <vt:i4>0</vt:i4>
  </property>
  <property fmtid="{D5CDD505-2E9C-101B-9397-08002B2CF9AE}" pid="20" name="docfish_capcount_Listing:8">
    <vt:i4>0</vt:i4>
  </property>
  <property fmtid="{D5CDD505-2E9C-101B-9397-08002B2CF9AE}" pid="21" name="docfish_capcount_Listing:9">
    <vt:i4>0</vt:i4>
  </property>
  <property fmtid="{D5CDD505-2E9C-101B-9397-08002B2CF9AE}" pid="22" name="docfish_capcount_Table:1">
    <vt:i4>0</vt:i4>
  </property>
  <property fmtid="{D5CDD505-2E9C-101B-9397-08002B2CF9AE}" pid="23" name="docfish_capcount_Table:2">
    <vt:i4>0</vt:i4>
  </property>
  <property fmtid="{D5CDD505-2E9C-101B-9397-08002B2CF9AE}" pid="24" name="docfish_capcount_Table:3">
    <vt:i4>1</vt:i4>
  </property>
  <property fmtid="{D5CDD505-2E9C-101B-9397-08002B2CF9AE}" pid="25" name="docfish_capcount_Table:4">
    <vt:i4>0</vt:i4>
  </property>
  <property fmtid="{D5CDD505-2E9C-101B-9397-08002B2CF9AE}" pid="26" name="docfish_capcount_Table:5">
    <vt:i4>0</vt:i4>
  </property>
  <property fmtid="{D5CDD505-2E9C-101B-9397-08002B2CF9AE}" pid="27" name="docfish_capcount_Table:6">
    <vt:i4>0</vt:i4>
  </property>
  <property fmtid="{D5CDD505-2E9C-101B-9397-08002B2CF9AE}" pid="28" name="docfish_capcount_Table:7">
    <vt:i4>0</vt:i4>
  </property>
  <property fmtid="{D5CDD505-2E9C-101B-9397-08002B2CF9AE}" pid="29" name="docfish_capcount_Table:8">
    <vt:i4>0</vt:i4>
  </property>
  <property fmtid="{D5CDD505-2E9C-101B-9397-08002B2CF9AE}" pid="30" name="docfish_capcount_Table:9">
    <vt:i4>0</vt:i4>
  </property>
  <property fmtid="{D5CDD505-2E9C-101B-9397-08002B2CF9AE}" pid="31" name="docfish_HeaderCount">
    <vt:lpwstr>1.3.2</vt:lpwstr>
  </property>
  <property fmtid="{D5CDD505-2E9C-101B-9397-08002B2CF9AE}" pid="32" name="docfish_title_1">
    <vt:lpwstr>Tables and figures referred to but not included in the text</vt:lpwstr>
  </property>
  <property fmtid="{D5CDD505-2E9C-101B-9397-08002B2CF9AE}" pid="33" name="docfish_title_2">
    <vt:lpwstr>Safety</vt:lpwstr>
  </property>
  <property fmtid="{D5CDD505-2E9C-101B-9397-08002B2CF9AE}" pid="34" name="docfish_title_3">
    <vt:lpwstr>Treatment-emergent serious adverse events</vt:lpwstr>
  </property>
  <property fmtid="{D5CDD505-2E9C-101B-9397-08002B2CF9AE}" pid="35" name="ItemRetentionFormula">
    <vt:lpwstr>&lt;formula id="Bayer SharePoint Retention Policy 2.1" /&gt;</vt:lpwstr>
  </property>
  <property fmtid="{D5CDD505-2E9C-101B-9397-08002B2CF9AE}" pid="36" name="MSIP_Label_7f850223-87a8-40c3-9eb2-432606efca2a_ActionId">
    <vt:lpwstr>d6505a88-87a3-462f-b0b9-8c69b04a0f88</vt:lpwstr>
  </property>
  <property fmtid="{D5CDD505-2E9C-101B-9397-08002B2CF9AE}" pid="37" name="MSIP_Label_7f850223-87a8-40c3-9eb2-432606efca2a_ContentBits">
    <vt:lpwstr>0</vt:lpwstr>
  </property>
  <property fmtid="{D5CDD505-2E9C-101B-9397-08002B2CF9AE}" pid="38" name="MSIP_Label_7f850223-87a8-40c3-9eb2-432606efca2a_Enabled">
    <vt:lpwstr>true</vt:lpwstr>
  </property>
  <property fmtid="{D5CDD505-2E9C-101B-9397-08002B2CF9AE}" pid="39" name="MSIP_Label_7f850223-87a8-40c3-9eb2-432606efca2a_Method">
    <vt:lpwstr>Standard</vt:lpwstr>
  </property>
  <property fmtid="{D5CDD505-2E9C-101B-9397-08002B2CF9AE}" pid="40" name="MSIP_Label_7f850223-87a8-40c3-9eb2-432606efca2a_Name">
    <vt:lpwstr>7f850223-87a8-40c3-9eb2-432606efca2a</vt:lpwstr>
  </property>
  <property fmtid="{D5CDD505-2E9C-101B-9397-08002B2CF9AE}" pid="41" name="MSIP_Label_7f850223-87a8-40c3-9eb2-432606efca2a_SetDate">
    <vt:lpwstr>2023-03-07T07:17:24Z</vt:lpwstr>
  </property>
  <property fmtid="{D5CDD505-2E9C-101B-9397-08002B2CF9AE}" pid="42" name="MSIP_Label_7f850223-87a8-40c3-9eb2-432606efca2a_SiteId">
    <vt:lpwstr>fcb2b37b-5da0-466b-9b83-0014b67a7c78</vt:lpwstr>
  </property>
  <property fmtid="{D5CDD505-2E9C-101B-9397-08002B2CF9AE}" pid="43" name="_dlc_DocIdItemGuid">
    <vt:lpwstr>6b8c3913-eedd-41ac-8151-74ade1376001</vt:lpwstr>
  </property>
  <property fmtid="{D5CDD505-2E9C-101B-9397-08002B2CF9AE}" pid="44" name="_dlc_policyId">
    <vt:lpwstr>0x0101|-2126682137</vt:lpwstr>
  </property>
</Properties>
</file>