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3EED" w14:textId="3CEC78C3" w:rsidR="007F6073" w:rsidRDefault="007F6073">
      <w:pPr>
        <w:rPr>
          <w:noProof/>
        </w:rPr>
      </w:pPr>
      <w:bookmarkStart w:id="0" w:name="_Hlk109824447"/>
    </w:p>
    <w:p w14:paraId="5F61DC38" w14:textId="77777777" w:rsidR="007F6073" w:rsidRDefault="007F6073"/>
    <w:sdt>
      <w:sdtPr>
        <w:id w:val="1824156581"/>
        <w:docPartObj>
          <w:docPartGallery w:val="Cover Pages"/>
          <w:docPartUnique/>
        </w:docPartObj>
      </w:sdtPr>
      <w:sdtContent>
        <w:p w14:paraId="484A2D2E" w14:textId="77777777" w:rsidR="007F6073" w:rsidRDefault="007F6073"/>
        <w:p w14:paraId="60B41992" w14:textId="77777777" w:rsidR="007F6073" w:rsidRDefault="007F6073"/>
        <w:p w14:paraId="7845EA66" w14:textId="77777777" w:rsidR="007F6073" w:rsidRDefault="007F6073"/>
        <w:p w14:paraId="2D3E4EA1" w14:textId="77777777" w:rsidR="007F6073" w:rsidRDefault="007F6073"/>
        <w:p w14:paraId="4A5B4ED4" w14:textId="77777777" w:rsidR="007F6073" w:rsidRDefault="007F6073"/>
        <w:p w14:paraId="2BEBFAC7" w14:textId="77777777" w:rsidR="007F6073" w:rsidRDefault="007F6073"/>
        <w:p w14:paraId="17005D04" w14:textId="77777777" w:rsidR="007F6073" w:rsidRDefault="007F6073"/>
        <w:p w14:paraId="03FD2930" w14:textId="77777777" w:rsidR="007F6073" w:rsidRDefault="007F6073"/>
        <w:p w14:paraId="2221DBE6" w14:textId="77777777" w:rsidR="007F6073" w:rsidRDefault="007F6073"/>
        <w:p w14:paraId="07FDC8A5" w14:textId="77777777" w:rsidR="007F6073" w:rsidRDefault="007F6073"/>
        <w:p w14:paraId="2E071D5C" w14:textId="77777777" w:rsidR="007F6073" w:rsidRDefault="007F6073"/>
        <w:p w14:paraId="61FE2DD5" w14:textId="77777777" w:rsidR="007F6073" w:rsidRDefault="007F6073"/>
        <w:p w14:paraId="6F31354B" w14:textId="77777777" w:rsidR="007F6073" w:rsidRDefault="007F6073"/>
        <w:p w14:paraId="4DD6742F" w14:textId="77777777" w:rsidR="007F6073" w:rsidRDefault="00000000">
          <w:pPr>
            <w:tabs>
              <w:tab w:val="left" w:pos="8825"/>
            </w:tabs>
          </w:pPr>
          <w:r>
            <w:tab/>
          </w:r>
        </w:p>
        <w:p w14:paraId="37340551" w14:textId="77777777" w:rsidR="007F6073" w:rsidRDefault="007F6073"/>
        <w:p w14:paraId="61BCD0E3" w14:textId="77777777" w:rsidR="007F6073" w:rsidRDefault="007F6073"/>
        <w:p w14:paraId="23A673DA" w14:textId="77777777" w:rsidR="007F6073" w:rsidRDefault="00000000">
          <w:pPr>
            <w:spacing w:before="86" w:line="240" w:lineRule="auto"/>
            <w:ind w:left="159"/>
            <w:rPr>
              <w:b/>
              <w:color w:val="3B3B3A"/>
              <w:sz w:val="36"/>
              <w:szCs w:val="24"/>
            </w:rPr>
          </w:pPr>
          <w:r>
            <w:rPr>
              <w:noProof/>
            </w:rPr>
            <mc:AlternateContent>
              <mc:Choice Requires="wps">
                <w:drawing>
                  <wp:anchor distT="0" distB="0" distL="114300" distR="114300" simplePos="0" relativeHeight="251658241" behindDoc="0" locked="0" layoutInCell="1" allowOverlap="1" wp14:anchorId="12067067" wp14:editId="1C12DDC3">
                    <wp:simplePos x="0" y="0"/>
                    <wp:positionH relativeFrom="column">
                      <wp:posOffset>-132080</wp:posOffset>
                    </wp:positionH>
                    <wp:positionV relativeFrom="paragraph">
                      <wp:posOffset>317083</wp:posOffset>
                    </wp:positionV>
                    <wp:extent cx="6513688"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6513688" cy="1828800"/>
                            </a:xfrm>
                            <a:prstGeom prst="rect">
                              <a:avLst/>
                            </a:prstGeom>
                            <a:noFill/>
                          </wps:spPr>
                          <wps:txbx>
                            <w:txbxContent>
                              <w:p w14:paraId="3AD38975" w14:textId="77777777" w:rsidR="007F6073" w:rsidRDefault="00000000">
                                <w:pPr>
                                  <w:spacing w:before="86" w:line="240" w:lineRule="auto"/>
                                  <w:rPr>
                                    <w:b/>
                                    <w:spacing w:val="16"/>
                                    <w:sz w:val="44"/>
                                  </w:rPr>
                                </w:pPr>
                                <w:r>
                                  <w:rPr>
                                    <w:rFonts w:asciiTheme="majorHAnsi" w:hAnsiTheme="majorHAnsi"/>
                                    <w:b/>
                                    <w:sz w:val="36"/>
                                    <w:szCs w:val="24"/>
                                  </w:rPr>
                                  <w:t>Version 1</w:t>
                                </w:r>
                              </w:p>
                              <w:p w14:paraId="604D131C" w14:textId="7AC987C6" w:rsidR="007F6073" w:rsidRDefault="00000000">
                                <w:pPr>
                                  <w:spacing w:line="240" w:lineRule="auto"/>
                                  <w:rPr>
                                    <w:rFonts w:asciiTheme="majorHAnsi" w:hAnsiTheme="majorHAnsi"/>
                                    <w:b/>
                                    <w:sz w:val="72"/>
                                    <w:szCs w:val="22"/>
                                  </w:rPr>
                                </w:pPr>
                                <w:r>
                                  <w:rPr>
                                    <w:rFonts w:asciiTheme="majorHAnsi" w:hAnsiTheme="majorHAnsi"/>
                                    <w:b/>
                                    <w:sz w:val="72"/>
                                    <w:szCs w:val="22"/>
                                  </w:rPr>
                                  <w:t>Vodaria Group RFx Response</w:t>
                                </w:r>
                              </w:p>
                              <w:p w14:paraId="07E30F90" w14:textId="77777777" w:rsidR="007F6073" w:rsidRDefault="007F6073">
                                <w:pPr>
                                  <w:rPr>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067067" id="_x0000_t202" coordsize="21600,21600" o:spt="202" path="m,l,21600r21600,l21600,xe">
                    <v:stroke joinstyle="miter"/>
                    <v:path gradientshapeok="t" o:connecttype="rect"/>
                  </v:shapetype>
                  <v:shape id="Text Box 4" o:spid="_x0000_s1026" type="#_x0000_t202" style="position:absolute;left:0;text-align:left;margin-left:-10.4pt;margin-top:24.95pt;width:512.9pt;height:2in;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" filled="f" stroked="f">
                    <v:textbox>
                      <w:txbxContent>
                        <w:p w14:paraId="3AD38975" w14:textId="77777777" w:rsidR="007F6073" w:rsidRDefault="00000000">
                          <w:pPr>
                            <w:spacing w:before="86" w:line="240" w:lineRule="auto"/>
                            <w:rPr>
                              <w:b/>
                              <w:spacing w:val="16"/>
                              <w:sz w:val="44"/>
                            </w:rPr>
                          </w:pPr>
                          <w:r>
                            <w:rPr>
                              <w:rFonts w:asciiTheme="majorHAnsi" w:hAnsiTheme="majorHAnsi"/>
                              <w:b/>
                              <w:sz w:val="36"/>
                              <w:szCs w:val="24"/>
                            </w:rPr>
                            <w:t>Version 1</w:t>
                          </w:r>
                        </w:p>
                        <w:p w14:paraId="604D131C" w14:textId="7AC987C6" w:rsidR="007F6073" w:rsidRDefault="00000000">
                          <w:pPr>
                            <w:spacing w:line="240" w:lineRule="auto"/>
                            <w:rPr>
                              <w:rFonts w:asciiTheme="majorHAnsi" w:hAnsiTheme="majorHAnsi"/>
                              <w:b/>
                              <w:sz w:val="72"/>
                              <w:szCs w:val="22"/>
                            </w:rPr>
                          </w:pPr>
                          <w:r>
                            <w:rPr>
                              <w:rFonts w:asciiTheme="majorHAnsi" w:hAnsiTheme="majorHAnsi"/>
                              <w:b/>
                              <w:sz w:val="72"/>
                              <w:szCs w:val="22"/>
                            </w:rPr>
                            <w:t>Vodaria Group RFx Response</w:t>
                          </w:r>
                        </w:p>
                        <w:p w14:paraId="07E30F90" w14:textId="77777777" w:rsidR="007F6073" w:rsidRDefault="007F6073">
                          <w:pPr>
                            <w:rPr>
                              <w:lang w:val="en-CA"/>
                            </w:rPr>
                          </w:pPr>
                        </w:p>
                      </w:txbxContent>
                    </v:textbox>
                  </v:shape>
                </w:pict>
              </mc:Fallback>
            </mc:AlternateContent>
          </w:r>
        </w:p>
        <w:p w14:paraId="43B72E70" w14:textId="77777777" w:rsidR="007F6073" w:rsidRDefault="007F6073">
          <w:pPr>
            <w:spacing w:before="86" w:line="240" w:lineRule="auto"/>
            <w:rPr>
              <w:b/>
              <w:color w:val="3B3B3A"/>
              <w:sz w:val="36"/>
              <w:szCs w:val="24"/>
            </w:rPr>
          </w:pPr>
        </w:p>
        <w:p w14:paraId="657D5A06" w14:textId="77777777" w:rsidR="007F6073" w:rsidRDefault="00000000">
          <w:pPr>
            <w:rPr>
              <w:b/>
              <w:color w:val="3B3B3A"/>
              <w:sz w:val="36"/>
              <w:szCs w:val="24"/>
            </w:rPr>
          </w:pPr>
          <w:r>
            <w:rPr>
              <w:b/>
              <w:noProof/>
              <w:color w:val="FFFFFF" w:themeColor="background1"/>
              <w:sz w:val="72"/>
              <w:szCs w:val="22"/>
            </w:rPr>
            <mc:AlternateContent>
              <mc:Choice Requires="wps">
                <w:drawing>
                  <wp:anchor distT="0" distB="0" distL="114300" distR="114300" simplePos="0" relativeHeight="251658240" behindDoc="1" locked="0" layoutInCell="1" allowOverlap="1" wp14:anchorId="1AD23A1D" wp14:editId="0E0C2DD3">
                    <wp:simplePos x="0" y="0"/>
                    <wp:positionH relativeFrom="page">
                      <wp:posOffset>-314901</wp:posOffset>
                    </wp:positionH>
                    <wp:positionV relativeFrom="paragraph">
                      <wp:posOffset>1391979</wp:posOffset>
                    </wp:positionV>
                    <wp:extent cx="9843248" cy="562708"/>
                    <wp:effectExtent l="0" t="0" r="5715" b="8890"/>
                    <wp:wrapNone/>
                    <wp:docPr id="26" name="Rectangle 26"/>
                    <wp:cNvGraphicFramePr/>
                    <a:graphic xmlns:a="http://schemas.openxmlformats.org/drawingml/2006/main">
                      <a:graphicData uri="http://schemas.microsoft.com/office/word/2010/wordprocessingShape">
                        <wps:wsp>
                          <wps:cNvSpPr/>
                          <wps:spPr>
                            <a:xfrm>
                              <a:off x="0" y="0"/>
                              <a:ext cx="9843248" cy="56270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772993" w14:textId="0E618099" w:rsidR="007F6073" w:rsidRDefault="00000000">
                                <w:pPr>
                                  <w:ind w:firstLine="720"/>
                                  <w:rPr>
                                    <w:rFonts w:ascii="Arial Nova" w:hAnsi="Arial Nova"/>
                                    <w:b/>
                                    <w:bCs/>
                                    <w:color w:val="FFFFFF" w:themeColor="background1"/>
                                    <w:lang w:val="en-CA"/>
                                  </w:rPr>
                                </w:pPr>
                                <w:r>
                                  <w:rPr>
                                    <w:rFonts w:ascii="Arial Nova" w:hAnsi="Arial Nova"/>
                                    <w:b/>
                                    <w:bCs/>
                                    <w:color w:val="FFFFFF" w:themeColor="background1"/>
                                    <w:lang w:val="en-CA"/>
                                  </w:rPr>
                                  <w:t>October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23A1D" id="Rectangle 26" o:spid="_x0000_s1027" style="position:absolute;margin-left:-24.8pt;margin-top:109.6pt;width:775.05pt;height:4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" fillcolor="#e10d11 [3204]" stroked="f" strokeweight="1pt">
                    <v:textbox>
                      <w:txbxContent>
                        <w:p w14:paraId="11772993" w14:textId="0E618099" w:rsidR="007F6073" w:rsidRDefault="00000000">
                          <w:pPr>
                            <w:ind w:firstLine="720"/>
                            <w:rPr>
                              <w:rFonts w:ascii="Arial Nova" w:hAnsi="Arial Nova"/>
                              <w:b/>
                              <w:bCs/>
                              <w:color w:val="FFFFFF" w:themeColor="background1"/>
                              <w:lang w:val="en-CA"/>
                            </w:rPr>
                          </w:pPr>
                          <w:r>
                            <w:rPr>
                              <w:rFonts w:ascii="Arial Nova" w:hAnsi="Arial Nova"/>
                              <w:b/>
                              <w:bCs/>
                              <w:color w:val="FFFFFF" w:themeColor="background1"/>
                              <w:lang w:val="en-CA"/>
                            </w:rPr>
                            <w:t>October 2026</w:t>
                          </w:r>
                        </w:p>
                      </w:txbxContent>
                    </v:textbox>
                    <w10:wrap anchorx="page"/>
                  </v:rect>
                </w:pict>
              </mc:Fallback>
            </mc:AlternateContent>
          </w:r>
        </w:p>
        <w:p w14:paraId="14F38222" w14:textId="77777777" w:rsidR="007F6073" w:rsidRDefault="007F6073">
          <w:pPr>
            <w:rPr>
              <w:b/>
              <w:color w:val="3B3B3A"/>
              <w:sz w:val="36"/>
              <w:szCs w:val="24"/>
            </w:rPr>
          </w:pPr>
        </w:p>
        <w:p w14:paraId="5CD3FFAF" w14:textId="77777777" w:rsidR="007F6073" w:rsidRDefault="00000000">
          <w:pPr>
            <w:spacing w:before="0" w:line="312" w:lineRule="auto"/>
          </w:pPr>
          <w:r>
            <w:br w:type="page"/>
          </w:r>
        </w:p>
        <w:p w14:paraId="735CA054" w14:textId="77777777" w:rsidR="007F6073" w:rsidRDefault="007F6073">
          <w:pPr>
            <w:sectPr w:rsidR="007F6073">
              <w:headerReference w:type="even" r:id="rId12"/>
              <w:headerReference w:type="default" r:id="rId13"/>
              <w:footerReference w:type="even" r:id="rId14"/>
              <w:footerReference w:type="default" r:id="rId15"/>
              <w:headerReference w:type="first" r:id="rId16"/>
              <w:footerReference w:type="first" r:id="rId17"/>
              <w:pgSz w:w="12240" w:h="15840" w:code="1"/>
              <w:pgMar w:top="1080" w:right="1080" w:bottom="1080" w:left="1080" w:header="720" w:footer="230" w:gutter="0"/>
              <w:cols w:space="720"/>
              <w:titlePg/>
              <w:docGrid w:linePitch="299"/>
            </w:sectPr>
          </w:pPr>
        </w:p>
        <w:sdt>
          <w:sdtPr>
            <w:rPr>
              <w:caps/>
              <w:sz w:val="21"/>
            </w:rPr>
            <w:id w:val="-1434129810"/>
            <w:docPartObj>
              <w:docPartGallery w:val="Table of Contents"/>
              <w:docPartUnique/>
            </w:docPartObj>
          </w:sdtPr>
          <w:sdtEndPr>
            <w:rPr>
              <w:rFonts w:asciiTheme="majorHAnsi" w:hAnsiTheme="majorHAnsi"/>
              <w:caps w:val="0"/>
              <w:noProof/>
              <w:sz w:val="22"/>
              <w:szCs w:val="22"/>
            </w:rPr>
          </w:sdtEndPr>
          <w:sdtContent>
            <w:p w14:paraId="38788A5A" w14:textId="77777777" w:rsidR="007F6073" w:rsidRDefault="00000000">
              <w:pPr>
                <w:spacing w:before="80" w:after="80"/>
                <w:ind w:left="1080" w:hanging="360"/>
                <w:rPr>
                  <w:rStyle w:val="Heading1Char"/>
                  <w:lang w:val="en-GB" w:eastAsia="en-GB"/>
                </w:rPr>
              </w:pPr>
              <w:r>
                <w:rPr>
                  <w:rStyle w:val="Heading1Char"/>
                </w:rPr>
                <w:t>Contents</w:t>
              </w:r>
            </w:p>
            <w:p w14:paraId="13806E6A" w14:textId="7F7D0741" w:rsidR="007F6073" w:rsidRDefault="00000000">
              <w:pPr>
                <w:pStyle w:val="TOC1"/>
                <w:rPr>
                  <w:rFonts w:asciiTheme="minorHAnsi" w:hAnsiTheme="minorHAnsi"/>
                  <w:b w:val="0"/>
                  <w:color w:val="auto"/>
                </w:rPr>
              </w:pPr>
              <w:r>
                <w:rPr>
                  <w:rFonts w:eastAsia="Arial" w:cs="Arial"/>
                  <w:b w:val="0"/>
                  <w:lang w:bidi="en-US"/>
                </w:rPr>
                <w:fldChar w:fldCharType="begin"/>
              </w:r>
              <w:r>
                <w:rPr>
                  <w:rFonts w:eastAsia="Arial" w:cs="Arial"/>
                  <w:b w:val="0"/>
                  <w:lang w:bidi="en-US"/>
                </w:rPr>
                <w:instrText xml:space="preserve"> TOC \o "1-3" \h \z \t "Title,1" </w:instrText>
              </w:r>
              <w:r>
                <w:rPr>
                  <w:rFonts w:eastAsia="Arial" w:cs="Arial"/>
                  <w:b w:val="0"/>
                  <w:lang w:bidi="en-US"/>
                </w:rPr>
                <w:fldChar w:fldCharType="separate"/>
              </w:r>
              <w:hyperlink w:anchor="_Toc239002146" w:history="1">
                <w:r>
                  <w:rPr>
                    <w:rStyle w:val="Hyperlink"/>
                  </w:rPr>
                  <w:t>Volume 1 - Executive &amp; Solution Proposal</w:t>
                </w:r>
                <w:r>
                  <w:rPr>
                    <w:webHidden/>
                  </w:rPr>
                  <w:tab/>
                </w:r>
                <w:r>
                  <w:rPr>
                    <w:webHidden/>
                  </w:rPr>
                  <w:fldChar w:fldCharType="begin"/>
                </w:r>
                <w:r>
                  <w:rPr>
                    <w:webHidden/>
                  </w:rPr>
                  <w:instrText xml:space="preserve"> PAGEREF _Toc239002146 \h </w:instrText>
                </w:r>
                <w:r>
                  <w:rPr>
                    <w:webHidden/>
                  </w:rPr>
                </w:r>
                <w:r>
                  <w:rPr>
                    <w:webHidden/>
                  </w:rPr>
                  <w:fldChar w:fldCharType="separate"/>
                </w:r>
                <w:r>
                  <w:rPr>
                    <w:webHidden/>
                  </w:rPr>
                  <w:t>7</w:t>
                </w:r>
                <w:r>
                  <w:rPr>
                    <w:webHidden/>
                  </w:rPr>
                  <w:fldChar w:fldCharType="end"/>
                </w:r>
              </w:hyperlink>
            </w:p>
            <w:p w14:paraId="41189E44" w14:textId="70D582A3" w:rsidR="007F6073" w:rsidRDefault="00000000">
              <w:pPr>
                <w:pStyle w:val="TOC1"/>
                <w:rPr>
                  <w:rFonts w:asciiTheme="minorHAnsi" w:hAnsiTheme="minorHAnsi"/>
                  <w:b w:val="0"/>
                  <w:color w:val="auto"/>
                </w:rPr>
              </w:pPr>
              <w:hyperlink w:anchor="_Toc239002147" w:history="1">
                <w:r>
                  <w:rPr>
                    <w:rStyle w:val="Hyperlink"/>
                  </w:rPr>
                  <w:t>1</w:t>
                </w:r>
                <w:r>
                  <w:rPr>
                    <w:rFonts w:asciiTheme="minorHAnsi" w:hAnsiTheme="minorHAnsi"/>
                    <w:b w:val="0"/>
                    <w:color w:val="auto"/>
                  </w:rPr>
                  <w:tab/>
                </w:r>
                <w:r>
                  <w:rPr>
                    <w:rStyle w:val="Hyperlink"/>
                  </w:rPr>
                  <w:t>Executive Summary</w:t>
                </w:r>
                <w:r>
                  <w:rPr>
                    <w:webHidden/>
                  </w:rPr>
                  <w:tab/>
                </w:r>
                <w:r>
                  <w:rPr>
                    <w:webHidden/>
                  </w:rPr>
                  <w:fldChar w:fldCharType="begin"/>
                </w:r>
                <w:r>
                  <w:rPr>
                    <w:webHidden/>
                  </w:rPr>
                  <w:instrText xml:space="preserve"> PAGEREF _Toc239002147 \h </w:instrText>
                </w:r>
                <w:r>
                  <w:rPr>
                    <w:webHidden/>
                  </w:rPr>
                </w:r>
                <w:r>
                  <w:rPr>
                    <w:webHidden/>
                  </w:rPr>
                  <w:fldChar w:fldCharType="separate"/>
                </w:r>
                <w:r>
                  <w:rPr>
                    <w:webHidden/>
                  </w:rPr>
                  <w:t>7</w:t>
                </w:r>
                <w:r>
                  <w:rPr>
                    <w:webHidden/>
                  </w:rPr>
                  <w:fldChar w:fldCharType="end"/>
                </w:r>
              </w:hyperlink>
            </w:p>
            <w:p w14:paraId="687C74A9" w14:textId="38DD2F85" w:rsidR="007F6073" w:rsidRDefault="00000000">
              <w:pPr>
                <w:pStyle w:val="TOC1"/>
                <w:rPr>
                  <w:rFonts w:asciiTheme="minorHAnsi" w:hAnsiTheme="minorHAnsi"/>
                  <w:b w:val="0"/>
                  <w:color w:val="auto"/>
                </w:rPr>
              </w:pPr>
              <w:hyperlink w:anchor="_Toc239002148" w:history="1">
                <w:r>
                  <w:rPr>
                    <w:rStyle w:val="Hyperlink"/>
                    <w:kern w:val="36"/>
                    <w:lang w:val="en-GB" w:eastAsia="en-GB"/>
                  </w:rPr>
                  <w:t>2</w:t>
                </w:r>
                <w:r>
                  <w:rPr>
                    <w:rFonts w:asciiTheme="minorHAnsi" w:hAnsiTheme="minorHAnsi"/>
                    <w:b w:val="0"/>
                    <w:color w:val="auto"/>
                  </w:rPr>
                  <w:tab/>
                </w:r>
                <w:r>
                  <w:rPr>
                    <w:rStyle w:val="Hyperlink"/>
                  </w:rPr>
                  <w:t>Future Lead-to-Order Operating Model</w:t>
                </w:r>
                <w:r>
                  <w:rPr>
                    <w:webHidden/>
                  </w:rPr>
                  <w:tab/>
                </w:r>
                <w:r>
                  <w:rPr>
                    <w:webHidden/>
                  </w:rPr>
                  <w:fldChar w:fldCharType="begin"/>
                </w:r>
                <w:r>
                  <w:rPr>
                    <w:webHidden/>
                  </w:rPr>
                  <w:instrText xml:space="preserve"> PAGEREF _Toc239002148 \h </w:instrText>
                </w:r>
                <w:r>
                  <w:rPr>
                    <w:webHidden/>
                  </w:rPr>
                </w:r>
                <w:r>
                  <w:rPr>
                    <w:webHidden/>
                  </w:rPr>
                  <w:fldChar w:fldCharType="separate"/>
                </w:r>
                <w:r>
                  <w:rPr>
                    <w:webHidden/>
                  </w:rPr>
                  <w:t>10</w:t>
                </w:r>
                <w:r>
                  <w:rPr>
                    <w:webHidden/>
                  </w:rPr>
                  <w:fldChar w:fldCharType="end"/>
                </w:r>
              </w:hyperlink>
            </w:p>
            <w:p w14:paraId="09946F0F" w14:textId="55E300E2" w:rsidR="007F6073" w:rsidRDefault="00000000">
              <w:pPr>
                <w:pStyle w:val="TOC1"/>
                <w:rPr>
                  <w:rFonts w:asciiTheme="minorHAnsi" w:hAnsiTheme="minorHAnsi"/>
                  <w:b w:val="0"/>
                  <w:color w:val="auto"/>
                </w:rPr>
              </w:pPr>
              <w:hyperlink w:anchor="_Toc239002149" w:history="1">
                <w:r>
                  <w:rPr>
                    <w:rStyle w:val="Hyperlink"/>
                    <w:kern w:val="36"/>
                    <w:lang w:val="en-GB" w:eastAsia="en-GB"/>
                  </w:rPr>
                  <w:t>3</w:t>
                </w:r>
                <w:r>
                  <w:rPr>
                    <w:rFonts w:asciiTheme="minorHAnsi" w:hAnsiTheme="minorHAnsi"/>
                    <w:b w:val="0"/>
                    <w:color w:val="auto"/>
                  </w:rPr>
                  <w:tab/>
                </w:r>
                <w:r>
                  <w:rPr>
                    <w:rStyle w:val="Hyperlink"/>
                  </w:rPr>
                  <w:t>Solution Principles</w:t>
                </w:r>
                <w:r>
                  <w:rPr>
                    <w:webHidden/>
                  </w:rPr>
                  <w:tab/>
                </w:r>
                <w:r>
                  <w:rPr>
                    <w:webHidden/>
                  </w:rPr>
                  <w:fldChar w:fldCharType="begin"/>
                </w:r>
                <w:r>
                  <w:rPr>
                    <w:webHidden/>
                  </w:rPr>
                  <w:instrText xml:space="preserve"> PAGEREF _Toc239002149 \h </w:instrText>
                </w:r>
                <w:r>
                  <w:rPr>
                    <w:webHidden/>
                  </w:rPr>
                </w:r>
                <w:r>
                  <w:rPr>
                    <w:webHidden/>
                  </w:rPr>
                  <w:fldChar w:fldCharType="separate"/>
                </w:r>
                <w:r>
                  <w:rPr>
                    <w:webHidden/>
                  </w:rPr>
                  <w:t>11</w:t>
                </w:r>
                <w:r>
                  <w:rPr>
                    <w:webHidden/>
                  </w:rPr>
                  <w:fldChar w:fldCharType="end"/>
                </w:r>
              </w:hyperlink>
            </w:p>
            <w:p w14:paraId="1E754900" w14:textId="72C4B0BE" w:rsidR="007F6073" w:rsidRDefault="00000000">
              <w:pPr>
                <w:pStyle w:val="TOC1"/>
                <w:rPr>
                  <w:rFonts w:asciiTheme="minorHAnsi" w:hAnsiTheme="minorHAnsi"/>
                  <w:b w:val="0"/>
                  <w:color w:val="auto"/>
                </w:rPr>
              </w:pPr>
              <w:hyperlink w:anchor="_Toc239002150" w:history="1">
                <w:r>
                  <w:rPr>
                    <w:rStyle w:val="Hyperlink"/>
                    <w:kern w:val="36"/>
                    <w:lang w:val="en-GB" w:eastAsia="en-GB"/>
                  </w:rPr>
                  <w:t>4</w:t>
                </w:r>
                <w:r>
                  <w:rPr>
                    <w:rFonts w:asciiTheme="minorHAnsi" w:hAnsiTheme="minorHAnsi"/>
                    <w:b w:val="0"/>
                    <w:color w:val="auto"/>
                  </w:rPr>
                  <w:tab/>
                </w:r>
                <w:r>
                  <w:rPr>
                    <w:rStyle w:val="Hyperlink"/>
                  </w:rPr>
                  <w:t>Proposed Solution Overview</w:t>
                </w:r>
                <w:r>
                  <w:rPr>
                    <w:webHidden/>
                  </w:rPr>
                  <w:tab/>
                </w:r>
                <w:r>
                  <w:rPr>
                    <w:webHidden/>
                  </w:rPr>
                  <w:fldChar w:fldCharType="begin"/>
                </w:r>
                <w:r>
                  <w:rPr>
                    <w:webHidden/>
                  </w:rPr>
                  <w:instrText xml:space="preserve"> PAGEREF _Toc239002150 \h </w:instrText>
                </w:r>
                <w:r>
                  <w:rPr>
                    <w:webHidden/>
                  </w:rPr>
                </w:r>
                <w:r>
                  <w:rPr>
                    <w:webHidden/>
                  </w:rPr>
                  <w:fldChar w:fldCharType="separate"/>
                </w:r>
                <w:r>
                  <w:rPr>
                    <w:webHidden/>
                  </w:rPr>
                  <w:t>12</w:t>
                </w:r>
                <w:r>
                  <w:rPr>
                    <w:webHidden/>
                  </w:rPr>
                  <w:fldChar w:fldCharType="end"/>
                </w:r>
              </w:hyperlink>
            </w:p>
            <w:p w14:paraId="147E4178" w14:textId="427ADECB"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51" w:history="1">
                <w:r>
                  <w:rPr>
                    <w:rStyle w:val="Hyperlink"/>
                    <w:lang w:val="en-GB" w:eastAsia="en-GB"/>
                  </w:rPr>
                  <w:t>4.1</w:t>
                </w:r>
                <w:r>
                  <w:rPr>
                    <w:rFonts w:asciiTheme="minorHAnsi" w:eastAsiaTheme="minorEastAsia" w:hAnsiTheme="minorHAnsi" w:cstheme="minorBidi"/>
                    <w:b w:val="0"/>
                    <w:bCs w:val="0"/>
                    <w:color w:val="auto"/>
                    <w:kern w:val="2"/>
                    <w:szCs w:val="24"/>
                    <w:lang w:bidi="ar-SA"/>
                    <w14:ligatures w14:val="standardContextual"/>
                  </w:rPr>
                  <w:tab/>
                </w:r>
                <w:r>
                  <w:rPr>
                    <w:rStyle w:val="Hyperlink"/>
                  </w:rPr>
                  <w:t>Hansen Solution Components</w:t>
                </w:r>
                <w:r>
                  <w:rPr>
                    <w:webHidden/>
                  </w:rPr>
                  <w:tab/>
                </w:r>
                <w:r>
                  <w:rPr>
                    <w:webHidden/>
                  </w:rPr>
                  <w:fldChar w:fldCharType="begin"/>
                </w:r>
                <w:r>
                  <w:rPr>
                    <w:webHidden/>
                  </w:rPr>
                  <w:instrText xml:space="preserve"> PAGEREF _Toc239002151 \h </w:instrText>
                </w:r>
                <w:r>
                  <w:rPr>
                    <w:webHidden/>
                  </w:rPr>
                </w:r>
                <w:r>
                  <w:rPr>
                    <w:webHidden/>
                  </w:rPr>
                  <w:fldChar w:fldCharType="separate"/>
                </w:r>
                <w:r>
                  <w:rPr>
                    <w:webHidden/>
                  </w:rPr>
                  <w:t>15</w:t>
                </w:r>
                <w:r>
                  <w:rPr>
                    <w:webHidden/>
                  </w:rPr>
                  <w:fldChar w:fldCharType="end"/>
                </w:r>
              </w:hyperlink>
            </w:p>
            <w:p w14:paraId="4AA26279" w14:textId="6DBA4AB8"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52" w:history="1">
                <w:r>
                  <w:rPr>
                    <w:rStyle w:val="Hyperlink"/>
                    <w:lang w:val="en-GB" w:eastAsia="en-GB"/>
                  </w:rPr>
                  <w:t>4.2</w:t>
                </w:r>
                <w:r>
                  <w:rPr>
                    <w:rFonts w:asciiTheme="minorHAnsi" w:eastAsiaTheme="minorEastAsia" w:hAnsiTheme="minorHAnsi" w:cstheme="minorBidi"/>
                    <w:b w:val="0"/>
                    <w:bCs w:val="0"/>
                    <w:color w:val="auto"/>
                    <w:kern w:val="2"/>
                    <w:szCs w:val="24"/>
                    <w:lang w:bidi="ar-SA"/>
                    <w14:ligatures w14:val="standardContextual"/>
                  </w:rPr>
                  <w:tab/>
                </w:r>
                <w:r>
                  <w:rPr>
                    <w:rStyle w:val="Hyperlink"/>
                  </w:rPr>
                  <w:t>Solution Alignment to Requirements</w:t>
                </w:r>
                <w:r>
                  <w:rPr>
                    <w:webHidden/>
                  </w:rPr>
                  <w:tab/>
                </w:r>
                <w:r>
                  <w:rPr>
                    <w:webHidden/>
                  </w:rPr>
                  <w:fldChar w:fldCharType="begin"/>
                </w:r>
                <w:r>
                  <w:rPr>
                    <w:webHidden/>
                  </w:rPr>
                  <w:instrText xml:space="preserve"> PAGEREF _Toc239002152 \h </w:instrText>
                </w:r>
                <w:r>
                  <w:rPr>
                    <w:webHidden/>
                  </w:rPr>
                </w:r>
                <w:r>
                  <w:rPr>
                    <w:webHidden/>
                  </w:rPr>
                  <w:fldChar w:fldCharType="separate"/>
                </w:r>
                <w:r>
                  <w:rPr>
                    <w:webHidden/>
                  </w:rPr>
                  <w:t>17</w:t>
                </w:r>
                <w:r>
                  <w:rPr>
                    <w:webHidden/>
                  </w:rPr>
                  <w:fldChar w:fldCharType="end"/>
                </w:r>
              </w:hyperlink>
            </w:p>
            <w:p w14:paraId="52A8998B" w14:textId="5FEF53DF"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53" w:history="1">
                <w:r>
                  <w:rPr>
                    <w:rStyle w:val="Hyperlink"/>
                  </w:rPr>
                  <w:t>4.2.1</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Salesforce CRM Integration</w:t>
                </w:r>
                <w:r>
                  <w:rPr>
                    <w:webHidden/>
                  </w:rPr>
                  <w:tab/>
                </w:r>
                <w:r>
                  <w:rPr>
                    <w:webHidden/>
                  </w:rPr>
                  <w:fldChar w:fldCharType="begin"/>
                </w:r>
                <w:r>
                  <w:rPr>
                    <w:webHidden/>
                  </w:rPr>
                  <w:instrText xml:space="preserve"> PAGEREF _Toc239002153 \h </w:instrText>
                </w:r>
                <w:r>
                  <w:rPr>
                    <w:webHidden/>
                  </w:rPr>
                </w:r>
                <w:r>
                  <w:rPr>
                    <w:webHidden/>
                  </w:rPr>
                  <w:fldChar w:fldCharType="separate"/>
                </w:r>
                <w:r>
                  <w:rPr>
                    <w:webHidden/>
                  </w:rPr>
                  <w:t>17</w:t>
                </w:r>
                <w:r>
                  <w:rPr>
                    <w:webHidden/>
                  </w:rPr>
                  <w:fldChar w:fldCharType="end"/>
                </w:r>
              </w:hyperlink>
            </w:p>
            <w:p w14:paraId="29173E51" w14:textId="49407BFF"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54" w:history="1">
                <w:r>
                  <w:rPr>
                    <w:rStyle w:val="Hyperlink"/>
                  </w:rPr>
                  <w:t>4.2.2</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Quote Workflow</w:t>
                </w:r>
                <w:r>
                  <w:rPr>
                    <w:webHidden/>
                  </w:rPr>
                  <w:tab/>
                </w:r>
                <w:r>
                  <w:rPr>
                    <w:webHidden/>
                  </w:rPr>
                  <w:fldChar w:fldCharType="begin"/>
                </w:r>
                <w:r>
                  <w:rPr>
                    <w:webHidden/>
                  </w:rPr>
                  <w:instrText xml:space="preserve"> PAGEREF _Toc239002154 \h </w:instrText>
                </w:r>
                <w:r>
                  <w:rPr>
                    <w:webHidden/>
                  </w:rPr>
                </w:r>
                <w:r>
                  <w:rPr>
                    <w:webHidden/>
                  </w:rPr>
                  <w:fldChar w:fldCharType="separate"/>
                </w:r>
                <w:r>
                  <w:rPr>
                    <w:webHidden/>
                  </w:rPr>
                  <w:t>18</w:t>
                </w:r>
                <w:r>
                  <w:rPr>
                    <w:webHidden/>
                  </w:rPr>
                  <w:fldChar w:fldCharType="end"/>
                </w:r>
              </w:hyperlink>
            </w:p>
            <w:p w14:paraId="7BBE7493" w14:textId="750B3686"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55" w:history="1">
                <w:r>
                  <w:rPr>
                    <w:rStyle w:val="Hyperlink"/>
                    <w:lang w:val="en-GB" w:eastAsia="en-GB"/>
                  </w:rPr>
                  <w:t>4.2.3</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Configure Price Quote</w:t>
                </w:r>
                <w:r>
                  <w:rPr>
                    <w:webHidden/>
                  </w:rPr>
                  <w:tab/>
                </w:r>
                <w:r>
                  <w:rPr>
                    <w:webHidden/>
                  </w:rPr>
                  <w:fldChar w:fldCharType="begin"/>
                </w:r>
                <w:r>
                  <w:rPr>
                    <w:webHidden/>
                  </w:rPr>
                  <w:instrText xml:space="preserve"> PAGEREF _Toc239002155 \h </w:instrText>
                </w:r>
                <w:r>
                  <w:rPr>
                    <w:webHidden/>
                  </w:rPr>
                </w:r>
                <w:r>
                  <w:rPr>
                    <w:webHidden/>
                  </w:rPr>
                  <w:fldChar w:fldCharType="separate"/>
                </w:r>
                <w:r>
                  <w:rPr>
                    <w:webHidden/>
                  </w:rPr>
                  <w:t>18</w:t>
                </w:r>
                <w:r>
                  <w:rPr>
                    <w:webHidden/>
                  </w:rPr>
                  <w:fldChar w:fldCharType="end"/>
                </w:r>
              </w:hyperlink>
            </w:p>
            <w:p w14:paraId="548B32B9" w14:textId="53A2F332"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56" w:history="1">
                <w:r>
                  <w:rPr>
                    <w:rStyle w:val="Hyperlink"/>
                  </w:rPr>
                  <w:t>4.2.4</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Price Negotiations &amp; Approvals</w:t>
                </w:r>
                <w:r>
                  <w:rPr>
                    <w:webHidden/>
                  </w:rPr>
                  <w:tab/>
                </w:r>
                <w:r>
                  <w:rPr>
                    <w:webHidden/>
                  </w:rPr>
                  <w:fldChar w:fldCharType="begin"/>
                </w:r>
                <w:r>
                  <w:rPr>
                    <w:webHidden/>
                  </w:rPr>
                  <w:instrText xml:space="preserve"> PAGEREF _Toc239002156 \h </w:instrText>
                </w:r>
                <w:r>
                  <w:rPr>
                    <w:webHidden/>
                  </w:rPr>
                </w:r>
                <w:r>
                  <w:rPr>
                    <w:webHidden/>
                  </w:rPr>
                  <w:fldChar w:fldCharType="separate"/>
                </w:r>
                <w:r>
                  <w:rPr>
                    <w:webHidden/>
                  </w:rPr>
                  <w:t>19</w:t>
                </w:r>
                <w:r>
                  <w:rPr>
                    <w:webHidden/>
                  </w:rPr>
                  <w:fldChar w:fldCharType="end"/>
                </w:r>
              </w:hyperlink>
            </w:p>
            <w:p w14:paraId="7B25BED7" w14:textId="3D234C2A"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57" w:history="1">
                <w:r>
                  <w:rPr>
                    <w:rStyle w:val="Hyperlink"/>
                  </w:rPr>
                  <w:t>4.2.5</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Customer Contracts &amp; Commitments (Framework Contracts)</w:t>
                </w:r>
                <w:r>
                  <w:rPr>
                    <w:webHidden/>
                  </w:rPr>
                  <w:tab/>
                </w:r>
                <w:r>
                  <w:rPr>
                    <w:webHidden/>
                  </w:rPr>
                  <w:fldChar w:fldCharType="begin"/>
                </w:r>
                <w:r>
                  <w:rPr>
                    <w:webHidden/>
                  </w:rPr>
                  <w:instrText xml:space="preserve"> PAGEREF _Toc239002157 \h </w:instrText>
                </w:r>
                <w:r>
                  <w:rPr>
                    <w:webHidden/>
                  </w:rPr>
                </w:r>
                <w:r>
                  <w:rPr>
                    <w:webHidden/>
                  </w:rPr>
                  <w:fldChar w:fldCharType="separate"/>
                </w:r>
                <w:r>
                  <w:rPr>
                    <w:webHidden/>
                  </w:rPr>
                  <w:t>20</w:t>
                </w:r>
                <w:r>
                  <w:rPr>
                    <w:webHidden/>
                  </w:rPr>
                  <w:fldChar w:fldCharType="end"/>
                </w:r>
              </w:hyperlink>
            </w:p>
            <w:p w14:paraId="721743ED" w14:textId="0A3C25F1"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58" w:history="1">
                <w:r>
                  <w:rPr>
                    <w:rStyle w:val="Hyperlink"/>
                    <w:lang w:val="en-GB" w:eastAsia="en-GB"/>
                  </w:rPr>
                  <w:t>4.2.6</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Contract to order</w:t>
                </w:r>
                <w:r>
                  <w:rPr>
                    <w:webHidden/>
                  </w:rPr>
                  <w:tab/>
                </w:r>
                <w:r>
                  <w:rPr>
                    <w:webHidden/>
                  </w:rPr>
                  <w:fldChar w:fldCharType="begin"/>
                </w:r>
                <w:r>
                  <w:rPr>
                    <w:webHidden/>
                  </w:rPr>
                  <w:instrText xml:space="preserve"> PAGEREF _Toc239002158 \h </w:instrText>
                </w:r>
                <w:r>
                  <w:rPr>
                    <w:webHidden/>
                  </w:rPr>
                </w:r>
                <w:r>
                  <w:rPr>
                    <w:webHidden/>
                  </w:rPr>
                  <w:fldChar w:fldCharType="separate"/>
                </w:r>
                <w:r>
                  <w:rPr>
                    <w:webHidden/>
                  </w:rPr>
                  <w:t>21</w:t>
                </w:r>
                <w:r>
                  <w:rPr>
                    <w:webHidden/>
                  </w:rPr>
                  <w:fldChar w:fldCharType="end"/>
                </w:r>
              </w:hyperlink>
            </w:p>
            <w:p w14:paraId="0195C4D3" w14:textId="46C9F32C"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59" w:history="1">
                <w:r>
                  <w:rPr>
                    <w:rStyle w:val="Hyperlink"/>
                  </w:rPr>
                  <w:t>4.2.7</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Order Capture &amp; Submission</w:t>
                </w:r>
                <w:r>
                  <w:rPr>
                    <w:webHidden/>
                  </w:rPr>
                  <w:tab/>
                </w:r>
                <w:r>
                  <w:rPr>
                    <w:webHidden/>
                  </w:rPr>
                  <w:fldChar w:fldCharType="begin"/>
                </w:r>
                <w:r>
                  <w:rPr>
                    <w:webHidden/>
                  </w:rPr>
                  <w:instrText xml:space="preserve"> PAGEREF _Toc239002159 \h </w:instrText>
                </w:r>
                <w:r>
                  <w:rPr>
                    <w:webHidden/>
                  </w:rPr>
                </w:r>
                <w:r>
                  <w:rPr>
                    <w:webHidden/>
                  </w:rPr>
                  <w:fldChar w:fldCharType="separate"/>
                </w:r>
                <w:r>
                  <w:rPr>
                    <w:webHidden/>
                  </w:rPr>
                  <w:t>22</w:t>
                </w:r>
                <w:r>
                  <w:rPr>
                    <w:webHidden/>
                  </w:rPr>
                  <w:fldChar w:fldCharType="end"/>
                </w:r>
              </w:hyperlink>
            </w:p>
            <w:p w14:paraId="69AC9184" w14:textId="4CD135A5"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60" w:history="1">
                <w:r>
                  <w:rPr>
                    <w:rStyle w:val="Hyperlink"/>
                  </w:rPr>
                  <w:t>4.2.8</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Order Decomposition &amp; Fulfilment</w:t>
                </w:r>
                <w:r>
                  <w:rPr>
                    <w:webHidden/>
                  </w:rPr>
                  <w:tab/>
                </w:r>
                <w:r>
                  <w:rPr>
                    <w:webHidden/>
                  </w:rPr>
                  <w:fldChar w:fldCharType="begin"/>
                </w:r>
                <w:r>
                  <w:rPr>
                    <w:webHidden/>
                  </w:rPr>
                  <w:instrText xml:space="preserve"> PAGEREF _Toc239002160 \h </w:instrText>
                </w:r>
                <w:r>
                  <w:rPr>
                    <w:webHidden/>
                  </w:rPr>
                </w:r>
                <w:r>
                  <w:rPr>
                    <w:webHidden/>
                  </w:rPr>
                  <w:fldChar w:fldCharType="separate"/>
                </w:r>
                <w:r>
                  <w:rPr>
                    <w:webHidden/>
                  </w:rPr>
                  <w:t>24</w:t>
                </w:r>
                <w:r>
                  <w:rPr>
                    <w:webHidden/>
                  </w:rPr>
                  <w:fldChar w:fldCharType="end"/>
                </w:r>
              </w:hyperlink>
            </w:p>
            <w:p w14:paraId="1C575E02" w14:textId="5B546AD6"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61" w:history="1">
                <w:r>
                  <w:rPr>
                    <w:rStyle w:val="Hyperlink"/>
                  </w:rPr>
                  <w:t>4.2.9</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Network Planning &amp; Inventory</w:t>
                </w:r>
                <w:r>
                  <w:rPr>
                    <w:webHidden/>
                  </w:rPr>
                  <w:tab/>
                </w:r>
                <w:r>
                  <w:rPr>
                    <w:webHidden/>
                  </w:rPr>
                  <w:fldChar w:fldCharType="begin"/>
                </w:r>
                <w:r>
                  <w:rPr>
                    <w:webHidden/>
                  </w:rPr>
                  <w:instrText xml:space="preserve"> PAGEREF _Toc239002161 \h </w:instrText>
                </w:r>
                <w:r>
                  <w:rPr>
                    <w:webHidden/>
                  </w:rPr>
                </w:r>
                <w:r>
                  <w:rPr>
                    <w:webHidden/>
                  </w:rPr>
                  <w:fldChar w:fldCharType="separate"/>
                </w:r>
                <w:r>
                  <w:rPr>
                    <w:webHidden/>
                  </w:rPr>
                  <w:t>24</w:t>
                </w:r>
                <w:r>
                  <w:rPr>
                    <w:webHidden/>
                  </w:rPr>
                  <w:fldChar w:fldCharType="end"/>
                </w:r>
              </w:hyperlink>
            </w:p>
            <w:p w14:paraId="5EBE24A1" w14:textId="436118FB"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62" w:history="1">
                <w:r>
                  <w:rPr>
                    <w:rStyle w:val="Hyperlink"/>
                  </w:rPr>
                  <w:t>4.2.10</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Operational Visibility &amp; Exception Management</w:t>
                </w:r>
                <w:r>
                  <w:rPr>
                    <w:webHidden/>
                  </w:rPr>
                  <w:tab/>
                </w:r>
                <w:r>
                  <w:rPr>
                    <w:webHidden/>
                  </w:rPr>
                  <w:fldChar w:fldCharType="begin"/>
                </w:r>
                <w:r>
                  <w:rPr>
                    <w:webHidden/>
                  </w:rPr>
                  <w:instrText xml:space="preserve"> PAGEREF _Toc239002162 \h </w:instrText>
                </w:r>
                <w:r>
                  <w:rPr>
                    <w:webHidden/>
                  </w:rPr>
                </w:r>
                <w:r>
                  <w:rPr>
                    <w:webHidden/>
                  </w:rPr>
                  <w:fldChar w:fldCharType="separate"/>
                </w:r>
                <w:r>
                  <w:rPr>
                    <w:webHidden/>
                  </w:rPr>
                  <w:t>25</w:t>
                </w:r>
                <w:r>
                  <w:rPr>
                    <w:webHidden/>
                  </w:rPr>
                  <w:fldChar w:fldCharType="end"/>
                </w:r>
              </w:hyperlink>
            </w:p>
            <w:p w14:paraId="3F900D47" w14:textId="78E3E0A2"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163" w:history="1">
                <w:r>
                  <w:rPr>
                    <w:rStyle w:val="Hyperlink"/>
                    <w:lang w:val="en-GB" w:eastAsia="en-GB"/>
                  </w:rPr>
                  <w:t>4.2.11</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MCP Interface for AI Agents</w:t>
                </w:r>
                <w:r>
                  <w:rPr>
                    <w:webHidden/>
                  </w:rPr>
                  <w:tab/>
                </w:r>
                <w:r>
                  <w:rPr>
                    <w:webHidden/>
                  </w:rPr>
                  <w:fldChar w:fldCharType="begin"/>
                </w:r>
                <w:r>
                  <w:rPr>
                    <w:webHidden/>
                  </w:rPr>
                  <w:instrText xml:space="preserve"> PAGEREF _Toc239002163 \h </w:instrText>
                </w:r>
                <w:r>
                  <w:rPr>
                    <w:webHidden/>
                  </w:rPr>
                </w:r>
                <w:r>
                  <w:rPr>
                    <w:webHidden/>
                  </w:rPr>
                  <w:fldChar w:fldCharType="separate"/>
                </w:r>
                <w:r>
                  <w:rPr>
                    <w:webHidden/>
                  </w:rPr>
                  <w:t>26</w:t>
                </w:r>
                <w:r>
                  <w:rPr>
                    <w:webHidden/>
                  </w:rPr>
                  <w:fldChar w:fldCharType="end"/>
                </w:r>
              </w:hyperlink>
            </w:p>
            <w:p w14:paraId="145A4000" w14:textId="449476AE"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64" w:history="1">
                <w:r>
                  <w:rPr>
                    <w:rStyle w:val="Hyperlink"/>
                    <w:lang w:val="en-GB" w:eastAsia="en-GB"/>
                  </w:rPr>
                  <w:t>4.3</w:t>
                </w:r>
                <w:r>
                  <w:rPr>
                    <w:rFonts w:asciiTheme="minorHAnsi" w:eastAsiaTheme="minorEastAsia" w:hAnsiTheme="minorHAnsi" w:cstheme="minorBidi"/>
                    <w:b w:val="0"/>
                    <w:bCs w:val="0"/>
                    <w:color w:val="auto"/>
                    <w:kern w:val="2"/>
                    <w:szCs w:val="24"/>
                    <w:lang w:bidi="ar-SA"/>
                    <w14:ligatures w14:val="standardContextual"/>
                  </w:rPr>
                  <w:tab/>
                </w:r>
                <w:r>
                  <w:rPr>
                    <w:rStyle w:val="Hyperlink"/>
                  </w:rPr>
                  <w:t>Integration &amp; Open Architecture</w:t>
                </w:r>
                <w:r>
                  <w:rPr>
                    <w:webHidden/>
                  </w:rPr>
                  <w:tab/>
                </w:r>
                <w:r>
                  <w:rPr>
                    <w:webHidden/>
                  </w:rPr>
                  <w:fldChar w:fldCharType="begin"/>
                </w:r>
                <w:r>
                  <w:rPr>
                    <w:webHidden/>
                  </w:rPr>
                  <w:instrText xml:space="preserve"> PAGEREF _Toc239002164 \h </w:instrText>
                </w:r>
                <w:r>
                  <w:rPr>
                    <w:webHidden/>
                  </w:rPr>
                </w:r>
                <w:r>
                  <w:rPr>
                    <w:webHidden/>
                  </w:rPr>
                  <w:fldChar w:fldCharType="separate"/>
                </w:r>
                <w:r>
                  <w:rPr>
                    <w:webHidden/>
                  </w:rPr>
                  <w:t>27</w:t>
                </w:r>
                <w:r>
                  <w:rPr>
                    <w:webHidden/>
                  </w:rPr>
                  <w:fldChar w:fldCharType="end"/>
                </w:r>
              </w:hyperlink>
            </w:p>
            <w:p w14:paraId="6556065B" w14:textId="3FAD4543" w:rsidR="007F6073" w:rsidRDefault="00000000">
              <w:pPr>
                <w:pStyle w:val="TOC1"/>
                <w:rPr>
                  <w:rFonts w:asciiTheme="minorHAnsi" w:hAnsiTheme="minorHAnsi"/>
                  <w:b w:val="0"/>
                  <w:color w:val="auto"/>
                </w:rPr>
              </w:pPr>
              <w:hyperlink w:anchor="_Toc239002165" w:history="1">
                <w:r>
                  <w:rPr>
                    <w:rStyle w:val="Hyperlink"/>
                    <w:kern w:val="36"/>
                    <w:lang w:val="en-GB" w:eastAsia="en-GB"/>
                  </w:rPr>
                  <w:t>5</w:t>
                </w:r>
                <w:r>
                  <w:rPr>
                    <w:rFonts w:asciiTheme="minorHAnsi" w:hAnsiTheme="minorHAnsi"/>
                    <w:b w:val="0"/>
                    <w:color w:val="auto"/>
                  </w:rPr>
                  <w:tab/>
                </w:r>
                <w:r>
                  <w:rPr>
                    <w:rStyle w:val="Hyperlink"/>
                  </w:rPr>
                  <w:t>Future Growth, Automation and Innovation</w:t>
                </w:r>
                <w:r>
                  <w:rPr>
                    <w:webHidden/>
                  </w:rPr>
                  <w:tab/>
                </w:r>
                <w:r>
                  <w:rPr>
                    <w:webHidden/>
                  </w:rPr>
                  <w:fldChar w:fldCharType="begin"/>
                </w:r>
                <w:r>
                  <w:rPr>
                    <w:webHidden/>
                  </w:rPr>
                  <w:instrText xml:space="preserve"> PAGEREF _Toc239002165 \h </w:instrText>
                </w:r>
                <w:r>
                  <w:rPr>
                    <w:webHidden/>
                  </w:rPr>
                </w:r>
                <w:r>
                  <w:rPr>
                    <w:webHidden/>
                  </w:rPr>
                  <w:fldChar w:fldCharType="separate"/>
                </w:r>
                <w:r>
                  <w:rPr>
                    <w:webHidden/>
                  </w:rPr>
                  <w:t>28</w:t>
                </w:r>
                <w:r>
                  <w:rPr>
                    <w:webHidden/>
                  </w:rPr>
                  <w:fldChar w:fldCharType="end"/>
                </w:r>
              </w:hyperlink>
            </w:p>
            <w:p w14:paraId="303EC067" w14:textId="3DFC5A19" w:rsidR="007F6073" w:rsidRDefault="00000000">
              <w:pPr>
                <w:pStyle w:val="TOC1"/>
                <w:rPr>
                  <w:rFonts w:asciiTheme="minorHAnsi" w:hAnsiTheme="minorHAnsi"/>
                  <w:b w:val="0"/>
                  <w:color w:val="auto"/>
                </w:rPr>
              </w:pPr>
              <w:hyperlink w:anchor="_Toc239002166" w:history="1">
                <w:r>
                  <w:rPr>
                    <w:rStyle w:val="Hyperlink"/>
                  </w:rPr>
                  <w:t>6</w:t>
                </w:r>
                <w:r>
                  <w:rPr>
                    <w:rFonts w:asciiTheme="minorHAnsi" w:hAnsiTheme="minorHAnsi"/>
                    <w:b w:val="0"/>
                    <w:color w:val="auto"/>
                  </w:rPr>
                  <w:tab/>
                </w:r>
                <w:r>
                  <w:rPr>
                    <w:rStyle w:val="Hyperlink"/>
                  </w:rPr>
                  <w:t>Security, Compliance &amp; Assurance</w:t>
                </w:r>
                <w:r>
                  <w:rPr>
                    <w:webHidden/>
                  </w:rPr>
                  <w:tab/>
                </w:r>
                <w:r>
                  <w:rPr>
                    <w:webHidden/>
                  </w:rPr>
                  <w:fldChar w:fldCharType="begin"/>
                </w:r>
                <w:r>
                  <w:rPr>
                    <w:webHidden/>
                  </w:rPr>
                  <w:instrText xml:space="preserve"> PAGEREF _Toc239002166 \h </w:instrText>
                </w:r>
                <w:r>
                  <w:rPr>
                    <w:webHidden/>
                  </w:rPr>
                </w:r>
                <w:r>
                  <w:rPr>
                    <w:webHidden/>
                  </w:rPr>
                  <w:fldChar w:fldCharType="separate"/>
                </w:r>
                <w:r>
                  <w:rPr>
                    <w:webHidden/>
                  </w:rPr>
                  <w:t>29</w:t>
                </w:r>
                <w:r>
                  <w:rPr>
                    <w:webHidden/>
                  </w:rPr>
                  <w:fldChar w:fldCharType="end"/>
                </w:r>
              </w:hyperlink>
            </w:p>
            <w:p w14:paraId="7268061B" w14:textId="07C6411D" w:rsidR="007F6073" w:rsidRDefault="00000000">
              <w:pPr>
                <w:pStyle w:val="TOC1"/>
                <w:rPr>
                  <w:rFonts w:asciiTheme="minorHAnsi" w:hAnsiTheme="minorHAnsi"/>
                  <w:b w:val="0"/>
                  <w:color w:val="auto"/>
                </w:rPr>
              </w:pPr>
              <w:hyperlink w:anchor="_Toc239002167" w:history="1">
                <w:r>
                  <w:rPr>
                    <w:rStyle w:val="Hyperlink"/>
                  </w:rPr>
                  <w:t>7</w:t>
                </w:r>
                <w:r>
                  <w:rPr>
                    <w:rFonts w:asciiTheme="minorHAnsi" w:hAnsiTheme="minorHAnsi"/>
                    <w:b w:val="0"/>
                    <w:color w:val="auto"/>
                  </w:rPr>
                  <w:tab/>
                </w:r>
                <w:r>
                  <w:rPr>
                    <w:rStyle w:val="Hyperlink"/>
                  </w:rPr>
                  <w:t>Customer Success &amp; Support</w:t>
                </w:r>
                <w:r>
                  <w:rPr>
                    <w:webHidden/>
                  </w:rPr>
                  <w:tab/>
                </w:r>
                <w:r>
                  <w:rPr>
                    <w:webHidden/>
                  </w:rPr>
                  <w:fldChar w:fldCharType="begin"/>
                </w:r>
                <w:r>
                  <w:rPr>
                    <w:webHidden/>
                  </w:rPr>
                  <w:instrText xml:space="preserve"> PAGEREF _Toc239002167 \h </w:instrText>
                </w:r>
                <w:r>
                  <w:rPr>
                    <w:webHidden/>
                  </w:rPr>
                </w:r>
                <w:r>
                  <w:rPr>
                    <w:webHidden/>
                  </w:rPr>
                  <w:fldChar w:fldCharType="separate"/>
                </w:r>
                <w:r>
                  <w:rPr>
                    <w:webHidden/>
                  </w:rPr>
                  <w:t>30</w:t>
                </w:r>
                <w:r>
                  <w:rPr>
                    <w:webHidden/>
                  </w:rPr>
                  <w:fldChar w:fldCharType="end"/>
                </w:r>
              </w:hyperlink>
            </w:p>
            <w:p w14:paraId="1BBF4015" w14:textId="72478BC1" w:rsidR="007F6073" w:rsidRDefault="00000000">
              <w:pPr>
                <w:pStyle w:val="TOC1"/>
                <w:rPr>
                  <w:rFonts w:asciiTheme="minorHAnsi" w:hAnsiTheme="minorHAnsi"/>
                  <w:b w:val="0"/>
                  <w:color w:val="auto"/>
                </w:rPr>
              </w:pPr>
              <w:hyperlink w:anchor="_Toc239002168" w:history="1">
                <w:r>
                  <w:rPr>
                    <w:rStyle w:val="Hyperlink"/>
                  </w:rPr>
                  <w:t>Volume 2 - Transformation &amp; Delivery Proposal</w:t>
                </w:r>
                <w:r>
                  <w:rPr>
                    <w:webHidden/>
                  </w:rPr>
                  <w:tab/>
                </w:r>
                <w:r>
                  <w:rPr>
                    <w:webHidden/>
                  </w:rPr>
                  <w:fldChar w:fldCharType="begin"/>
                </w:r>
                <w:r>
                  <w:rPr>
                    <w:webHidden/>
                  </w:rPr>
                  <w:instrText xml:space="preserve"> PAGEREF _Toc239002168 \h </w:instrText>
                </w:r>
                <w:r>
                  <w:rPr>
                    <w:webHidden/>
                  </w:rPr>
                </w:r>
                <w:r>
                  <w:rPr>
                    <w:webHidden/>
                  </w:rPr>
                  <w:fldChar w:fldCharType="separate"/>
                </w:r>
                <w:r>
                  <w:rPr>
                    <w:webHidden/>
                  </w:rPr>
                  <w:t>32</w:t>
                </w:r>
                <w:r>
                  <w:rPr>
                    <w:webHidden/>
                  </w:rPr>
                  <w:fldChar w:fldCharType="end"/>
                </w:r>
              </w:hyperlink>
            </w:p>
            <w:p w14:paraId="130A2C4A" w14:textId="73888FC6" w:rsidR="007F6073" w:rsidRDefault="00000000">
              <w:pPr>
                <w:pStyle w:val="TOC1"/>
                <w:rPr>
                  <w:rFonts w:asciiTheme="minorHAnsi" w:hAnsiTheme="minorHAnsi"/>
                  <w:b w:val="0"/>
                  <w:color w:val="auto"/>
                </w:rPr>
              </w:pPr>
              <w:hyperlink w:anchor="_Toc239002169" w:history="1">
                <w:r>
                  <w:rPr>
                    <w:rStyle w:val="Hyperlink"/>
                    <w:kern w:val="36"/>
                    <w:lang w:val="en-GB" w:eastAsia="en-GB"/>
                  </w:rPr>
                  <w:t>8</w:t>
                </w:r>
                <w:r>
                  <w:rPr>
                    <w:rFonts w:asciiTheme="minorHAnsi" w:hAnsiTheme="minorHAnsi"/>
                    <w:b w:val="0"/>
                    <w:color w:val="auto"/>
                  </w:rPr>
                  <w:tab/>
                </w:r>
                <w:r>
                  <w:rPr>
                    <w:rStyle w:val="Hyperlink"/>
                  </w:rPr>
                  <w:t>Transformation Roadmap &amp; Phasing</w:t>
                </w:r>
                <w:r>
                  <w:rPr>
                    <w:webHidden/>
                  </w:rPr>
                  <w:tab/>
                </w:r>
                <w:r>
                  <w:rPr>
                    <w:webHidden/>
                  </w:rPr>
                  <w:fldChar w:fldCharType="begin"/>
                </w:r>
                <w:r>
                  <w:rPr>
                    <w:webHidden/>
                  </w:rPr>
                  <w:instrText xml:space="preserve"> PAGEREF _Toc239002169 \h </w:instrText>
                </w:r>
                <w:r>
                  <w:rPr>
                    <w:webHidden/>
                  </w:rPr>
                </w:r>
                <w:r>
                  <w:rPr>
                    <w:webHidden/>
                  </w:rPr>
                  <w:fldChar w:fldCharType="separate"/>
                </w:r>
                <w:r>
                  <w:rPr>
                    <w:webHidden/>
                  </w:rPr>
                  <w:t>32</w:t>
                </w:r>
                <w:r>
                  <w:rPr>
                    <w:webHidden/>
                  </w:rPr>
                  <w:fldChar w:fldCharType="end"/>
                </w:r>
              </w:hyperlink>
            </w:p>
            <w:p w14:paraId="0851D160" w14:textId="051FACF9"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70" w:history="1">
                <w:r>
                  <w:rPr>
                    <w:rStyle w:val="Hyperlink"/>
                  </w:rPr>
                  <w:t>8.1</w:t>
                </w:r>
                <w:r>
                  <w:rPr>
                    <w:rFonts w:asciiTheme="minorHAnsi" w:eastAsiaTheme="minorEastAsia" w:hAnsiTheme="minorHAnsi" w:cstheme="minorBidi"/>
                    <w:b w:val="0"/>
                    <w:bCs w:val="0"/>
                    <w:color w:val="auto"/>
                    <w:kern w:val="2"/>
                    <w:szCs w:val="24"/>
                    <w:lang w:bidi="ar-SA"/>
                    <w14:ligatures w14:val="standardContextual"/>
                  </w:rPr>
                  <w:tab/>
                </w:r>
                <w:r>
                  <w:rPr>
                    <w:rStyle w:val="Hyperlink"/>
                  </w:rPr>
                  <w:t>Business Outcome</w:t>
                </w:r>
                <w:r>
                  <w:rPr>
                    <w:webHidden/>
                  </w:rPr>
                  <w:tab/>
                </w:r>
                <w:r>
                  <w:rPr>
                    <w:webHidden/>
                  </w:rPr>
                  <w:fldChar w:fldCharType="begin"/>
                </w:r>
                <w:r>
                  <w:rPr>
                    <w:webHidden/>
                  </w:rPr>
                  <w:instrText xml:space="preserve"> PAGEREF _Toc239002170 \h </w:instrText>
                </w:r>
                <w:r>
                  <w:rPr>
                    <w:webHidden/>
                  </w:rPr>
                </w:r>
                <w:r>
                  <w:rPr>
                    <w:webHidden/>
                  </w:rPr>
                  <w:fldChar w:fldCharType="separate"/>
                </w:r>
                <w:r>
                  <w:rPr>
                    <w:webHidden/>
                  </w:rPr>
                  <w:t>32</w:t>
                </w:r>
                <w:r>
                  <w:rPr>
                    <w:webHidden/>
                  </w:rPr>
                  <w:fldChar w:fldCharType="end"/>
                </w:r>
              </w:hyperlink>
            </w:p>
            <w:p w14:paraId="45DA1615" w14:textId="21E7852F"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71" w:history="1">
                <w:r>
                  <w:rPr>
                    <w:rStyle w:val="Hyperlink"/>
                  </w:rPr>
                  <w:t>8.2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_Toc239002171 \h </w:instrText>
                </w:r>
                <w:r>
                  <w:rPr>
                    <w:webHidden/>
                  </w:rPr>
                </w:r>
                <w:r>
                  <w:rPr>
                    <w:webHidden/>
                  </w:rPr>
                  <w:fldChar w:fldCharType="separate"/>
                </w:r>
                <w:r>
                  <w:rPr>
                    <w:webHidden/>
                  </w:rPr>
                  <w:t>33</w:t>
                </w:r>
                <w:r>
                  <w:rPr>
                    <w:webHidden/>
                  </w:rPr>
                  <w:fldChar w:fldCharType="end"/>
                </w:r>
              </w:hyperlink>
            </w:p>
            <w:p w14:paraId="5A8E0509" w14:textId="283DB198"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72" w:history="1">
                <w:r>
                  <w:rPr>
                    <w:rStyle w:val="Hyperlink"/>
                  </w:rPr>
                  <w:t>8.3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_Toc239002172 \h </w:instrText>
                </w:r>
                <w:r>
                  <w:rPr>
                    <w:webHidden/>
                  </w:rPr>
                </w:r>
                <w:r>
                  <w:rPr>
                    <w:webHidden/>
                  </w:rPr>
                  <w:fldChar w:fldCharType="separate"/>
                </w:r>
                <w:r>
                  <w:rPr>
                    <w:webHidden/>
                  </w:rPr>
                  <w:t>33</w:t>
                </w:r>
                <w:r>
                  <w:rPr>
                    <w:webHidden/>
                  </w:rPr>
                  <w:fldChar w:fldCharType="end"/>
                </w:r>
              </w:hyperlink>
            </w:p>
            <w:p w14:paraId="15640935" w14:textId="6EF8E130"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73" w:history="1">
                <w:r>
                  <w:rPr>
                    <w:rStyle w:val="Hyperlink"/>
                  </w:rPr>
                  <w:t>8.4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_Toc239002173 \h </w:instrText>
                </w:r>
                <w:r>
                  <w:rPr>
                    <w:webHidden/>
                  </w:rPr>
                </w:r>
                <w:r>
                  <w:rPr>
                    <w:webHidden/>
                  </w:rPr>
                  <w:fldChar w:fldCharType="separate"/>
                </w:r>
                <w:r>
                  <w:rPr>
                    <w:webHidden/>
                  </w:rPr>
                  <w:t>34</w:t>
                </w:r>
                <w:r>
                  <w:rPr>
                    <w:webHidden/>
                  </w:rPr>
                  <w:fldChar w:fldCharType="end"/>
                </w:r>
              </w:hyperlink>
            </w:p>
            <w:p w14:paraId="39C1EF0D" w14:textId="2ACBEEDA" w:rsidR="007F6073" w:rsidRDefault="00000000">
              <w:pPr>
                <w:pStyle w:val="TOC1"/>
                <w:rPr>
                  <w:rFonts w:asciiTheme="minorHAnsi" w:hAnsiTheme="minorHAnsi"/>
                  <w:b w:val="0"/>
                  <w:color w:val="auto"/>
                </w:rPr>
              </w:pPr>
              <w:hyperlink w:anchor="_Toc239002174" w:history="1">
                <w:r>
                  <w:rPr>
                    <w:rStyle w:val="Hyperlink"/>
                  </w:rPr>
                  <w:t>9</w:t>
                </w:r>
                <w:r>
                  <w:rPr>
                    <w:rFonts w:asciiTheme="minorHAnsi" w:hAnsiTheme="minorHAnsi"/>
                    <w:b w:val="0"/>
                    <w:color w:val="auto"/>
                  </w:rPr>
                  <w:tab/>
                </w:r>
                <w:r>
                  <w:rPr>
                    <w:rStyle w:val="Hyperlink"/>
                  </w:rPr>
                  <w:t>Delivery Methodology &amp; Execution Model</w:t>
                </w:r>
                <w:r>
                  <w:rPr>
                    <w:webHidden/>
                  </w:rPr>
                  <w:tab/>
                </w:r>
                <w:r>
                  <w:rPr>
                    <w:webHidden/>
                  </w:rPr>
                  <w:fldChar w:fldCharType="begin"/>
                </w:r>
                <w:r>
                  <w:rPr>
                    <w:webHidden/>
                  </w:rPr>
                  <w:instrText xml:space="preserve"> PAGEREF _Toc239002174 \h </w:instrText>
                </w:r>
                <w:r>
                  <w:rPr>
                    <w:webHidden/>
                  </w:rPr>
                </w:r>
                <w:r>
                  <w:rPr>
                    <w:webHidden/>
                  </w:rPr>
                  <w:fldChar w:fldCharType="separate"/>
                </w:r>
                <w:r>
                  <w:rPr>
                    <w:webHidden/>
                  </w:rPr>
                  <w:t>34</w:t>
                </w:r>
                <w:r>
                  <w:rPr>
                    <w:webHidden/>
                  </w:rPr>
                  <w:fldChar w:fldCharType="end"/>
                </w:r>
              </w:hyperlink>
            </w:p>
            <w:p w14:paraId="5FFC936C" w14:textId="764C03E5"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75" w:history="1">
                <w:r>
                  <w:rPr>
                    <w:rStyle w:val="Hyperlink"/>
                  </w:rPr>
                  <w:t>9.1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_Toc239002175 \h </w:instrText>
                </w:r>
                <w:r>
                  <w:rPr>
                    <w:webHidden/>
                  </w:rPr>
                </w:r>
                <w:r>
                  <w:rPr>
                    <w:webHidden/>
                  </w:rPr>
                  <w:fldChar w:fldCharType="separate"/>
                </w:r>
                <w:r>
                  <w:rPr>
                    <w:webHidden/>
                  </w:rPr>
                  <w:t>34</w:t>
                </w:r>
                <w:r>
                  <w:rPr>
                    <w:webHidden/>
                  </w:rPr>
                  <w:fldChar w:fldCharType="end"/>
                </w:r>
              </w:hyperlink>
            </w:p>
            <w:p w14:paraId="77B07DEF" w14:textId="3FB8EB1C"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76" w:history="1">
                <w:r>
                  <w:rPr>
                    <w:rStyle w:val="Hyperlink"/>
                  </w:rPr>
                  <w:t>9.2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_Toc239002176 \h </w:instrText>
                </w:r>
                <w:r>
                  <w:rPr>
                    <w:webHidden/>
                  </w:rPr>
                </w:r>
                <w:r>
                  <w:rPr>
                    <w:webHidden/>
                  </w:rPr>
                  <w:fldChar w:fldCharType="separate"/>
                </w:r>
                <w:r>
                  <w:rPr>
                    <w:webHidden/>
                  </w:rPr>
                  <w:t>35</w:t>
                </w:r>
                <w:r>
                  <w:rPr>
                    <w:webHidden/>
                  </w:rPr>
                  <w:fldChar w:fldCharType="end"/>
                </w:r>
              </w:hyperlink>
            </w:p>
            <w:p w14:paraId="48DC22A6" w14:textId="596B92A2"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77" w:history="1">
                <w:r>
                  <w:rPr>
                    <w:rStyle w:val="Hyperlink"/>
                  </w:rPr>
                  <w:t>9.3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Delivery Responsibilities</w:t>
                </w:r>
                <w:r>
                  <w:rPr>
                    <w:webHidden/>
                  </w:rPr>
                  <w:tab/>
                </w:r>
                <w:r>
                  <w:rPr>
                    <w:webHidden/>
                  </w:rPr>
                  <w:fldChar w:fldCharType="begin"/>
                </w:r>
                <w:r>
                  <w:rPr>
                    <w:webHidden/>
                  </w:rPr>
                  <w:instrText xml:space="preserve"> PAGEREF _Toc239002177 \h </w:instrText>
                </w:r>
                <w:r>
                  <w:rPr>
                    <w:webHidden/>
                  </w:rPr>
                </w:r>
                <w:r>
                  <w:rPr>
                    <w:webHidden/>
                  </w:rPr>
                  <w:fldChar w:fldCharType="separate"/>
                </w:r>
                <w:r>
                  <w:rPr>
                    <w:webHidden/>
                  </w:rPr>
                  <w:t>36</w:t>
                </w:r>
                <w:r>
                  <w:rPr>
                    <w:webHidden/>
                  </w:rPr>
                  <w:fldChar w:fldCharType="end"/>
                </w:r>
              </w:hyperlink>
            </w:p>
            <w:p w14:paraId="402A18A4" w14:textId="0A9AA358"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78" w:history="1">
                <w:r>
                  <w:rPr>
                    <w:rStyle w:val="Hyperlink"/>
                  </w:rPr>
                  <w:t>9.4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_Toc239002178 \h </w:instrText>
                </w:r>
                <w:r>
                  <w:rPr>
                    <w:webHidden/>
                  </w:rPr>
                </w:r>
                <w:r>
                  <w:rPr>
                    <w:webHidden/>
                  </w:rPr>
                  <w:fldChar w:fldCharType="separate"/>
                </w:r>
                <w:r>
                  <w:rPr>
                    <w:webHidden/>
                  </w:rPr>
                  <w:t>36</w:t>
                </w:r>
                <w:r>
                  <w:rPr>
                    <w:webHidden/>
                  </w:rPr>
                  <w:fldChar w:fldCharType="end"/>
                </w:r>
              </w:hyperlink>
            </w:p>
            <w:p w14:paraId="2A00195B" w14:textId="670F2C8A" w:rsidR="007F6073" w:rsidRDefault="00000000">
              <w:pPr>
                <w:pStyle w:val="TOC1"/>
                <w:rPr>
                  <w:rFonts w:asciiTheme="minorHAnsi" w:hAnsiTheme="minorHAnsi"/>
                  <w:b w:val="0"/>
                  <w:color w:val="auto"/>
                </w:rPr>
              </w:pPr>
              <w:hyperlink w:anchor="_Toc239002179" w:history="1">
                <w:r>
                  <w:rPr>
                    <w:rStyle w:val="Hyperlink"/>
                  </w:rPr>
                  <w:t>10</w:t>
                </w:r>
                <w:r>
                  <w:rPr>
                    <w:rFonts w:asciiTheme="minorHAnsi" w:hAnsiTheme="minorHAnsi"/>
                    <w:b w:val="0"/>
                    <w:color w:val="auto"/>
                  </w:rPr>
                  <w:tab/>
                </w:r>
                <w:r>
                  <w:rPr>
                    <w:rStyle w:val="Hyperlink"/>
                  </w:rPr>
                  <w:t>Governance Structure</w:t>
                </w:r>
                <w:r>
                  <w:rPr>
                    <w:webHidden/>
                  </w:rPr>
                  <w:tab/>
                </w:r>
                <w:r>
                  <w:rPr>
                    <w:webHidden/>
                  </w:rPr>
                  <w:fldChar w:fldCharType="begin"/>
                </w:r>
                <w:r>
                  <w:rPr>
                    <w:webHidden/>
                  </w:rPr>
                  <w:instrText xml:space="preserve"> PAGEREF _Toc239002179 \h </w:instrText>
                </w:r>
                <w:r>
                  <w:rPr>
                    <w:webHidden/>
                  </w:rPr>
                </w:r>
                <w:r>
                  <w:rPr>
                    <w:webHidden/>
                  </w:rPr>
                  <w:fldChar w:fldCharType="separate"/>
                </w:r>
                <w:r>
                  <w:rPr>
                    <w:webHidden/>
                  </w:rPr>
                  <w:t>37</w:t>
                </w:r>
                <w:r>
                  <w:rPr>
                    <w:webHidden/>
                  </w:rPr>
                  <w:fldChar w:fldCharType="end"/>
                </w:r>
              </w:hyperlink>
            </w:p>
            <w:p w14:paraId="60D9805D" w14:textId="6614337E"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80" w:history="1">
                <w:r>
                  <w:rPr>
                    <w:rStyle w:val="Hyperlink"/>
                  </w:rPr>
                  <w:t>10.1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_Toc239002180 \h </w:instrText>
                </w:r>
                <w:r>
                  <w:rPr>
                    <w:webHidden/>
                  </w:rPr>
                </w:r>
                <w:r>
                  <w:rPr>
                    <w:webHidden/>
                  </w:rPr>
                  <w:fldChar w:fldCharType="separate"/>
                </w:r>
                <w:r>
                  <w:rPr>
                    <w:webHidden/>
                  </w:rPr>
                  <w:t>37</w:t>
                </w:r>
                <w:r>
                  <w:rPr>
                    <w:webHidden/>
                  </w:rPr>
                  <w:fldChar w:fldCharType="end"/>
                </w:r>
              </w:hyperlink>
            </w:p>
            <w:p w14:paraId="131E547E" w14:textId="4C208278"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81" w:history="1">
                <w:r>
                  <w:rPr>
                    <w:rStyle w:val="Hyperlink"/>
                  </w:rPr>
                  <w:t>10.2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_Toc239002181 \h </w:instrText>
                </w:r>
                <w:r>
                  <w:rPr>
                    <w:webHidden/>
                  </w:rPr>
                </w:r>
                <w:r>
                  <w:rPr>
                    <w:webHidden/>
                  </w:rPr>
                  <w:fldChar w:fldCharType="separate"/>
                </w:r>
                <w:r>
                  <w:rPr>
                    <w:webHidden/>
                  </w:rPr>
                  <w:t>37</w:t>
                </w:r>
                <w:r>
                  <w:rPr>
                    <w:webHidden/>
                  </w:rPr>
                  <w:fldChar w:fldCharType="end"/>
                </w:r>
              </w:hyperlink>
            </w:p>
            <w:p w14:paraId="0D9C1E0C" w14:textId="4BF90C4C"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82" w:history="1">
                <w:r>
                  <w:rPr>
                    <w:rStyle w:val="Hyperlink"/>
                  </w:rPr>
                  <w:t>10.3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_Toc239002182 \h </w:instrText>
                </w:r>
                <w:r>
                  <w:rPr>
                    <w:webHidden/>
                  </w:rPr>
                </w:r>
                <w:r>
                  <w:rPr>
                    <w:webHidden/>
                  </w:rPr>
                  <w:fldChar w:fldCharType="separate"/>
                </w:r>
                <w:r>
                  <w:rPr>
                    <w:webHidden/>
                  </w:rPr>
                  <w:t>37</w:t>
                </w:r>
                <w:r>
                  <w:rPr>
                    <w:webHidden/>
                  </w:rPr>
                  <w:fldChar w:fldCharType="end"/>
                </w:r>
              </w:hyperlink>
            </w:p>
            <w:p w14:paraId="393975A5" w14:textId="06A26875"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83" w:history="1">
                <w:r>
                  <w:rPr>
                    <w:rStyle w:val="Hyperlink"/>
                  </w:rPr>
                  <w:t>10.4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_Toc239002183 \h </w:instrText>
                </w:r>
                <w:r>
                  <w:rPr>
                    <w:webHidden/>
                  </w:rPr>
                </w:r>
                <w:r>
                  <w:rPr>
                    <w:webHidden/>
                  </w:rPr>
                  <w:fldChar w:fldCharType="separate"/>
                </w:r>
                <w:r>
                  <w:rPr>
                    <w:webHidden/>
                  </w:rPr>
                  <w:t>38</w:t>
                </w:r>
                <w:r>
                  <w:rPr>
                    <w:webHidden/>
                  </w:rPr>
                  <w:fldChar w:fldCharType="end"/>
                </w:r>
              </w:hyperlink>
            </w:p>
            <w:p w14:paraId="6C631920" w14:textId="28830B9B" w:rsidR="007F6073" w:rsidRDefault="00000000">
              <w:pPr>
                <w:pStyle w:val="TOC1"/>
                <w:rPr>
                  <w:rFonts w:asciiTheme="minorHAnsi" w:hAnsiTheme="minorHAnsi"/>
                  <w:b w:val="0"/>
                  <w:color w:val="auto"/>
                </w:rPr>
              </w:pPr>
              <w:hyperlink w:anchor="_Toc239002184" w:history="1">
                <w:r>
                  <w:rPr>
                    <w:rStyle w:val="Hyperlink"/>
                  </w:rPr>
                  <w:t>11</w:t>
                </w:r>
                <w:r>
                  <w:rPr>
                    <w:rFonts w:asciiTheme="minorHAnsi" w:hAnsiTheme="minorHAnsi"/>
                    <w:b w:val="0"/>
                    <w:color w:val="auto"/>
                  </w:rPr>
                  <w:tab/>
                </w:r>
                <w:r>
                  <w:rPr>
                    <w:rStyle w:val="Hyperlink"/>
                  </w:rPr>
                  <w:t>Roles &amp; Responsibilities / RACI</w:t>
                </w:r>
                <w:r>
                  <w:rPr>
                    <w:webHidden/>
                  </w:rPr>
                  <w:tab/>
                </w:r>
                <w:r>
                  <w:rPr>
                    <w:webHidden/>
                  </w:rPr>
                  <w:fldChar w:fldCharType="begin"/>
                </w:r>
                <w:r>
                  <w:rPr>
                    <w:webHidden/>
                  </w:rPr>
                  <w:instrText xml:space="preserve"> PAGEREF _Toc239002184 \h </w:instrText>
                </w:r>
                <w:r>
                  <w:rPr>
                    <w:webHidden/>
                  </w:rPr>
                </w:r>
                <w:r>
                  <w:rPr>
                    <w:webHidden/>
                  </w:rPr>
                  <w:fldChar w:fldCharType="separate"/>
                </w:r>
                <w:r>
                  <w:rPr>
                    <w:webHidden/>
                  </w:rPr>
                  <w:t>39</w:t>
                </w:r>
                <w:r>
                  <w:rPr>
                    <w:webHidden/>
                  </w:rPr>
                  <w:fldChar w:fldCharType="end"/>
                </w:r>
              </w:hyperlink>
            </w:p>
            <w:p w14:paraId="30C7C6D4" w14:textId="107400AB"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85" w:history="1">
                <w:r>
                  <w:rPr>
                    <w:rStyle w:val="Hyperlink"/>
                  </w:rPr>
                  <w:t>11.1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_Toc239002185 \h </w:instrText>
                </w:r>
                <w:r>
                  <w:rPr>
                    <w:webHidden/>
                  </w:rPr>
                </w:r>
                <w:r>
                  <w:rPr>
                    <w:webHidden/>
                  </w:rPr>
                  <w:fldChar w:fldCharType="separate"/>
                </w:r>
                <w:r>
                  <w:rPr>
                    <w:webHidden/>
                  </w:rPr>
                  <w:t>39</w:t>
                </w:r>
                <w:r>
                  <w:rPr>
                    <w:webHidden/>
                  </w:rPr>
                  <w:fldChar w:fldCharType="end"/>
                </w:r>
              </w:hyperlink>
            </w:p>
            <w:p w14:paraId="7B23838F" w14:textId="37730662"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86" w:history="1">
                <w:r>
                  <w:rPr>
                    <w:rStyle w:val="Hyperlink"/>
                  </w:rPr>
                  <w:t>11.2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_Toc239002186 \h </w:instrText>
                </w:r>
                <w:r>
                  <w:rPr>
                    <w:webHidden/>
                  </w:rPr>
                </w:r>
                <w:r>
                  <w:rPr>
                    <w:webHidden/>
                  </w:rPr>
                  <w:fldChar w:fldCharType="separate"/>
                </w:r>
                <w:r>
                  <w:rPr>
                    <w:webHidden/>
                  </w:rPr>
                  <w:t>41</w:t>
                </w:r>
                <w:r>
                  <w:rPr>
                    <w:webHidden/>
                  </w:rPr>
                  <w:fldChar w:fldCharType="end"/>
                </w:r>
              </w:hyperlink>
            </w:p>
            <w:p w14:paraId="1C7B0F45" w14:textId="79BF1562"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87" w:history="1">
                <w:r>
                  <w:rPr>
                    <w:rStyle w:val="Hyperlink"/>
                  </w:rPr>
                  <w:t>11.3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_Toc239002187 \h </w:instrText>
                </w:r>
                <w:r>
                  <w:rPr>
                    <w:webHidden/>
                  </w:rPr>
                </w:r>
                <w:r>
                  <w:rPr>
                    <w:webHidden/>
                  </w:rPr>
                  <w:fldChar w:fldCharType="separate"/>
                </w:r>
                <w:r>
                  <w:rPr>
                    <w:webHidden/>
                  </w:rPr>
                  <w:t>41</w:t>
                </w:r>
                <w:r>
                  <w:rPr>
                    <w:webHidden/>
                  </w:rPr>
                  <w:fldChar w:fldCharType="end"/>
                </w:r>
              </w:hyperlink>
            </w:p>
            <w:p w14:paraId="38058988" w14:textId="632772E4"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88" w:history="1">
                <w:r>
                  <w:rPr>
                    <w:rStyle w:val="Hyperlink"/>
                  </w:rPr>
                  <w:t>11.4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_Toc239002188 \h </w:instrText>
                </w:r>
                <w:r>
                  <w:rPr>
                    <w:webHidden/>
                  </w:rPr>
                </w:r>
                <w:r>
                  <w:rPr>
                    <w:webHidden/>
                  </w:rPr>
                  <w:fldChar w:fldCharType="separate"/>
                </w:r>
                <w:r>
                  <w:rPr>
                    <w:webHidden/>
                  </w:rPr>
                  <w:t>41</w:t>
                </w:r>
                <w:r>
                  <w:rPr>
                    <w:webHidden/>
                  </w:rPr>
                  <w:fldChar w:fldCharType="end"/>
                </w:r>
              </w:hyperlink>
            </w:p>
            <w:p w14:paraId="4779FA7A" w14:textId="7FD266D0" w:rsidR="007F6073" w:rsidRDefault="00000000">
              <w:pPr>
                <w:pStyle w:val="TOC1"/>
                <w:rPr>
                  <w:rFonts w:asciiTheme="minorHAnsi" w:hAnsiTheme="minorHAnsi"/>
                  <w:b w:val="0"/>
                  <w:color w:val="auto"/>
                </w:rPr>
              </w:pPr>
              <w:hyperlink w:anchor="_Toc239002189" w:history="1">
                <w:r>
                  <w:rPr>
                    <w:rStyle w:val="Hyperlink"/>
                  </w:rPr>
                  <w:t>12</w:t>
                </w:r>
                <w:r>
                  <w:rPr>
                    <w:rFonts w:asciiTheme="minorHAnsi" w:hAnsiTheme="minorHAnsi"/>
                    <w:b w:val="0"/>
                    <w:color w:val="auto"/>
                  </w:rPr>
                  <w:tab/>
                </w:r>
                <w:r>
                  <w:rPr>
                    <w:rStyle w:val="Hyperlink"/>
                  </w:rPr>
                  <w:t>Change Control</w:t>
                </w:r>
                <w:r>
                  <w:rPr>
                    <w:webHidden/>
                  </w:rPr>
                  <w:tab/>
                </w:r>
                <w:r>
                  <w:rPr>
                    <w:webHidden/>
                  </w:rPr>
                  <w:fldChar w:fldCharType="begin"/>
                </w:r>
                <w:r>
                  <w:rPr>
                    <w:webHidden/>
                  </w:rPr>
                  <w:instrText xml:space="preserve"> PAGEREF _Toc239002189 \h </w:instrText>
                </w:r>
                <w:r>
                  <w:rPr>
                    <w:webHidden/>
                  </w:rPr>
                </w:r>
                <w:r>
                  <w:rPr>
                    <w:webHidden/>
                  </w:rPr>
                  <w:fldChar w:fldCharType="separate"/>
                </w:r>
                <w:r>
                  <w:rPr>
                    <w:webHidden/>
                  </w:rPr>
                  <w:t>42</w:t>
                </w:r>
                <w:r>
                  <w:rPr>
                    <w:webHidden/>
                  </w:rPr>
                  <w:fldChar w:fldCharType="end"/>
                </w:r>
              </w:hyperlink>
            </w:p>
            <w:p w14:paraId="2D8AEC85" w14:textId="51C7C097"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90" w:history="1">
                <w:r>
                  <w:rPr>
                    <w:rStyle w:val="Hyperlink"/>
                  </w:rPr>
                  <w:t>12.1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_Toc239002190 \h </w:instrText>
                </w:r>
                <w:r>
                  <w:rPr>
                    <w:webHidden/>
                  </w:rPr>
                </w:r>
                <w:r>
                  <w:rPr>
                    <w:webHidden/>
                  </w:rPr>
                  <w:fldChar w:fldCharType="separate"/>
                </w:r>
                <w:r>
                  <w:rPr>
                    <w:webHidden/>
                  </w:rPr>
                  <w:t>42</w:t>
                </w:r>
                <w:r>
                  <w:rPr>
                    <w:webHidden/>
                  </w:rPr>
                  <w:fldChar w:fldCharType="end"/>
                </w:r>
              </w:hyperlink>
            </w:p>
            <w:p w14:paraId="45A067C2" w14:textId="2B745C8D"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91" w:history="1">
                <w:r>
                  <w:rPr>
                    <w:rStyle w:val="Hyperlink"/>
                  </w:rPr>
                  <w:t>12.2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_Toc239002191 \h </w:instrText>
                </w:r>
                <w:r>
                  <w:rPr>
                    <w:webHidden/>
                  </w:rPr>
                </w:r>
                <w:r>
                  <w:rPr>
                    <w:webHidden/>
                  </w:rPr>
                  <w:fldChar w:fldCharType="separate"/>
                </w:r>
                <w:r>
                  <w:rPr>
                    <w:webHidden/>
                  </w:rPr>
                  <w:t>42</w:t>
                </w:r>
                <w:r>
                  <w:rPr>
                    <w:webHidden/>
                  </w:rPr>
                  <w:fldChar w:fldCharType="end"/>
                </w:r>
              </w:hyperlink>
            </w:p>
            <w:p w14:paraId="35B95538" w14:textId="29623FF9"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92" w:history="1">
                <w:r>
                  <w:rPr>
                    <w:rStyle w:val="Hyperlink"/>
                  </w:rPr>
                  <w:t>12.3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_Toc239002192 \h </w:instrText>
                </w:r>
                <w:r>
                  <w:rPr>
                    <w:webHidden/>
                  </w:rPr>
                </w:r>
                <w:r>
                  <w:rPr>
                    <w:webHidden/>
                  </w:rPr>
                  <w:fldChar w:fldCharType="separate"/>
                </w:r>
                <w:r>
                  <w:rPr>
                    <w:webHidden/>
                  </w:rPr>
                  <w:t>42</w:t>
                </w:r>
                <w:r>
                  <w:rPr>
                    <w:webHidden/>
                  </w:rPr>
                  <w:fldChar w:fldCharType="end"/>
                </w:r>
              </w:hyperlink>
            </w:p>
            <w:p w14:paraId="220713B9" w14:textId="733750AE"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93" w:history="1">
                <w:r>
                  <w:rPr>
                    <w:rStyle w:val="Hyperlink"/>
                  </w:rPr>
                  <w:t>12.4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_Toc239002193 \h </w:instrText>
                </w:r>
                <w:r>
                  <w:rPr>
                    <w:webHidden/>
                  </w:rPr>
                </w:r>
                <w:r>
                  <w:rPr>
                    <w:webHidden/>
                  </w:rPr>
                  <w:fldChar w:fldCharType="separate"/>
                </w:r>
                <w:r>
                  <w:rPr>
                    <w:webHidden/>
                  </w:rPr>
                  <w:t>42</w:t>
                </w:r>
                <w:r>
                  <w:rPr>
                    <w:webHidden/>
                  </w:rPr>
                  <w:fldChar w:fldCharType="end"/>
                </w:r>
              </w:hyperlink>
            </w:p>
            <w:p w14:paraId="048C5389" w14:textId="3F1A8839" w:rsidR="007F6073" w:rsidRDefault="00000000">
              <w:pPr>
                <w:pStyle w:val="TOC1"/>
                <w:rPr>
                  <w:rFonts w:asciiTheme="minorHAnsi" w:hAnsiTheme="minorHAnsi"/>
                  <w:b w:val="0"/>
                  <w:color w:val="auto"/>
                </w:rPr>
              </w:pPr>
              <w:hyperlink w:anchor="_Toc239002194" w:history="1">
                <w:r>
                  <w:rPr>
                    <w:rStyle w:val="Hyperlink"/>
                  </w:rPr>
                  <w:t>13</w:t>
                </w:r>
                <w:r>
                  <w:rPr>
                    <w:rFonts w:asciiTheme="minorHAnsi" w:hAnsiTheme="minorHAnsi"/>
                    <w:b w:val="0"/>
                    <w:color w:val="auto"/>
                  </w:rPr>
                  <w:tab/>
                </w:r>
                <w:r>
                  <w:rPr>
                    <w:rStyle w:val="Hyperlink"/>
                  </w:rPr>
                  <w:t>Integration Strategy</w:t>
                </w:r>
                <w:r>
                  <w:rPr>
                    <w:webHidden/>
                  </w:rPr>
                  <w:tab/>
                </w:r>
                <w:r>
                  <w:rPr>
                    <w:webHidden/>
                  </w:rPr>
                  <w:fldChar w:fldCharType="begin"/>
                </w:r>
                <w:r>
                  <w:rPr>
                    <w:webHidden/>
                  </w:rPr>
                  <w:instrText xml:space="preserve"> PAGEREF _Toc239002194 \h </w:instrText>
                </w:r>
                <w:r>
                  <w:rPr>
                    <w:webHidden/>
                  </w:rPr>
                </w:r>
                <w:r>
                  <w:rPr>
                    <w:webHidden/>
                  </w:rPr>
                  <w:fldChar w:fldCharType="separate"/>
                </w:r>
                <w:r>
                  <w:rPr>
                    <w:webHidden/>
                  </w:rPr>
                  <w:t>43</w:t>
                </w:r>
                <w:r>
                  <w:rPr>
                    <w:webHidden/>
                  </w:rPr>
                  <w:fldChar w:fldCharType="end"/>
                </w:r>
              </w:hyperlink>
            </w:p>
            <w:p w14:paraId="166D7282" w14:textId="3A51F924"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95" w:history="1">
                <w:r>
                  <w:rPr>
                    <w:rStyle w:val="Hyperlink"/>
                  </w:rPr>
                  <w:t>13.1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_Toc239002195 \h </w:instrText>
                </w:r>
                <w:r>
                  <w:rPr>
                    <w:webHidden/>
                  </w:rPr>
                </w:r>
                <w:r>
                  <w:rPr>
                    <w:webHidden/>
                  </w:rPr>
                  <w:fldChar w:fldCharType="separate"/>
                </w:r>
                <w:r>
                  <w:rPr>
                    <w:webHidden/>
                  </w:rPr>
                  <w:t>43</w:t>
                </w:r>
                <w:r>
                  <w:rPr>
                    <w:webHidden/>
                  </w:rPr>
                  <w:fldChar w:fldCharType="end"/>
                </w:r>
              </w:hyperlink>
            </w:p>
            <w:p w14:paraId="7FCEA07E" w14:textId="3D66C256"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96" w:history="1">
                <w:r>
                  <w:rPr>
                    <w:rStyle w:val="Hyperlink"/>
                  </w:rPr>
                  <w:t>13.2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_Toc239002196 \h </w:instrText>
                </w:r>
                <w:r>
                  <w:rPr>
                    <w:webHidden/>
                  </w:rPr>
                </w:r>
                <w:r>
                  <w:rPr>
                    <w:webHidden/>
                  </w:rPr>
                  <w:fldChar w:fldCharType="separate"/>
                </w:r>
                <w:r>
                  <w:rPr>
                    <w:webHidden/>
                  </w:rPr>
                  <w:t>43</w:t>
                </w:r>
                <w:r>
                  <w:rPr>
                    <w:webHidden/>
                  </w:rPr>
                  <w:fldChar w:fldCharType="end"/>
                </w:r>
              </w:hyperlink>
            </w:p>
            <w:p w14:paraId="34EFF59D" w14:textId="14158CB0"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97" w:history="1">
                <w:r>
                  <w:rPr>
                    <w:rStyle w:val="Hyperlink"/>
                  </w:rPr>
                  <w:t>13.3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_Toc239002197 \h </w:instrText>
                </w:r>
                <w:r>
                  <w:rPr>
                    <w:webHidden/>
                  </w:rPr>
                </w:r>
                <w:r>
                  <w:rPr>
                    <w:webHidden/>
                  </w:rPr>
                  <w:fldChar w:fldCharType="separate"/>
                </w:r>
                <w:r>
                  <w:rPr>
                    <w:webHidden/>
                  </w:rPr>
                  <w:t>43</w:t>
                </w:r>
                <w:r>
                  <w:rPr>
                    <w:webHidden/>
                  </w:rPr>
                  <w:fldChar w:fldCharType="end"/>
                </w:r>
              </w:hyperlink>
            </w:p>
            <w:p w14:paraId="74AE5AFA" w14:textId="65D7CDA5"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198" w:history="1">
                <w:r>
                  <w:rPr>
                    <w:rStyle w:val="Hyperlink"/>
                  </w:rPr>
                  <w:t>13.4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_Toc239002198 \h </w:instrText>
                </w:r>
                <w:r>
                  <w:rPr>
                    <w:webHidden/>
                  </w:rPr>
                </w:r>
                <w:r>
                  <w:rPr>
                    <w:webHidden/>
                  </w:rPr>
                  <w:fldChar w:fldCharType="separate"/>
                </w:r>
                <w:r>
                  <w:rPr>
                    <w:webHidden/>
                  </w:rPr>
                  <w:t>43</w:t>
                </w:r>
                <w:r>
                  <w:rPr>
                    <w:webHidden/>
                  </w:rPr>
                  <w:fldChar w:fldCharType="end"/>
                </w:r>
              </w:hyperlink>
            </w:p>
            <w:p w14:paraId="5FE52BF1" w14:textId="497D0E88" w:rsidR="007F6073" w:rsidRDefault="00000000">
              <w:pPr>
                <w:pStyle w:val="TOC1"/>
                <w:rPr>
                  <w:rFonts w:asciiTheme="minorHAnsi" w:hAnsiTheme="minorHAnsi"/>
                  <w:b w:val="0"/>
                  <w:color w:val="auto"/>
                </w:rPr>
              </w:pPr>
              <w:hyperlink w:anchor="_Toc239002199" w:history="1">
                <w:r>
                  <w:rPr>
                    <w:rStyle w:val="Hyperlink"/>
                  </w:rPr>
                  <w:t>14</w:t>
                </w:r>
                <w:r>
                  <w:rPr>
                    <w:rFonts w:asciiTheme="minorHAnsi" w:hAnsiTheme="minorHAnsi"/>
                    <w:b w:val="0"/>
                    <w:color w:val="auto"/>
                  </w:rPr>
                  <w:tab/>
                </w:r>
                <w:r>
                  <w:rPr>
                    <w:rStyle w:val="Hyperlink"/>
                  </w:rPr>
                  <w:t>Environment &amp; DevOps Strategy</w:t>
                </w:r>
                <w:r>
                  <w:rPr>
                    <w:webHidden/>
                  </w:rPr>
                  <w:tab/>
                </w:r>
                <w:r>
                  <w:rPr>
                    <w:webHidden/>
                  </w:rPr>
                  <w:fldChar w:fldCharType="begin"/>
                </w:r>
                <w:r>
                  <w:rPr>
                    <w:webHidden/>
                  </w:rPr>
                  <w:instrText xml:space="preserve"> PAGEREF _Toc239002199 \h </w:instrText>
                </w:r>
                <w:r>
                  <w:rPr>
                    <w:webHidden/>
                  </w:rPr>
                </w:r>
                <w:r>
                  <w:rPr>
                    <w:webHidden/>
                  </w:rPr>
                  <w:fldChar w:fldCharType="separate"/>
                </w:r>
                <w:r>
                  <w:rPr>
                    <w:webHidden/>
                  </w:rPr>
                  <w:t>43</w:t>
                </w:r>
                <w:r>
                  <w:rPr>
                    <w:webHidden/>
                  </w:rPr>
                  <w:fldChar w:fldCharType="end"/>
                </w:r>
              </w:hyperlink>
            </w:p>
            <w:p w14:paraId="75D3B7F4" w14:textId="5EB860D0"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00" w:history="1">
                <w:r>
                  <w:rPr>
                    <w:rStyle w:val="Hyperlink"/>
                  </w:rPr>
                  <w:t>14.1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_Toc239002200 \h </w:instrText>
                </w:r>
                <w:r>
                  <w:rPr>
                    <w:webHidden/>
                  </w:rPr>
                </w:r>
                <w:r>
                  <w:rPr>
                    <w:webHidden/>
                  </w:rPr>
                  <w:fldChar w:fldCharType="separate"/>
                </w:r>
                <w:r>
                  <w:rPr>
                    <w:webHidden/>
                  </w:rPr>
                  <w:t>43</w:t>
                </w:r>
                <w:r>
                  <w:rPr>
                    <w:webHidden/>
                  </w:rPr>
                  <w:fldChar w:fldCharType="end"/>
                </w:r>
              </w:hyperlink>
            </w:p>
            <w:p w14:paraId="56451210" w14:textId="24BFC0F3"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01" w:history="1">
                <w:r>
                  <w:rPr>
                    <w:rStyle w:val="Hyperlink"/>
                  </w:rPr>
                  <w:t>14.2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_Toc239002201 \h </w:instrText>
                </w:r>
                <w:r>
                  <w:rPr>
                    <w:webHidden/>
                  </w:rPr>
                </w:r>
                <w:r>
                  <w:rPr>
                    <w:webHidden/>
                  </w:rPr>
                  <w:fldChar w:fldCharType="separate"/>
                </w:r>
                <w:r>
                  <w:rPr>
                    <w:webHidden/>
                  </w:rPr>
                  <w:t>44</w:t>
                </w:r>
                <w:r>
                  <w:rPr>
                    <w:webHidden/>
                  </w:rPr>
                  <w:fldChar w:fldCharType="end"/>
                </w:r>
              </w:hyperlink>
            </w:p>
            <w:p w14:paraId="32D2C48F" w14:textId="72943BA9"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02" w:history="1">
                <w:r>
                  <w:rPr>
                    <w:rStyle w:val="Hyperlink"/>
                  </w:rPr>
                  <w:t>14.3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_Toc239002202 \h </w:instrText>
                </w:r>
                <w:r>
                  <w:rPr>
                    <w:webHidden/>
                  </w:rPr>
                </w:r>
                <w:r>
                  <w:rPr>
                    <w:webHidden/>
                  </w:rPr>
                  <w:fldChar w:fldCharType="separate"/>
                </w:r>
                <w:r>
                  <w:rPr>
                    <w:webHidden/>
                  </w:rPr>
                  <w:t>44</w:t>
                </w:r>
                <w:r>
                  <w:rPr>
                    <w:webHidden/>
                  </w:rPr>
                  <w:fldChar w:fldCharType="end"/>
                </w:r>
              </w:hyperlink>
            </w:p>
            <w:p w14:paraId="5ACB6622" w14:textId="11E349E3"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03" w:history="1">
                <w:r>
                  <w:rPr>
                    <w:rStyle w:val="Hyperlink"/>
                  </w:rPr>
                  <w:t>14.4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_Toc239002203 \h </w:instrText>
                </w:r>
                <w:r>
                  <w:rPr>
                    <w:webHidden/>
                  </w:rPr>
                </w:r>
                <w:r>
                  <w:rPr>
                    <w:webHidden/>
                  </w:rPr>
                  <w:fldChar w:fldCharType="separate"/>
                </w:r>
                <w:r>
                  <w:rPr>
                    <w:webHidden/>
                  </w:rPr>
                  <w:t>44</w:t>
                </w:r>
                <w:r>
                  <w:rPr>
                    <w:webHidden/>
                  </w:rPr>
                  <w:fldChar w:fldCharType="end"/>
                </w:r>
              </w:hyperlink>
            </w:p>
            <w:p w14:paraId="481A0B6E" w14:textId="3936E087" w:rsidR="007F6073" w:rsidRDefault="00000000">
              <w:pPr>
                <w:pStyle w:val="TOC1"/>
                <w:rPr>
                  <w:rFonts w:asciiTheme="minorHAnsi" w:hAnsiTheme="minorHAnsi"/>
                  <w:b w:val="0"/>
                  <w:color w:val="auto"/>
                </w:rPr>
              </w:pPr>
              <w:hyperlink w:anchor="_Toc239002204" w:history="1">
                <w:r>
                  <w:rPr>
                    <w:rStyle w:val="Hyperlink"/>
                  </w:rPr>
                  <w:t>15</w:t>
                </w:r>
                <w:r>
                  <w:rPr>
                    <w:rFonts w:asciiTheme="minorHAnsi" w:hAnsiTheme="minorHAnsi"/>
                    <w:b w:val="0"/>
                    <w:color w:val="auto"/>
                  </w:rPr>
                  <w:tab/>
                </w:r>
                <w:r>
                  <w:rPr>
                    <w:rStyle w:val="Hyperlink"/>
                  </w:rPr>
                  <w:t>Testing &amp; Quality Assurance</w:t>
                </w:r>
                <w:r>
                  <w:rPr>
                    <w:webHidden/>
                  </w:rPr>
                  <w:tab/>
                </w:r>
                <w:r>
                  <w:rPr>
                    <w:webHidden/>
                  </w:rPr>
                  <w:fldChar w:fldCharType="begin"/>
                </w:r>
                <w:r>
                  <w:rPr>
                    <w:webHidden/>
                  </w:rPr>
                  <w:instrText xml:space="preserve"> PAGEREF _Toc239002204 \h </w:instrText>
                </w:r>
                <w:r>
                  <w:rPr>
                    <w:webHidden/>
                  </w:rPr>
                </w:r>
                <w:r>
                  <w:rPr>
                    <w:webHidden/>
                  </w:rPr>
                  <w:fldChar w:fldCharType="separate"/>
                </w:r>
                <w:r>
                  <w:rPr>
                    <w:webHidden/>
                  </w:rPr>
                  <w:t>44</w:t>
                </w:r>
                <w:r>
                  <w:rPr>
                    <w:webHidden/>
                  </w:rPr>
                  <w:fldChar w:fldCharType="end"/>
                </w:r>
              </w:hyperlink>
            </w:p>
            <w:p w14:paraId="2A355613" w14:textId="6B22DBFE"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05" w:history="1">
                <w:r>
                  <w:rPr>
                    <w:rStyle w:val="Hyperlink"/>
                  </w:rPr>
                  <w:t>15.1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_Toc239002205 \h </w:instrText>
                </w:r>
                <w:r>
                  <w:rPr>
                    <w:webHidden/>
                  </w:rPr>
                </w:r>
                <w:r>
                  <w:rPr>
                    <w:webHidden/>
                  </w:rPr>
                  <w:fldChar w:fldCharType="separate"/>
                </w:r>
                <w:r>
                  <w:rPr>
                    <w:webHidden/>
                  </w:rPr>
                  <w:t>44</w:t>
                </w:r>
                <w:r>
                  <w:rPr>
                    <w:webHidden/>
                  </w:rPr>
                  <w:fldChar w:fldCharType="end"/>
                </w:r>
              </w:hyperlink>
            </w:p>
            <w:p w14:paraId="5B33EBF2" w14:textId="4CA0A51A"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06" w:history="1">
                <w:r>
                  <w:rPr>
                    <w:rStyle w:val="Hyperlink"/>
                  </w:rPr>
                  <w:t>15.2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_Toc239002206 \h </w:instrText>
                </w:r>
                <w:r>
                  <w:rPr>
                    <w:webHidden/>
                  </w:rPr>
                </w:r>
                <w:r>
                  <w:rPr>
                    <w:webHidden/>
                  </w:rPr>
                  <w:fldChar w:fldCharType="separate"/>
                </w:r>
                <w:r>
                  <w:rPr>
                    <w:webHidden/>
                  </w:rPr>
                  <w:t>45</w:t>
                </w:r>
                <w:r>
                  <w:rPr>
                    <w:webHidden/>
                  </w:rPr>
                  <w:fldChar w:fldCharType="end"/>
                </w:r>
              </w:hyperlink>
            </w:p>
            <w:p w14:paraId="71EF82F8" w14:textId="4E9BAE1C"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07" w:history="1">
                <w:r>
                  <w:rPr>
                    <w:rStyle w:val="Hyperlink"/>
                  </w:rPr>
                  <w:t>15.3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_Toc239002207 \h </w:instrText>
                </w:r>
                <w:r>
                  <w:rPr>
                    <w:webHidden/>
                  </w:rPr>
                </w:r>
                <w:r>
                  <w:rPr>
                    <w:webHidden/>
                  </w:rPr>
                  <w:fldChar w:fldCharType="separate"/>
                </w:r>
                <w:r>
                  <w:rPr>
                    <w:webHidden/>
                  </w:rPr>
                  <w:t>45</w:t>
                </w:r>
                <w:r>
                  <w:rPr>
                    <w:webHidden/>
                  </w:rPr>
                  <w:fldChar w:fldCharType="end"/>
                </w:r>
              </w:hyperlink>
            </w:p>
            <w:p w14:paraId="0C805F0E" w14:textId="71D21D98"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08" w:history="1">
                <w:r>
                  <w:rPr>
                    <w:rStyle w:val="Hyperlink"/>
                  </w:rPr>
                  <w:t>15.4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_Toc239002208 \h </w:instrText>
                </w:r>
                <w:r>
                  <w:rPr>
                    <w:webHidden/>
                  </w:rPr>
                </w:r>
                <w:r>
                  <w:rPr>
                    <w:webHidden/>
                  </w:rPr>
                  <w:fldChar w:fldCharType="separate"/>
                </w:r>
                <w:r>
                  <w:rPr>
                    <w:webHidden/>
                  </w:rPr>
                  <w:t>46</w:t>
                </w:r>
                <w:r>
                  <w:rPr>
                    <w:webHidden/>
                  </w:rPr>
                  <w:fldChar w:fldCharType="end"/>
                </w:r>
              </w:hyperlink>
            </w:p>
            <w:p w14:paraId="33CB5269" w14:textId="6727AFA2" w:rsidR="007F6073" w:rsidRDefault="00000000">
              <w:pPr>
                <w:pStyle w:val="TOC1"/>
                <w:rPr>
                  <w:rFonts w:asciiTheme="minorHAnsi" w:hAnsiTheme="minorHAnsi"/>
                  <w:b w:val="0"/>
                  <w:color w:val="auto"/>
                </w:rPr>
              </w:pPr>
              <w:hyperlink w:anchor="_Toc239002209" w:history="1">
                <w:r>
                  <w:rPr>
                    <w:rStyle w:val="Hyperlink"/>
                  </w:rPr>
                  <w:t>16</w:t>
                </w:r>
                <w:r>
                  <w:rPr>
                    <w:rFonts w:asciiTheme="minorHAnsi" w:hAnsiTheme="minorHAnsi"/>
                    <w:b w:val="0"/>
                    <w:color w:val="auto"/>
                  </w:rPr>
                  <w:tab/>
                </w:r>
                <w:r>
                  <w:rPr>
                    <w:rStyle w:val="Hyperlink"/>
                  </w:rPr>
                  <w:t>Data Continuity &amp; Migration</w:t>
                </w:r>
                <w:r>
                  <w:rPr>
                    <w:webHidden/>
                  </w:rPr>
                  <w:tab/>
                </w:r>
                <w:r>
                  <w:rPr>
                    <w:webHidden/>
                  </w:rPr>
                  <w:fldChar w:fldCharType="begin"/>
                </w:r>
                <w:r>
                  <w:rPr>
                    <w:webHidden/>
                  </w:rPr>
                  <w:instrText xml:space="preserve"> PAGEREF _Toc239002209 \h </w:instrText>
                </w:r>
                <w:r>
                  <w:rPr>
                    <w:webHidden/>
                  </w:rPr>
                </w:r>
                <w:r>
                  <w:rPr>
                    <w:webHidden/>
                  </w:rPr>
                  <w:fldChar w:fldCharType="separate"/>
                </w:r>
                <w:r>
                  <w:rPr>
                    <w:webHidden/>
                  </w:rPr>
                  <w:t>46</w:t>
                </w:r>
                <w:r>
                  <w:rPr>
                    <w:webHidden/>
                  </w:rPr>
                  <w:fldChar w:fldCharType="end"/>
                </w:r>
              </w:hyperlink>
            </w:p>
            <w:p w14:paraId="1A255413" w14:textId="56B973B8"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10" w:history="1">
                <w:r>
                  <w:rPr>
                    <w:rStyle w:val="Hyperlink"/>
                  </w:rPr>
                  <w:t>16.1</w:t>
                </w:r>
                <w:r>
                  <w:rPr>
                    <w:rFonts w:asciiTheme="minorHAnsi" w:eastAsiaTheme="minorEastAsia" w:hAnsiTheme="minorHAnsi" w:cstheme="minorBidi"/>
                    <w:b w:val="0"/>
                    <w:bCs w:val="0"/>
                    <w:color w:val="auto"/>
                    <w:kern w:val="2"/>
                    <w:szCs w:val="24"/>
                    <w:lang w:bidi="ar-SA"/>
                    <w14:ligatures w14:val="standardContextual"/>
                  </w:rPr>
                  <w:tab/>
                </w:r>
                <w:r>
                  <w:rPr>
                    <w:rStyle w:val="Hyperlink"/>
                  </w:rPr>
                  <w:t>Business Outcome</w:t>
                </w:r>
                <w:r>
                  <w:rPr>
                    <w:webHidden/>
                  </w:rPr>
                  <w:tab/>
                </w:r>
                <w:r>
                  <w:rPr>
                    <w:webHidden/>
                  </w:rPr>
                  <w:fldChar w:fldCharType="begin"/>
                </w:r>
                <w:r>
                  <w:rPr>
                    <w:webHidden/>
                  </w:rPr>
                  <w:instrText xml:space="preserve"> PAGEREF _Toc239002210 \h </w:instrText>
                </w:r>
                <w:r>
                  <w:rPr>
                    <w:webHidden/>
                  </w:rPr>
                </w:r>
                <w:r>
                  <w:rPr>
                    <w:webHidden/>
                  </w:rPr>
                  <w:fldChar w:fldCharType="separate"/>
                </w:r>
                <w:r>
                  <w:rPr>
                    <w:webHidden/>
                  </w:rPr>
                  <w:t>46</w:t>
                </w:r>
                <w:r>
                  <w:rPr>
                    <w:webHidden/>
                  </w:rPr>
                  <w:fldChar w:fldCharType="end"/>
                </w:r>
              </w:hyperlink>
            </w:p>
            <w:p w14:paraId="25170CC9" w14:textId="4B152791"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11" w:history="1">
                <w:r>
                  <w:rPr>
                    <w:rStyle w:val="Hyperlink"/>
                    <w:lang w:val="en-GB"/>
                  </w:rPr>
                  <w:t>16.2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_Toc239002211 \h </w:instrText>
                </w:r>
                <w:r>
                  <w:rPr>
                    <w:webHidden/>
                  </w:rPr>
                </w:r>
                <w:r>
                  <w:rPr>
                    <w:webHidden/>
                  </w:rPr>
                  <w:fldChar w:fldCharType="separate"/>
                </w:r>
                <w:r>
                  <w:rPr>
                    <w:webHidden/>
                  </w:rPr>
                  <w:t>46</w:t>
                </w:r>
                <w:r>
                  <w:rPr>
                    <w:webHidden/>
                  </w:rPr>
                  <w:fldChar w:fldCharType="end"/>
                </w:r>
              </w:hyperlink>
            </w:p>
            <w:p w14:paraId="0052311F" w14:textId="462858EE"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12" w:history="1">
                <w:r>
                  <w:rPr>
                    <w:rStyle w:val="Hyperlink"/>
                  </w:rPr>
                  <w:t>16.3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_Toc239002212 \h </w:instrText>
                </w:r>
                <w:r>
                  <w:rPr>
                    <w:webHidden/>
                  </w:rPr>
                </w:r>
                <w:r>
                  <w:rPr>
                    <w:webHidden/>
                  </w:rPr>
                  <w:fldChar w:fldCharType="separate"/>
                </w:r>
                <w:r>
                  <w:rPr>
                    <w:webHidden/>
                  </w:rPr>
                  <w:t>47</w:t>
                </w:r>
                <w:r>
                  <w:rPr>
                    <w:webHidden/>
                  </w:rPr>
                  <w:fldChar w:fldCharType="end"/>
                </w:r>
              </w:hyperlink>
            </w:p>
            <w:p w14:paraId="6C332B48" w14:textId="37E99125"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13" w:history="1">
                <w:r>
                  <w:rPr>
                    <w:rStyle w:val="Hyperlink"/>
                  </w:rPr>
                  <w:t>16.4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_Toc239002213 \h </w:instrText>
                </w:r>
                <w:r>
                  <w:rPr>
                    <w:webHidden/>
                  </w:rPr>
                </w:r>
                <w:r>
                  <w:rPr>
                    <w:webHidden/>
                  </w:rPr>
                  <w:fldChar w:fldCharType="separate"/>
                </w:r>
                <w:r>
                  <w:rPr>
                    <w:webHidden/>
                  </w:rPr>
                  <w:t>47</w:t>
                </w:r>
                <w:r>
                  <w:rPr>
                    <w:webHidden/>
                  </w:rPr>
                  <w:fldChar w:fldCharType="end"/>
                </w:r>
              </w:hyperlink>
            </w:p>
            <w:p w14:paraId="02104BC4" w14:textId="2D295463" w:rsidR="007F6073" w:rsidRDefault="00000000">
              <w:pPr>
                <w:pStyle w:val="TOC1"/>
                <w:rPr>
                  <w:rFonts w:asciiTheme="minorHAnsi" w:hAnsiTheme="minorHAnsi"/>
                  <w:b w:val="0"/>
                  <w:color w:val="auto"/>
                </w:rPr>
              </w:pPr>
              <w:hyperlink w:anchor="_Toc239002214" w:history="1">
                <w:r>
                  <w:rPr>
                    <w:rStyle w:val="Hyperlink"/>
                  </w:rPr>
                  <w:t>17</w:t>
                </w:r>
                <w:r>
                  <w:rPr>
                    <w:rFonts w:asciiTheme="minorHAnsi" w:hAnsiTheme="minorHAnsi"/>
                    <w:b w:val="0"/>
                    <w:color w:val="auto"/>
                  </w:rPr>
                  <w:tab/>
                </w:r>
                <w:r>
                  <w:rPr>
                    <w:rStyle w:val="Hyperlink"/>
                  </w:rPr>
                  <w:t>Cutover &amp; Go-Live</w:t>
                </w:r>
                <w:r>
                  <w:rPr>
                    <w:webHidden/>
                  </w:rPr>
                  <w:tab/>
                </w:r>
                <w:r>
                  <w:rPr>
                    <w:webHidden/>
                  </w:rPr>
                  <w:fldChar w:fldCharType="begin"/>
                </w:r>
                <w:r>
                  <w:rPr>
                    <w:webHidden/>
                  </w:rPr>
                  <w:instrText xml:space="preserve"> PAGEREF _Toc239002214 \h </w:instrText>
                </w:r>
                <w:r>
                  <w:rPr>
                    <w:webHidden/>
                  </w:rPr>
                </w:r>
                <w:r>
                  <w:rPr>
                    <w:webHidden/>
                  </w:rPr>
                  <w:fldChar w:fldCharType="separate"/>
                </w:r>
                <w:r>
                  <w:rPr>
                    <w:webHidden/>
                  </w:rPr>
                  <w:t>47</w:t>
                </w:r>
                <w:r>
                  <w:rPr>
                    <w:webHidden/>
                  </w:rPr>
                  <w:fldChar w:fldCharType="end"/>
                </w:r>
              </w:hyperlink>
            </w:p>
            <w:p w14:paraId="46376190" w14:textId="32B70E03"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15" w:history="1">
                <w:r>
                  <w:rPr>
                    <w:rStyle w:val="Hyperlink"/>
                  </w:rPr>
                  <w:t>17.1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_Toc239002215 \h </w:instrText>
                </w:r>
                <w:r>
                  <w:rPr>
                    <w:webHidden/>
                  </w:rPr>
                </w:r>
                <w:r>
                  <w:rPr>
                    <w:webHidden/>
                  </w:rPr>
                  <w:fldChar w:fldCharType="separate"/>
                </w:r>
                <w:r>
                  <w:rPr>
                    <w:webHidden/>
                  </w:rPr>
                  <w:t>47</w:t>
                </w:r>
                <w:r>
                  <w:rPr>
                    <w:webHidden/>
                  </w:rPr>
                  <w:fldChar w:fldCharType="end"/>
                </w:r>
              </w:hyperlink>
            </w:p>
            <w:p w14:paraId="55A6B678" w14:textId="4F85AB57"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16" w:history="1">
                <w:r>
                  <w:rPr>
                    <w:rStyle w:val="Hyperlink"/>
                  </w:rPr>
                  <w:t>17.2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_Toc239002216 \h </w:instrText>
                </w:r>
                <w:r>
                  <w:rPr>
                    <w:webHidden/>
                  </w:rPr>
                </w:r>
                <w:r>
                  <w:rPr>
                    <w:webHidden/>
                  </w:rPr>
                  <w:fldChar w:fldCharType="separate"/>
                </w:r>
                <w:r>
                  <w:rPr>
                    <w:webHidden/>
                  </w:rPr>
                  <w:t>47</w:t>
                </w:r>
                <w:r>
                  <w:rPr>
                    <w:webHidden/>
                  </w:rPr>
                  <w:fldChar w:fldCharType="end"/>
                </w:r>
              </w:hyperlink>
            </w:p>
            <w:p w14:paraId="77B2EC50" w14:textId="02E4B900"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17" w:history="1">
                <w:r>
                  <w:rPr>
                    <w:rStyle w:val="Hyperlink"/>
                  </w:rPr>
                  <w:t>17.3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_Toc239002217 \h </w:instrText>
                </w:r>
                <w:r>
                  <w:rPr>
                    <w:webHidden/>
                  </w:rPr>
                </w:r>
                <w:r>
                  <w:rPr>
                    <w:webHidden/>
                  </w:rPr>
                  <w:fldChar w:fldCharType="separate"/>
                </w:r>
                <w:r>
                  <w:rPr>
                    <w:webHidden/>
                  </w:rPr>
                  <w:t>47</w:t>
                </w:r>
                <w:r>
                  <w:rPr>
                    <w:webHidden/>
                  </w:rPr>
                  <w:fldChar w:fldCharType="end"/>
                </w:r>
              </w:hyperlink>
            </w:p>
            <w:p w14:paraId="2620A749" w14:textId="78AC76AF"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18" w:history="1">
                <w:r>
                  <w:rPr>
                    <w:rStyle w:val="Hyperlink"/>
                  </w:rPr>
                  <w:t>17.4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_Toc239002218 \h </w:instrText>
                </w:r>
                <w:r>
                  <w:rPr>
                    <w:webHidden/>
                  </w:rPr>
                </w:r>
                <w:r>
                  <w:rPr>
                    <w:webHidden/>
                  </w:rPr>
                  <w:fldChar w:fldCharType="separate"/>
                </w:r>
                <w:r>
                  <w:rPr>
                    <w:webHidden/>
                  </w:rPr>
                  <w:t>48</w:t>
                </w:r>
                <w:r>
                  <w:rPr>
                    <w:webHidden/>
                  </w:rPr>
                  <w:fldChar w:fldCharType="end"/>
                </w:r>
              </w:hyperlink>
            </w:p>
            <w:p w14:paraId="4DBE567D" w14:textId="661C6DD6" w:rsidR="007F6073" w:rsidRDefault="00000000">
              <w:pPr>
                <w:pStyle w:val="TOC1"/>
                <w:rPr>
                  <w:rFonts w:asciiTheme="minorHAnsi" w:hAnsiTheme="minorHAnsi"/>
                  <w:b w:val="0"/>
                  <w:color w:val="auto"/>
                </w:rPr>
              </w:pPr>
              <w:hyperlink w:anchor="_Toc239002219" w:history="1">
                <w:r>
                  <w:rPr>
                    <w:rStyle w:val="Hyperlink"/>
                  </w:rPr>
                  <w:t>18</w:t>
                </w:r>
                <w:r>
                  <w:rPr>
                    <w:rFonts w:asciiTheme="minorHAnsi" w:hAnsiTheme="minorHAnsi"/>
                    <w:b w:val="0"/>
                    <w:color w:val="auto"/>
                  </w:rPr>
                  <w:tab/>
                </w:r>
                <w:r>
                  <w:rPr>
                    <w:rStyle w:val="Hyperlink"/>
                  </w:rPr>
                  <w:t>Business Readiness &amp; Enablement</w:t>
                </w:r>
                <w:r>
                  <w:rPr>
                    <w:webHidden/>
                  </w:rPr>
                  <w:tab/>
                </w:r>
                <w:r>
                  <w:rPr>
                    <w:webHidden/>
                  </w:rPr>
                  <w:fldChar w:fldCharType="begin"/>
                </w:r>
                <w:r>
                  <w:rPr>
                    <w:webHidden/>
                  </w:rPr>
                  <w:instrText xml:space="preserve"> PAGEREF _Toc239002219 \h </w:instrText>
                </w:r>
                <w:r>
                  <w:rPr>
                    <w:webHidden/>
                  </w:rPr>
                </w:r>
                <w:r>
                  <w:rPr>
                    <w:webHidden/>
                  </w:rPr>
                  <w:fldChar w:fldCharType="separate"/>
                </w:r>
                <w:r>
                  <w:rPr>
                    <w:webHidden/>
                  </w:rPr>
                  <w:t>48</w:t>
                </w:r>
                <w:r>
                  <w:rPr>
                    <w:webHidden/>
                  </w:rPr>
                  <w:fldChar w:fldCharType="end"/>
                </w:r>
              </w:hyperlink>
            </w:p>
            <w:p w14:paraId="1A08D161" w14:textId="2318232C"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20" w:history="1">
                <w:r>
                  <w:rPr>
                    <w:rStyle w:val="Hyperlink"/>
                  </w:rPr>
                  <w:t>18.1</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Business Outcome</w:t>
                </w:r>
                <w:r>
                  <w:rPr>
                    <w:webHidden/>
                  </w:rPr>
                  <w:tab/>
                </w:r>
                <w:r>
                  <w:rPr>
                    <w:webHidden/>
                  </w:rPr>
                  <w:fldChar w:fldCharType="begin"/>
                </w:r>
                <w:r>
                  <w:rPr>
                    <w:webHidden/>
                  </w:rPr>
                  <w:instrText xml:space="preserve"> PAGEREF _Toc239002220 \h </w:instrText>
                </w:r>
                <w:r>
                  <w:rPr>
                    <w:webHidden/>
                  </w:rPr>
                </w:r>
                <w:r>
                  <w:rPr>
                    <w:webHidden/>
                  </w:rPr>
                  <w:fldChar w:fldCharType="separate"/>
                </w:r>
                <w:r>
                  <w:rPr>
                    <w:webHidden/>
                  </w:rPr>
                  <w:t>48</w:t>
                </w:r>
                <w:r>
                  <w:rPr>
                    <w:webHidden/>
                  </w:rPr>
                  <w:fldChar w:fldCharType="end"/>
                </w:r>
              </w:hyperlink>
            </w:p>
            <w:p w14:paraId="5F553327" w14:textId="4C26EDDD"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21" w:history="1">
                <w:r>
                  <w:rPr>
                    <w:rStyle w:val="Hyperlink"/>
                  </w:rPr>
                  <w:t>18.2</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Hansen Approach</w:t>
                </w:r>
                <w:r>
                  <w:rPr>
                    <w:webHidden/>
                  </w:rPr>
                  <w:tab/>
                </w:r>
                <w:r>
                  <w:rPr>
                    <w:webHidden/>
                  </w:rPr>
                  <w:fldChar w:fldCharType="begin"/>
                </w:r>
                <w:r>
                  <w:rPr>
                    <w:webHidden/>
                  </w:rPr>
                  <w:instrText xml:space="preserve"> PAGEREF _Toc239002221 \h </w:instrText>
                </w:r>
                <w:r>
                  <w:rPr>
                    <w:webHidden/>
                  </w:rPr>
                </w:r>
                <w:r>
                  <w:rPr>
                    <w:webHidden/>
                  </w:rPr>
                  <w:fldChar w:fldCharType="separate"/>
                </w:r>
                <w:r>
                  <w:rPr>
                    <w:webHidden/>
                  </w:rPr>
                  <w:t>48</w:t>
                </w:r>
                <w:r>
                  <w:rPr>
                    <w:webHidden/>
                  </w:rPr>
                  <w:fldChar w:fldCharType="end"/>
                </w:r>
              </w:hyperlink>
            </w:p>
            <w:p w14:paraId="629852DB" w14:textId="2AC42BC7"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22" w:history="1">
                <w:r>
                  <w:rPr>
                    <w:rStyle w:val="Hyperlink"/>
                  </w:rPr>
                  <w:t>18.3</w:t>
                </w:r>
                <w:r>
                  <w:rPr>
                    <w:rFonts w:asciiTheme="minorHAnsi" w:eastAsiaTheme="minorEastAsia" w:hAnsiTheme="minorHAnsi" w:cstheme="minorBidi"/>
                    <w:b w:val="0"/>
                    <w:bCs w:val="0"/>
                    <w:color w:val="auto"/>
                    <w:kern w:val="2"/>
                    <w:szCs w:val="24"/>
                    <w:lang w:bidi="ar-SA"/>
                    <w14:ligatures w14:val="standardContextual"/>
                  </w:rPr>
                  <w:tab/>
                </w:r>
                <w:r>
                  <w:rPr>
                    <w:rStyle w:val="Hyperlink"/>
                    <w:lang w:val="en-GB"/>
                  </w:rPr>
                  <w:t>Key Deliverables</w:t>
                </w:r>
                <w:r>
                  <w:rPr>
                    <w:webHidden/>
                  </w:rPr>
                  <w:tab/>
                </w:r>
                <w:r>
                  <w:rPr>
                    <w:webHidden/>
                  </w:rPr>
                  <w:fldChar w:fldCharType="begin"/>
                </w:r>
                <w:r>
                  <w:rPr>
                    <w:webHidden/>
                  </w:rPr>
                  <w:instrText xml:space="preserve"> PAGEREF _Toc239002222 \h </w:instrText>
                </w:r>
                <w:r>
                  <w:rPr>
                    <w:webHidden/>
                  </w:rPr>
                </w:r>
                <w:r>
                  <w:rPr>
                    <w:webHidden/>
                  </w:rPr>
                  <w:fldChar w:fldCharType="separate"/>
                </w:r>
                <w:r>
                  <w:rPr>
                    <w:webHidden/>
                  </w:rPr>
                  <w:t>48</w:t>
                </w:r>
                <w:r>
                  <w:rPr>
                    <w:webHidden/>
                  </w:rPr>
                  <w:fldChar w:fldCharType="end"/>
                </w:r>
              </w:hyperlink>
            </w:p>
            <w:p w14:paraId="08AF86C9" w14:textId="49C88114"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23" w:history="1">
                <w:r>
                  <w:rPr>
                    <w:rStyle w:val="Hyperlink"/>
                  </w:rPr>
                  <w:t>18.4</w:t>
                </w:r>
                <w:r>
                  <w:rPr>
                    <w:rFonts w:asciiTheme="minorHAnsi" w:eastAsiaTheme="minorEastAsia" w:hAnsiTheme="minorHAnsi" w:cstheme="minorBidi"/>
                    <w:b w:val="0"/>
                    <w:bCs w:val="0"/>
                    <w:color w:val="auto"/>
                    <w:kern w:val="2"/>
                    <w:szCs w:val="24"/>
                    <w:lang w:bidi="ar-SA"/>
                    <w14:ligatures w14:val="standardContextual"/>
                  </w:rPr>
                  <w:tab/>
                </w:r>
                <w:r>
                  <w:rPr>
                    <w:rStyle w:val="Hyperlink"/>
                  </w:rPr>
                  <w:t>Success Criteria</w:t>
                </w:r>
                <w:r>
                  <w:rPr>
                    <w:webHidden/>
                  </w:rPr>
                  <w:tab/>
                </w:r>
                <w:r>
                  <w:rPr>
                    <w:webHidden/>
                  </w:rPr>
                  <w:fldChar w:fldCharType="begin"/>
                </w:r>
                <w:r>
                  <w:rPr>
                    <w:webHidden/>
                  </w:rPr>
                  <w:instrText xml:space="preserve"> PAGEREF _Toc239002223 \h </w:instrText>
                </w:r>
                <w:r>
                  <w:rPr>
                    <w:webHidden/>
                  </w:rPr>
                </w:r>
                <w:r>
                  <w:rPr>
                    <w:webHidden/>
                  </w:rPr>
                  <w:fldChar w:fldCharType="separate"/>
                </w:r>
                <w:r>
                  <w:rPr>
                    <w:webHidden/>
                  </w:rPr>
                  <w:t>48</w:t>
                </w:r>
                <w:r>
                  <w:rPr>
                    <w:webHidden/>
                  </w:rPr>
                  <w:fldChar w:fldCharType="end"/>
                </w:r>
              </w:hyperlink>
            </w:p>
            <w:p w14:paraId="50D27DB9" w14:textId="7E84FD8C" w:rsidR="007F6073" w:rsidRDefault="00000000">
              <w:pPr>
                <w:pStyle w:val="TOC1"/>
                <w:rPr>
                  <w:rFonts w:asciiTheme="minorHAnsi" w:hAnsiTheme="minorHAnsi"/>
                  <w:b w:val="0"/>
                  <w:color w:val="auto"/>
                </w:rPr>
              </w:pPr>
              <w:hyperlink w:anchor="_Toc239002224" w:history="1">
                <w:r>
                  <w:rPr>
                    <w:rStyle w:val="Hyperlink"/>
                  </w:rPr>
                  <w:t>19</w:t>
                </w:r>
                <w:r>
                  <w:rPr>
                    <w:rFonts w:asciiTheme="minorHAnsi" w:hAnsiTheme="minorHAnsi"/>
                    <w:b w:val="0"/>
                    <w:color w:val="auto"/>
                  </w:rPr>
                  <w:tab/>
                </w:r>
                <w:r>
                  <w:rPr>
                    <w:rStyle w:val="Hyperlink"/>
                  </w:rPr>
                  <w:t>Assumptions, Dependencies &amp; Exclusions</w:t>
                </w:r>
                <w:r>
                  <w:rPr>
                    <w:webHidden/>
                  </w:rPr>
                  <w:tab/>
                </w:r>
                <w:r>
                  <w:rPr>
                    <w:webHidden/>
                  </w:rPr>
                  <w:fldChar w:fldCharType="begin"/>
                </w:r>
                <w:r>
                  <w:rPr>
                    <w:webHidden/>
                  </w:rPr>
                  <w:instrText xml:space="preserve"> PAGEREF _Toc239002224 \h </w:instrText>
                </w:r>
                <w:r>
                  <w:rPr>
                    <w:webHidden/>
                  </w:rPr>
                </w:r>
                <w:r>
                  <w:rPr>
                    <w:webHidden/>
                  </w:rPr>
                  <w:fldChar w:fldCharType="separate"/>
                </w:r>
                <w:r>
                  <w:rPr>
                    <w:webHidden/>
                  </w:rPr>
                  <w:t>48</w:t>
                </w:r>
                <w:r>
                  <w:rPr>
                    <w:webHidden/>
                  </w:rPr>
                  <w:fldChar w:fldCharType="end"/>
                </w:r>
              </w:hyperlink>
            </w:p>
            <w:p w14:paraId="362DFE98" w14:textId="482DDEF5" w:rsidR="007F6073" w:rsidRDefault="00000000">
              <w:pPr>
                <w:pStyle w:val="TOC1"/>
                <w:rPr>
                  <w:rFonts w:asciiTheme="minorHAnsi" w:hAnsiTheme="minorHAnsi"/>
                  <w:b w:val="0"/>
                  <w:color w:val="auto"/>
                </w:rPr>
              </w:pPr>
              <w:hyperlink w:anchor="_Toc239002225" w:history="1">
                <w:r>
                  <w:rPr>
                    <w:rStyle w:val="Hyperlink"/>
                  </w:rPr>
                  <w:t>20</w:t>
                </w:r>
                <w:r>
                  <w:rPr>
                    <w:rFonts w:asciiTheme="minorHAnsi" w:hAnsiTheme="minorHAnsi"/>
                    <w:b w:val="0"/>
                    <w:color w:val="auto"/>
                  </w:rPr>
                  <w:tab/>
                </w:r>
                <w:r>
                  <w:rPr>
                    <w:rStyle w:val="Hyperlink"/>
                  </w:rPr>
                  <w:t>Annex 6 - Professional Services Response Matrix</w:t>
                </w:r>
                <w:r>
                  <w:rPr>
                    <w:webHidden/>
                  </w:rPr>
                  <w:tab/>
                </w:r>
                <w:r>
                  <w:rPr>
                    <w:webHidden/>
                  </w:rPr>
                  <w:fldChar w:fldCharType="begin"/>
                </w:r>
                <w:r>
                  <w:rPr>
                    <w:webHidden/>
                  </w:rPr>
                  <w:instrText xml:space="preserve"> PAGEREF _Toc239002225 \h </w:instrText>
                </w:r>
                <w:r>
                  <w:rPr>
                    <w:webHidden/>
                  </w:rPr>
                </w:r>
                <w:r>
                  <w:rPr>
                    <w:webHidden/>
                  </w:rPr>
                  <w:fldChar w:fldCharType="separate"/>
                </w:r>
                <w:r>
                  <w:rPr>
                    <w:webHidden/>
                  </w:rPr>
                  <w:t>53</w:t>
                </w:r>
                <w:r>
                  <w:rPr>
                    <w:webHidden/>
                  </w:rPr>
                  <w:fldChar w:fldCharType="end"/>
                </w:r>
              </w:hyperlink>
            </w:p>
            <w:p w14:paraId="1D8CE5A3" w14:textId="04189B64"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26" w:history="1">
                <w:r>
                  <w:rPr>
                    <w:rStyle w:val="Hyperlink"/>
                  </w:rPr>
                  <w:t>20.1</w:t>
                </w:r>
                <w:r>
                  <w:rPr>
                    <w:rFonts w:asciiTheme="minorHAnsi" w:eastAsiaTheme="minorEastAsia" w:hAnsiTheme="minorHAnsi" w:cstheme="minorBidi"/>
                    <w:b w:val="0"/>
                    <w:bCs w:val="0"/>
                    <w:color w:val="auto"/>
                    <w:kern w:val="2"/>
                    <w:szCs w:val="24"/>
                    <w:lang w:bidi="ar-SA"/>
                    <w14:ligatures w14:val="standardContextual"/>
                  </w:rPr>
                  <w:tab/>
                </w:r>
                <w:r>
                  <w:rPr>
                    <w:rStyle w:val="Hyperlink"/>
                  </w:rPr>
                  <w:t>Lifecycle services overview</w:t>
                </w:r>
                <w:r>
                  <w:rPr>
                    <w:webHidden/>
                  </w:rPr>
                  <w:tab/>
                </w:r>
                <w:r>
                  <w:rPr>
                    <w:webHidden/>
                  </w:rPr>
                  <w:fldChar w:fldCharType="begin"/>
                </w:r>
                <w:r>
                  <w:rPr>
                    <w:webHidden/>
                  </w:rPr>
                  <w:instrText xml:space="preserve"> PAGEREF _Toc239002226 \h </w:instrText>
                </w:r>
                <w:r>
                  <w:rPr>
                    <w:webHidden/>
                  </w:rPr>
                </w:r>
                <w:r>
                  <w:rPr>
                    <w:webHidden/>
                  </w:rPr>
                  <w:fldChar w:fldCharType="separate"/>
                </w:r>
                <w:r>
                  <w:rPr>
                    <w:webHidden/>
                  </w:rPr>
                  <w:t>53</w:t>
                </w:r>
                <w:r>
                  <w:rPr>
                    <w:webHidden/>
                  </w:rPr>
                  <w:fldChar w:fldCharType="end"/>
                </w:r>
              </w:hyperlink>
            </w:p>
            <w:p w14:paraId="41525E94" w14:textId="19537B39"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27" w:history="1">
                <w:r>
                  <w:rPr>
                    <w:rStyle w:val="Hyperlink"/>
                  </w:rPr>
                  <w:t>20.2</w:t>
                </w:r>
                <w:r>
                  <w:rPr>
                    <w:rFonts w:asciiTheme="minorHAnsi" w:eastAsiaTheme="minorEastAsia" w:hAnsiTheme="minorHAnsi" w:cstheme="minorBidi"/>
                    <w:b w:val="0"/>
                    <w:bCs w:val="0"/>
                    <w:color w:val="auto"/>
                    <w:kern w:val="2"/>
                    <w:szCs w:val="24"/>
                    <w:lang w:bidi="ar-SA"/>
                    <w14:ligatures w14:val="standardContextual"/>
                  </w:rPr>
                  <w:tab/>
                </w:r>
                <w:r>
                  <w:rPr>
                    <w:rStyle w:val="Hyperlink"/>
                  </w:rPr>
                  <w:t>Annex 6 detailed mapping</w:t>
                </w:r>
                <w:r>
                  <w:rPr>
                    <w:webHidden/>
                  </w:rPr>
                  <w:tab/>
                </w:r>
                <w:r>
                  <w:rPr>
                    <w:webHidden/>
                  </w:rPr>
                  <w:fldChar w:fldCharType="begin"/>
                </w:r>
                <w:r>
                  <w:rPr>
                    <w:webHidden/>
                  </w:rPr>
                  <w:instrText xml:space="preserve"> PAGEREF _Toc239002227 \h </w:instrText>
                </w:r>
                <w:r>
                  <w:rPr>
                    <w:webHidden/>
                  </w:rPr>
                </w:r>
                <w:r>
                  <w:rPr>
                    <w:webHidden/>
                  </w:rPr>
                  <w:fldChar w:fldCharType="separate"/>
                </w:r>
                <w:r>
                  <w:rPr>
                    <w:webHidden/>
                  </w:rPr>
                  <w:t>54</w:t>
                </w:r>
                <w:r>
                  <w:rPr>
                    <w:webHidden/>
                  </w:rPr>
                  <w:fldChar w:fldCharType="end"/>
                </w:r>
              </w:hyperlink>
            </w:p>
            <w:p w14:paraId="10032EBB" w14:textId="64344068"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28" w:history="1">
                <w:r>
                  <w:rPr>
                    <w:rStyle w:val="Hyperlink"/>
                  </w:rPr>
                  <w:t>20.3</w:t>
                </w:r>
                <w:r>
                  <w:rPr>
                    <w:rFonts w:asciiTheme="minorHAnsi" w:eastAsiaTheme="minorEastAsia" w:hAnsiTheme="minorHAnsi" w:cstheme="minorBidi"/>
                    <w:b w:val="0"/>
                    <w:bCs w:val="0"/>
                    <w:color w:val="auto"/>
                    <w:kern w:val="2"/>
                    <w:szCs w:val="24"/>
                    <w:lang w:bidi="ar-SA"/>
                    <w14:ligatures w14:val="standardContextual"/>
                  </w:rPr>
                  <w:tab/>
                </w:r>
                <w:r>
                  <w:rPr>
                    <w:rStyle w:val="Hyperlink"/>
                  </w:rPr>
                  <w:t>Indicative staffing by increment</w:t>
                </w:r>
                <w:r>
                  <w:rPr>
                    <w:webHidden/>
                  </w:rPr>
                  <w:tab/>
                </w:r>
                <w:r>
                  <w:rPr>
                    <w:webHidden/>
                  </w:rPr>
                  <w:fldChar w:fldCharType="begin"/>
                </w:r>
                <w:r>
                  <w:rPr>
                    <w:webHidden/>
                  </w:rPr>
                  <w:instrText xml:space="preserve"> PAGEREF _Toc239002228 \h </w:instrText>
                </w:r>
                <w:r>
                  <w:rPr>
                    <w:webHidden/>
                  </w:rPr>
                </w:r>
                <w:r>
                  <w:rPr>
                    <w:webHidden/>
                  </w:rPr>
                  <w:fldChar w:fldCharType="separate"/>
                </w:r>
                <w:r>
                  <w:rPr>
                    <w:webHidden/>
                  </w:rPr>
                  <w:t>56</w:t>
                </w:r>
                <w:r>
                  <w:rPr>
                    <w:webHidden/>
                  </w:rPr>
                  <w:fldChar w:fldCharType="end"/>
                </w:r>
              </w:hyperlink>
            </w:p>
            <w:p w14:paraId="6524830A" w14:textId="2EBD46FA"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29" w:history="1">
                <w:r>
                  <w:rPr>
                    <w:rStyle w:val="Hyperlink"/>
                  </w:rPr>
                  <w:t>20.4</w:t>
                </w:r>
                <w:r>
                  <w:rPr>
                    <w:rFonts w:asciiTheme="minorHAnsi" w:eastAsiaTheme="minorEastAsia" w:hAnsiTheme="minorHAnsi" w:cstheme="minorBidi"/>
                    <w:b w:val="0"/>
                    <w:bCs w:val="0"/>
                    <w:color w:val="auto"/>
                    <w:kern w:val="2"/>
                    <w:szCs w:val="24"/>
                    <w:lang w:bidi="ar-SA"/>
                    <w14:ligatures w14:val="standardContextual"/>
                  </w:rPr>
                  <w:tab/>
                </w:r>
                <w:r>
                  <w:rPr>
                    <w:rStyle w:val="Hyperlink"/>
                  </w:rPr>
                  <w:t>Service operations and support model</w:t>
                </w:r>
                <w:r>
                  <w:rPr>
                    <w:webHidden/>
                  </w:rPr>
                  <w:tab/>
                </w:r>
                <w:r>
                  <w:rPr>
                    <w:webHidden/>
                  </w:rPr>
                  <w:fldChar w:fldCharType="begin"/>
                </w:r>
                <w:r>
                  <w:rPr>
                    <w:webHidden/>
                  </w:rPr>
                  <w:instrText xml:space="preserve"> PAGEREF _Toc239002229 \h </w:instrText>
                </w:r>
                <w:r>
                  <w:rPr>
                    <w:webHidden/>
                  </w:rPr>
                </w:r>
                <w:r>
                  <w:rPr>
                    <w:webHidden/>
                  </w:rPr>
                  <w:fldChar w:fldCharType="separate"/>
                </w:r>
                <w:r>
                  <w:rPr>
                    <w:webHidden/>
                  </w:rPr>
                  <w:t>57</w:t>
                </w:r>
                <w:r>
                  <w:rPr>
                    <w:webHidden/>
                  </w:rPr>
                  <w:fldChar w:fldCharType="end"/>
                </w:r>
              </w:hyperlink>
            </w:p>
            <w:p w14:paraId="44C3FEEF" w14:textId="1AA32D15"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30" w:history="1">
                <w:r>
                  <w:rPr>
                    <w:rStyle w:val="Hyperlink"/>
                  </w:rPr>
                  <w:t>20.5</w:t>
                </w:r>
                <w:r>
                  <w:rPr>
                    <w:rFonts w:asciiTheme="minorHAnsi" w:eastAsiaTheme="minorEastAsia" w:hAnsiTheme="minorHAnsi" w:cstheme="minorBidi"/>
                    <w:b w:val="0"/>
                    <w:bCs w:val="0"/>
                    <w:color w:val="auto"/>
                    <w:kern w:val="2"/>
                    <w:szCs w:val="24"/>
                    <w:lang w:bidi="ar-SA"/>
                    <w14:ligatures w14:val="standardContextual"/>
                  </w:rPr>
                  <w:tab/>
                </w:r>
                <w:r>
                  <w:rPr>
                    <w:rStyle w:val="Hyperlink"/>
                  </w:rPr>
                  <w:t>Defect and bug fixing process</w:t>
                </w:r>
                <w:r>
                  <w:rPr>
                    <w:webHidden/>
                  </w:rPr>
                  <w:tab/>
                </w:r>
                <w:r>
                  <w:rPr>
                    <w:webHidden/>
                  </w:rPr>
                  <w:fldChar w:fldCharType="begin"/>
                </w:r>
                <w:r>
                  <w:rPr>
                    <w:webHidden/>
                  </w:rPr>
                  <w:instrText xml:space="preserve"> PAGEREF _Toc239002230 \h </w:instrText>
                </w:r>
                <w:r>
                  <w:rPr>
                    <w:webHidden/>
                  </w:rPr>
                </w:r>
                <w:r>
                  <w:rPr>
                    <w:webHidden/>
                  </w:rPr>
                  <w:fldChar w:fldCharType="separate"/>
                </w:r>
                <w:r>
                  <w:rPr>
                    <w:webHidden/>
                  </w:rPr>
                  <w:t>58</w:t>
                </w:r>
                <w:r>
                  <w:rPr>
                    <w:webHidden/>
                  </w:rPr>
                  <w:fldChar w:fldCharType="end"/>
                </w:r>
              </w:hyperlink>
            </w:p>
            <w:p w14:paraId="2E17EAAC" w14:textId="40C19793"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31" w:history="1">
                <w:r>
                  <w:rPr>
                    <w:rStyle w:val="Hyperlink"/>
                  </w:rPr>
                  <w:t>20.6</w:t>
                </w:r>
                <w:r>
                  <w:rPr>
                    <w:rFonts w:asciiTheme="minorHAnsi" w:eastAsiaTheme="minorEastAsia" w:hAnsiTheme="minorHAnsi" w:cstheme="minorBidi"/>
                    <w:b w:val="0"/>
                    <w:bCs w:val="0"/>
                    <w:color w:val="auto"/>
                    <w:kern w:val="2"/>
                    <w:szCs w:val="24"/>
                    <w:lang w:bidi="ar-SA"/>
                    <w14:ligatures w14:val="standardContextual"/>
                  </w:rPr>
                  <w:tab/>
                </w:r>
                <w:r>
                  <w:rPr>
                    <w:rStyle w:val="Hyperlink"/>
                  </w:rPr>
                  <w:t>Roadmap governance and change requests</w:t>
                </w:r>
                <w:r>
                  <w:rPr>
                    <w:webHidden/>
                  </w:rPr>
                  <w:tab/>
                </w:r>
                <w:r>
                  <w:rPr>
                    <w:webHidden/>
                  </w:rPr>
                  <w:fldChar w:fldCharType="begin"/>
                </w:r>
                <w:r>
                  <w:rPr>
                    <w:webHidden/>
                  </w:rPr>
                  <w:instrText xml:space="preserve"> PAGEREF _Toc239002231 \h </w:instrText>
                </w:r>
                <w:r>
                  <w:rPr>
                    <w:webHidden/>
                  </w:rPr>
                </w:r>
                <w:r>
                  <w:rPr>
                    <w:webHidden/>
                  </w:rPr>
                  <w:fldChar w:fldCharType="separate"/>
                </w:r>
                <w:r>
                  <w:rPr>
                    <w:webHidden/>
                  </w:rPr>
                  <w:t>59</w:t>
                </w:r>
                <w:r>
                  <w:rPr>
                    <w:webHidden/>
                  </w:rPr>
                  <w:fldChar w:fldCharType="end"/>
                </w:r>
              </w:hyperlink>
            </w:p>
            <w:p w14:paraId="669285C6" w14:textId="1057E289"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32" w:history="1">
                <w:r>
                  <w:rPr>
                    <w:rStyle w:val="Hyperlink"/>
                  </w:rPr>
                  <w:t>20.7</w:t>
                </w:r>
                <w:r>
                  <w:rPr>
                    <w:rFonts w:asciiTheme="minorHAnsi" w:eastAsiaTheme="minorEastAsia" w:hAnsiTheme="minorHAnsi" w:cstheme="minorBidi"/>
                    <w:b w:val="0"/>
                    <w:bCs w:val="0"/>
                    <w:color w:val="auto"/>
                    <w:kern w:val="2"/>
                    <w:szCs w:val="24"/>
                    <w:lang w:bidi="ar-SA"/>
                    <w14:ligatures w14:val="standardContextual"/>
                  </w:rPr>
                  <w:tab/>
                </w:r>
                <w:r>
                  <w:rPr>
                    <w:rStyle w:val="Hyperlink"/>
                  </w:rPr>
                  <w:t>SaaS release and continuous update management</w:t>
                </w:r>
                <w:r>
                  <w:rPr>
                    <w:webHidden/>
                  </w:rPr>
                  <w:tab/>
                </w:r>
                <w:r>
                  <w:rPr>
                    <w:webHidden/>
                  </w:rPr>
                  <w:fldChar w:fldCharType="begin"/>
                </w:r>
                <w:r>
                  <w:rPr>
                    <w:webHidden/>
                  </w:rPr>
                  <w:instrText xml:space="preserve"> PAGEREF _Toc239002232 \h </w:instrText>
                </w:r>
                <w:r>
                  <w:rPr>
                    <w:webHidden/>
                  </w:rPr>
                </w:r>
                <w:r>
                  <w:rPr>
                    <w:webHidden/>
                  </w:rPr>
                  <w:fldChar w:fldCharType="separate"/>
                </w:r>
                <w:r>
                  <w:rPr>
                    <w:webHidden/>
                  </w:rPr>
                  <w:t>59</w:t>
                </w:r>
                <w:r>
                  <w:rPr>
                    <w:webHidden/>
                  </w:rPr>
                  <w:fldChar w:fldCharType="end"/>
                </w:r>
              </w:hyperlink>
            </w:p>
            <w:p w14:paraId="1E22ED1A" w14:textId="3A889AC4"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33" w:history="1">
                <w:r>
                  <w:rPr>
                    <w:rStyle w:val="Hyperlink"/>
                  </w:rPr>
                  <w:t>20.8</w:t>
                </w:r>
                <w:r>
                  <w:rPr>
                    <w:rFonts w:asciiTheme="minorHAnsi" w:eastAsiaTheme="minorEastAsia" w:hAnsiTheme="minorHAnsi" w:cstheme="minorBidi"/>
                    <w:b w:val="0"/>
                    <w:bCs w:val="0"/>
                    <w:color w:val="auto"/>
                    <w:kern w:val="2"/>
                    <w:szCs w:val="24"/>
                    <w:lang w:bidi="ar-SA"/>
                    <w14:ligatures w14:val="standardContextual"/>
                  </w:rPr>
                  <w:tab/>
                </w:r>
                <w:r>
                  <w:rPr>
                    <w:rStyle w:val="Hyperlink"/>
                  </w:rPr>
                  <w:t>New use case implementation pattern</w:t>
                </w:r>
                <w:r>
                  <w:rPr>
                    <w:webHidden/>
                  </w:rPr>
                  <w:tab/>
                </w:r>
                <w:r>
                  <w:rPr>
                    <w:webHidden/>
                  </w:rPr>
                  <w:fldChar w:fldCharType="begin"/>
                </w:r>
                <w:r>
                  <w:rPr>
                    <w:webHidden/>
                  </w:rPr>
                  <w:instrText xml:space="preserve"> PAGEREF _Toc239002233 \h </w:instrText>
                </w:r>
                <w:r>
                  <w:rPr>
                    <w:webHidden/>
                  </w:rPr>
                </w:r>
                <w:r>
                  <w:rPr>
                    <w:webHidden/>
                  </w:rPr>
                  <w:fldChar w:fldCharType="separate"/>
                </w:r>
                <w:r>
                  <w:rPr>
                    <w:webHidden/>
                  </w:rPr>
                  <w:t>60</w:t>
                </w:r>
                <w:r>
                  <w:rPr>
                    <w:webHidden/>
                  </w:rPr>
                  <w:fldChar w:fldCharType="end"/>
                </w:r>
              </w:hyperlink>
            </w:p>
            <w:p w14:paraId="3CEEAEB3" w14:textId="70FC6B9E"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34" w:history="1">
                <w:r>
                  <w:rPr>
                    <w:rStyle w:val="Hyperlink"/>
                  </w:rPr>
                  <w:t>20.9</w:t>
                </w:r>
                <w:r>
                  <w:rPr>
                    <w:rFonts w:asciiTheme="minorHAnsi" w:eastAsiaTheme="minorEastAsia" w:hAnsiTheme="minorHAnsi" w:cstheme="minorBidi"/>
                    <w:b w:val="0"/>
                    <w:bCs w:val="0"/>
                    <w:color w:val="auto"/>
                    <w:kern w:val="2"/>
                    <w:szCs w:val="24"/>
                    <w:lang w:bidi="ar-SA"/>
                    <w14:ligatures w14:val="standardContextual"/>
                  </w:rPr>
                  <w:tab/>
                </w:r>
                <w:r>
                  <w:rPr>
                    <w:rStyle w:val="Hyperlink"/>
                  </w:rPr>
                  <w:t>Exit and data portability</w:t>
                </w:r>
                <w:r>
                  <w:rPr>
                    <w:webHidden/>
                  </w:rPr>
                  <w:tab/>
                </w:r>
                <w:r>
                  <w:rPr>
                    <w:webHidden/>
                  </w:rPr>
                  <w:fldChar w:fldCharType="begin"/>
                </w:r>
                <w:r>
                  <w:rPr>
                    <w:webHidden/>
                  </w:rPr>
                  <w:instrText xml:space="preserve"> PAGEREF _Toc239002234 \h </w:instrText>
                </w:r>
                <w:r>
                  <w:rPr>
                    <w:webHidden/>
                  </w:rPr>
                </w:r>
                <w:r>
                  <w:rPr>
                    <w:webHidden/>
                  </w:rPr>
                  <w:fldChar w:fldCharType="separate"/>
                </w:r>
                <w:r>
                  <w:rPr>
                    <w:webHidden/>
                  </w:rPr>
                  <w:t>60</w:t>
                </w:r>
                <w:r>
                  <w:rPr>
                    <w:webHidden/>
                  </w:rPr>
                  <w:fldChar w:fldCharType="end"/>
                </w:r>
              </w:hyperlink>
            </w:p>
            <w:p w14:paraId="2BB0E1F8" w14:textId="4BD2EA0B" w:rsidR="007F6073" w:rsidRDefault="00000000">
              <w:pPr>
                <w:pStyle w:val="TOC1"/>
                <w:rPr>
                  <w:rFonts w:asciiTheme="minorHAnsi" w:hAnsiTheme="minorHAnsi"/>
                  <w:b w:val="0"/>
                  <w:color w:val="auto"/>
                </w:rPr>
              </w:pPr>
              <w:hyperlink w:anchor="_Toc239002235" w:history="1">
                <w:r>
                  <w:rPr>
                    <w:rStyle w:val="Hyperlink"/>
                  </w:rPr>
                  <w:t>Volume 3 - Corporate, Commercial &amp; Compliance</w:t>
                </w:r>
                <w:r>
                  <w:rPr>
                    <w:webHidden/>
                  </w:rPr>
                  <w:tab/>
                </w:r>
                <w:r>
                  <w:rPr>
                    <w:webHidden/>
                  </w:rPr>
                  <w:fldChar w:fldCharType="begin"/>
                </w:r>
                <w:r>
                  <w:rPr>
                    <w:webHidden/>
                  </w:rPr>
                  <w:instrText xml:space="preserve"> PAGEREF _Toc239002235 \h </w:instrText>
                </w:r>
                <w:r>
                  <w:rPr>
                    <w:webHidden/>
                  </w:rPr>
                </w:r>
                <w:r>
                  <w:rPr>
                    <w:webHidden/>
                  </w:rPr>
                  <w:fldChar w:fldCharType="separate"/>
                </w:r>
                <w:r>
                  <w:rPr>
                    <w:webHidden/>
                  </w:rPr>
                  <w:t>62</w:t>
                </w:r>
                <w:r>
                  <w:rPr>
                    <w:webHidden/>
                  </w:rPr>
                  <w:fldChar w:fldCharType="end"/>
                </w:r>
              </w:hyperlink>
            </w:p>
            <w:p w14:paraId="3BD9B1DF" w14:textId="69D7F53C" w:rsidR="007F6073" w:rsidRDefault="00000000">
              <w:pPr>
                <w:pStyle w:val="TOC1"/>
                <w:rPr>
                  <w:rFonts w:asciiTheme="minorHAnsi" w:hAnsiTheme="minorHAnsi"/>
                  <w:b w:val="0"/>
                  <w:color w:val="auto"/>
                </w:rPr>
              </w:pPr>
              <w:hyperlink w:anchor="_Toc239002236" w:history="1">
                <w:r>
                  <w:rPr>
                    <w:rStyle w:val="Hyperlink"/>
                  </w:rPr>
                  <w:t>21</w:t>
                </w:r>
                <w:r>
                  <w:rPr>
                    <w:rFonts w:asciiTheme="minorHAnsi" w:hAnsiTheme="minorHAnsi"/>
                    <w:b w:val="0"/>
                    <w:color w:val="auto"/>
                  </w:rPr>
                  <w:tab/>
                </w:r>
                <w:r>
                  <w:rPr>
                    <w:rStyle w:val="Hyperlink"/>
                  </w:rPr>
                  <w:t>Hansen Company Profile</w:t>
                </w:r>
                <w:r>
                  <w:rPr>
                    <w:webHidden/>
                  </w:rPr>
                  <w:tab/>
                </w:r>
                <w:r>
                  <w:rPr>
                    <w:webHidden/>
                  </w:rPr>
                  <w:fldChar w:fldCharType="begin"/>
                </w:r>
                <w:r>
                  <w:rPr>
                    <w:webHidden/>
                  </w:rPr>
                  <w:instrText xml:space="preserve"> PAGEREF _Toc239002236 \h </w:instrText>
                </w:r>
                <w:r>
                  <w:rPr>
                    <w:webHidden/>
                  </w:rPr>
                </w:r>
                <w:r>
                  <w:rPr>
                    <w:webHidden/>
                  </w:rPr>
                  <w:fldChar w:fldCharType="separate"/>
                </w:r>
                <w:r>
                  <w:rPr>
                    <w:webHidden/>
                  </w:rPr>
                  <w:t>62</w:t>
                </w:r>
                <w:r>
                  <w:rPr>
                    <w:webHidden/>
                  </w:rPr>
                  <w:fldChar w:fldCharType="end"/>
                </w:r>
              </w:hyperlink>
            </w:p>
            <w:p w14:paraId="29899C7E" w14:textId="07126402"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37" w:history="1">
                <w:r>
                  <w:rPr>
                    <w:rStyle w:val="Hyperlink"/>
                  </w:rPr>
                  <w:t>21.1.</w:t>
                </w:r>
                <w:r>
                  <w:rPr>
                    <w:rFonts w:asciiTheme="minorHAnsi" w:eastAsiaTheme="minorEastAsia" w:hAnsiTheme="minorHAnsi" w:cstheme="minorBidi"/>
                    <w:b w:val="0"/>
                    <w:bCs w:val="0"/>
                    <w:color w:val="auto"/>
                    <w:kern w:val="2"/>
                    <w:szCs w:val="24"/>
                    <w:lang w:bidi="ar-SA"/>
                    <w14:ligatures w14:val="standardContextual"/>
                  </w:rPr>
                  <w:tab/>
                </w:r>
                <w:r>
                  <w:rPr>
                    <w:rStyle w:val="Hyperlink"/>
                  </w:rPr>
                  <w:t>Global scale with long-term industry focus</w:t>
                </w:r>
                <w:r>
                  <w:rPr>
                    <w:webHidden/>
                  </w:rPr>
                  <w:tab/>
                </w:r>
                <w:r>
                  <w:rPr>
                    <w:webHidden/>
                  </w:rPr>
                  <w:fldChar w:fldCharType="begin"/>
                </w:r>
                <w:r>
                  <w:rPr>
                    <w:webHidden/>
                  </w:rPr>
                  <w:instrText xml:space="preserve"> PAGEREF _Toc239002237 \h </w:instrText>
                </w:r>
                <w:r>
                  <w:rPr>
                    <w:webHidden/>
                  </w:rPr>
                </w:r>
                <w:r>
                  <w:rPr>
                    <w:webHidden/>
                  </w:rPr>
                  <w:fldChar w:fldCharType="separate"/>
                </w:r>
                <w:r>
                  <w:rPr>
                    <w:webHidden/>
                  </w:rPr>
                  <w:t>62</w:t>
                </w:r>
                <w:r>
                  <w:rPr>
                    <w:webHidden/>
                  </w:rPr>
                  <w:fldChar w:fldCharType="end"/>
                </w:r>
              </w:hyperlink>
            </w:p>
            <w:p w14:paraId="1F455781" w14:textId="1BD28C64"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38" w:history="1">
                <w:r>
                  <w:rPr>
                    <w:rStyle w:val="Hyperlink"/>
                  </w:rPr>
                  <w:t>21.1</w:t>
                </w:r>
                <w:r>
                  <w:rPr>
                    <w:rFonts w:asciiTheme="minorHAnsi" w:eastAsiaTheme="minorEastAsia" w:hAnsiTheme="minorHAnsi" w:cstheme="minorBidi"/>
                    <w:b w:val="0"/>
                    <w:bCs w:val="0"/>
                    <w:color w:val="auto"/>
                    <w:kern w:val="2"/>
                    <w:szCs w:val="24"/>
                    <w:lang w:bidi="ar-SA"/>
                    <w14:ligatures w14:val="standardContextual"/>
                  </w:rPr>
                  <w:tab/>
                </w:r>
                <w:r>
                  <w:rPr>
                    <w:rStyle w:val="Hyperlink"/>
                  </w:rPr>
                  <w:t>Global Customer Base and Telecom Experience</w:t>
                </w:r>
                <w:r>
                  <w:rPr>
                    <w:webHidden/>
                  </w:rPr>
                  <w:tab/>
                </w:r>
                <w:r>
                  <w:rPr>
                    <w:webHidden/>
                  </w:rPr>
                  <w:fldChar w:fldCharType="begin"/>
                </w:r>
                <w:r>
                  <w:rPr>
                    <w:webHidden/>
                  </w:rPr>
                  <w:instrText xml:space="preserve"> PAGEREF _Toc239002238 \h </w:instrText>
                </w:r>
                <w:r>
                  <w:rPr>
                    <w:webHidden/>
                  </w:rPr>
                </w:r>
                <w:r>
                  <w:rPr>
                    <w:webHidden/>
                  </w:rPr>
                  <w:fldChar w:fldCharType="separate"/>
                </w:r>
                <w:r>
                  <w:rPr>
                    <w:webHidden/>
                  </w:rPr>
                  <w:t>62</w:t>
                </w:r>
                <w:r>
                  <w:rPr>
                    <w:webHidden/>
                  </w:rPr>
                  <w:fldChar w:fldCharType="end"/>
                </w:r>
              </w:hyperlink>
            </w:p>
            <w:p w14:paraId="423ABF83" w14:textId="4F33603F"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39" w:history="1">
                <w:r>
                  <w:rPr>
                    <w:rStyle w:val="Hyperlink"/>
                  </w:rPr>
                  <w:t>21.2</w:t>
                </w:r>
                <w:r>
                  <w:rPr>
                    <w:rFonts w:asciiTheme="minorHAnsi" w:eastAsiaTheme="minorEastAsia" w:hAnsiTheme="minorHAnsi" w:cstheme="minorBidi"/>
                    <w:b w:val="0"/>
                    <w:bCs w:val="0"/>
                    <w:color w:val="auto"/>
                    <w:kern w:val="2"/>
                    <w:szCs w:val="24"/>
                    <w:lang w:bidi="ar-SA"/>
                    <w14:ligatures w14:val="standardContextual"/>
                  </w:rPr>
                  <w:tab/>
                </w:r>
                <w:r>
                  <w:rPr>
                    <w:rStyle w:val="Hyperlink"/>
                  </w:rPr>
                  <w:t>Communications &amp; Media experience relevant to Converged BSS Transformation</w:t>
                </w:r>
                <w:r>
                  <w:rPr>
                    <w:webHidden/>
                  </w:rPr>
                  <w:tab/>
                </w:r>
                <w:r>
                  <w:rPr>
                    <w:webHidden/>
                  </w:rPr>
                  <w:fldChar w:fldCharType="begin"/>
                </w:r>
                <w:r>
                  <w:rPr>
                    <w:webHidden/>
                  </w:rPr>
                  <w:instrText xml:space="preserve"> PAGEREF _Toc239002239 \h </w:instrText>
                </w:r>
                <w:r>
                  <w:rPr>
                    <w:webHidden/>
                  </w:rPr>
                </w:r>
                <w:r>
                  <w:rPr>
                    <w:webHidden/>
                  </w:rPr>
                  <w:fldChar w:fldCharType="separate"/>
                </w:r>
                <w:r>
                  <w:rPr>
                    <w:webHidden/>
                  </w:rPr>
                  <w:t>63</w:t>
                </w:r>
                <w:r>
                  <w:rPr>
                    <w:webHidden/>
                  </w:rPr>
                  <w:fldChar w:fldCharType="end"/>
                </w:r>
              </w:hyperlink>
            </w:p>
            <w:p w14:paraId="62D1E1A6" w14:textId="003FDE8E"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40" w:history="1">
                <w:r>
                  <w:rPr>
                    <w:rStyle w:val="Hyperlink"/>
                  </w:rPr>
                  <w:t>21.3</w:t>
                </w:r>
                <w:r>
                  <w:rPr>
                    <w:rFonts w:asciiTheme="minorHAnsi" w:eastAsiaTheme="minorEastAsia" w:hAnsiTheme="minorHAnsi" w:cstheme="minorBidi"/>
                    <w:b w:val="0"/>
                    <w:bCs w:val="0"/>
                    <w:color w:val="auto"/>
                    <w:kern w:val="2"/>
                    <w:szCs w:val="24"/>
                    <w:lang w:bidi="ar-SA"/>
                    <w14:ligatures w14:val="standardContextual"/>
                  </w:rPr>
                  <w:tab/>
                </w:r>
                <w:r>
                  <w:rPr>
                    <w:rStyle w:val="Hyperlink"/>
                  </w:rPr>
                  <w:t>Why Hansen is a strong fit for Vodaria Group</w:t>
                </w:r>
                <w:r>
                  <w:rPr>
                    <w:webHidden/>
                  </w:rPr>
                  <w:tab/>
                </w:r>
                <w:r>
                  <w:rPr>
                    <w:webHidden/>
                  </w:rPr>
                  <w:fldChar w:fldCharType="begin"/>
                </w:r>
                <w:r>
                  <w:rPr>
                    <w:webHidden/>
                  </w:rPr>
                  <w:instrText xml:space="preserve"> PAGEREF _Toc239002240 \h </w:instrText>
                </w:r>
                <w:r>
                  <w:rPr>
                    <w:webHidden/>
                  </w:rPr>
                </w:r>
                <w:r>
                  <w:rPr>
                    <w:webHidden/>
                  </w:rPr>
                  <w:fldChar w:fldCharType="separate"/>
                </w:r>
                <w:r>
                  <w:rPr>
                    <w:webHidden/>
                  </w:rPr>
                  <w:t>63</w:t>
                </w:r>
                <w:r>
                  <w:rPr>
                    <w:webHidden/>
                  </w:rPr>
                  <w:fldChar w:fldCharType="end"/>
                </w:r>
              </w:hyperlink>
            </w:p>
            <w:p w14:paraId="28CA8E13" w14:textId="7B8F8D2C" w:rsidR="007F6073" w:rsidRDefault="00000000">
              <w:pPr>
                <w:pStyle w:val="TOC1"/>
                <w:rPr>
                  <w:rFonts w:asciiTheme="minorHAnsi" w:hAnsiTheme="minorHAnsi"/>
                  <w:b w:val="0"/>
                  <w:color w:val="auto"/>
                </w:rPr>
              </w:pPr>
              <w:hyperlink w:anchor="_Toc239002241" w:history="1">
                <w:r>
                  <w:rPr>
                    <w:rStyle w:val="Hyperlink"/>
                  </w:rPr>
                  <w:t>22</w:t>
                </w:r>
                <w:r>
                  <w:rPr>
                    <w:rFonts w:asciiTheme="minorHAnsi" w:hAnsiTheme="minorHAnsi"/>
                    <w:b w:val="0"/>
                    <w:color w:val="auto"/>
                  </w:rPr>
                  <w:tab/>
                </w:r>
                <w:r>
                  <w:rPr>
                    <w:rStyle w:val="Hyperlink"/>
                  </w:rPr>
                  <w:t>References</w:t>
                </w:r>
                <w:r>
                  <w:rPr>
                    <w:webHidden/>
                  </w:rPr>
                  <w:tab/>
                </w:r>
                <w:r>
                  <w:rPr>
                    <w:webHidden/>
                  </w:rPr>
                  <w:fldChar w:fldCharType="begin"/>
                </w:r>
                <w:r>
                  <w:rPr>
                    <w:webHidden/>
                  </w:rPr>
                  <w:instrText xml:space="preserve"> PAGEREF _Toc239002241 \h </w:instrText>
                </w:r>
                <w:r>
                  <w:rPr>
                    <w:webHidden/>
                  </w:rPr>
                </w:r>
                <w:r>
                  <w:rPr>
                    <w:webHidden/>
                  </w:rPr>
                  <w:fldChar w:fldCharType="separate"/>
                </w:r>
                <w:r>
                  <w:rPr>
                    <w:webHidden/>
                  </w:rPr>
                  <w:t>63</w:t>
                </w:r>
                <w:r>
                  <w:rPr>
                    <w:webHidden/>
                  </w:rPr>
                  <w:fldChar w:fldCharType="end"/>
                </w:r>
              </w:hyperlink>
            </w:p>
            <w:p w14:paraId="7DB93089" w14:textId="0A6E9D53" w:rsidR="007F6073" w:rsidRDefault="00000000">
              <w:pPr>
                <w:pStyle w:val="TOC1"/>
                <w:rPr>
                  <w:rFonts w:asciiTheme="minorHAnsi" w:hAnsiTheme="minorHAnsi"/>
                  <w:b w:val="0"/>
                  <w:color w:val="auto"/>
                </w:rPr>
              </w:pPr>
              <w:hyperlink w:anchor="_Toc239002242" w:history="1">
                <w:r>
                  <w:rPr>
                    <w:rStyle w:val="Hyperlink"/>
                  </w:rPr>
                  <w:t>23</w:t>
                </w:r>
                <w:r>
                  <w:rPr>
                    <w:rFonts w:asciiTheme="minorHAnsi" w:hAnsiTheme="minorHAnsi"/>
                    <w:b w:val="0"/>
                    <w:color w:val="auto"/>
                  </w:rPr>
                  <w:tab/>
                </w:r>
                <w:r>
                  <w:rPr>
                    <w:rStyle w:val="Hyperlink"/>
                  </w:rPr>
                  <w:t>Commercial Summary</w:t>
                </w:r>
                <w:r>
                  <w:rPr>
                    <w:webHidden/>
                  </w:rPr>
                  <w:tab/>
                </w:r>
                <w:r>
                  <w:rPr>
                    <w:webHidden/>
                  </w:rPr>
                  <w:fldChar w:fldCharType="begin"/>
                </w:r>
                <w:r>
                  <w:rPr>
                    <w:webHidden/>
                  </w:rPr>
                  <w:instrText xml:space="preserve"> PAGEREF _Toc239002242 \h </w:instrText>
                </w:r>
                <w:r>
                  <w:rPr>
                    <w:webHidden/>
                  </w:rPr>
                </w:r>
                <w:r>
                  <w:rPr>
                    <w:webHidden/>
                  </w:rPr>
                  <w:fldChar w:fldCharType="separate"/>
                </w:r>
                <w:r>
                  <w:rPr>
                    <w:webHidden/>
                  </w:rPr>
                  <w:t>64</w:t>
                </w:r>
                <w:r>
                  <w:rPr>
                    <w:webHidden/>
                  </w:rPr>
                  <w:fldChar w:fldCharType="end"/>
                </w:r>
              </w:hyperlink>
            </w:p>
            <w:p w14:paraId="4487FC78" w14:textId="2D6300D7"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43" w:history="1">
                <w:r>
                  <w:rPr>
                    <w:rStyle w:val="Hyperlink"/>
                  </w:rPr>
                  <w:t>23.1</w:t>
                </w:r>
                <w:r>
                  <w:rPr>
                    <w:rFonts w:asciiTheme="minorHAnsi" w:eastAsiaTheme="minorEastAsia" w:hAnsiTheme="minorHAnsi" w:cstheme="minorBidi"/>
                    <w:b w:val="0"/>
                    <w:bCs w:val="0"/>
                    <w:color w:val="auto"/>
                    <w:kern w:val="2"/>
                    <w:szCs w:val="24"/>
                    <w:lang w:bidi="ar-SA"/>
                    <w14:ligatures w14:val="standardContextual"/>
                  </w:rPr>
                  <w:tab/>
                </w:r>
                <w:r>
                  <w:rPr>
                    <w:rStyle w:val="Hyperlink"/>
                  </w:rPr>
                  <w:t>Commercial Assumptions</w:t>
                </w:r>
                <w:r>
                  <w:rPr>
                    <w:webHidden/>
                  </w:rPr>
                  <w:tab/>
                </w:r>
                <w:r>
                  <w:rPr>
                    <w:webHidden/>
                  </w:rPr>
                  <w:fldChar w:fldCharType="begin"/>
                </w:r>
                <w:r>
                  <w:rPr>
                    <w:webHidden/>
                  </w:rPr>
                  <w:instrText xml:space="preserve"> PAGEREF _Toc239002243 \h </w:instrText>
                </w:r>
                <w:r>
                  <w:rPr>
                    <w:webHidden/>
                  </w:rPr>
                </w:r>
                <w:r>
                  <w:rPr>
                    <w:webHidden/>
                  </w:rPr>
                  <w:fldChar w:fldCharType="separate"/>
                </w:r>
                <w:r>
                  <w:rPr>
                    <w:webHidden/>
                  </w:rPr>
                  <w:t>65</w:t>
                </w:r>
                <w:r>
                  <w:rPr>
                    <w:webHidden/>
                  </w:rPr>
                  <w:fldChar w:fldCharType="end"/>
                </w:r>
              </w:hyperlink>
            </w:p>
            <w:p w14:paraId="2FED5572" w14:textId="646127A1"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44" w:history="1">
                <w:r>
                  <w:rPr>
                    <w:rStyle w:val="Hyperlink"/>
                  </w:rPr>
                  <w:t>23.2</w:t>
                </w:r>
                <w:r>
                  <w:rPr>
                    <w:rFonts w:asciiTheme="minorHAnsi" w:eastAsiaTheme="minorEastAsia" w:hAnsiTheme="minorHAnsi" w:cstheme="minorBidi"/>
                    <w:b w:val="0"/>
                    <w:bCs w:val="0"/>
                    <w:color w:val="auto"/>
                    <w:kern w:val="2"/>
                    <w:szCs w:val="24"/>
                    <w:lang w:bidi="ar-SA"/>
                    <w14:ligatures w14:val="standardContextual"/>
                  </w:rPr>
                  <w:tab/>
                </w:r>
                <w:r>
                  <w:rPr>
                    <w:rStyle w:val="Hyperlink"/>
                  </w:rPr>
                  <w:t>Annual Software License</w:t>
                </w:r>
                <w:r>
                  <w:rPr>
                    <w:webHidden/>
                  </w:rPr>
                  <w:tab/>
                </w:r>
                <w:r>
                  <w:rPr>
                    <w:webHidden/>
                  </w:rPr>
                  <w:fldChar w:fldCharType="begin"/>
                </w:r>
                <w:r>
                  <w:rPr>
                    <w:webHidden/>
                  </w:rPr>
                  <w:instrText xml:space="preserve"> PAGEREF _Toc239002244 \h </w:instrText>
                </w:r>
                <w:r>
                  <w:rPr>
                    <w:webHidden/>
                  </w:rPr>
                </w:r>
                <w:r>
                  <w:rPr>
                    <w:webHidden/>
                  </w:rPr>
                  <w:fldChar w:fldCharType="separate"/>
                </w:r>
                <w:r>
                  <w:rPr>
                    <w:webHidden/>
                  </w:rPr>
                  <w:t>66</w:t>
                </w:r>
                <w:r>
                  <w:rPr>
                    <w:webHidden/>
                  </w:rPr>
                  <w:fldChar w:fldCharType="end"/>
                </w:r>
              </w:hyperlink>
            </w:p>
            <w:p w14:paraId="3EF3C5B0" w14:textId="18BC6D6C"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245" w:history="1">
                <w:r>
                  <w:rPr>
                    <w:rStyle w:val="Hyperlink"/>
                  </w:rPr>
                  <w:t>23.2.1</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RGU Definition &amp; Assumptions</w:t>
                </w:r>
                <w:r>
                  <w:rPr>
                    <w:webHidden/>
                  </w:rPr>
                  <w:tab/>
                </w:r>
                <w:r>
                  <w:rPr>
                    <w:webHidden/>
                  </w:rPr>
                  <w:fldChar w:fldCharType="begin"/>
                </w:r>
                <w:r>
                  <w:rPr>
                    <w:webHidden/>
                  </w:rPr>
                  <w:instrText xml:space="preserve"> PAGEREF _Toc239002245 \h </w:instrText>
                </w:r>
                <w:r>
                  <w:rPr>
                    <w:webHidden/>
                  </w:rPr>
                </w:r>
                <w:r>
                  <w:rPr>
                    <w:webHidden/>
                  </w:rPr>
                  <w:fldChar w:fldCharType="separate"/>
                </w:r>
                <w:r>
                  <w:rPr>
                    <w:webHidden/>
                  </w:rPr>
                  <w:t>66</w:t>
                </w:r>
                <w:r>
                  <w:rPr>
                    <w:webHidden/>
                  </w:rPr>
                  <w:fldChar w:fldCharType="end"/>
                </w:r>
              </w:hyperlink>
            </w:p>
            <w:p w14:paraId="28F3D186" w14:textId="1AD8F891"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46" w:history="1">
                <w:r>
                  <w:rPr>
                    <w:rStyle w:val="Hyperlink"/>
                  </w:rPr>
                  <w:t>23.3</w:t>
                </w:r>
                <w:r>
                  <w:rPr>
                    <w:rFonts w:asciiTheme="minorHAnsi" w:eastAsiaTheme="minorEastAsia" w:hAnsiTheme="minorHAnsi" w:cstheme="minorBidi"/>
                    <w:b w:val="0"/>
                    <w:bCs w:val="0"/>
                    <w:color w:val="auto"/>
                    <w:kern w:val="2"/>
                    <w:szCs w:val="24"/>
                    <w:lang w:bidi="ar-SA"/>
                    <w14:ligatures w14:val="standardContextual"/>
                  </w:rPr>
                  <w:tab/>
                </w:r>
                <w:r>
                  <w:rPr>
                    <w:rStyle w:val="Hyperlink"/>
                  </w:rPr>
                  <w:t>RGU Growth Tier Structure</w:t>
                </w:r>
                <w:r>
                  <w:rPr>
                    <w:webHidden/>
                  </w:rPr>
                  <w:tab/>
                </w:r>
                <w:r>
                  <w:rPr>
                    <w:webHidden/>
                  </w:rPr>
                  <w:fldChar w:fldCharType="begin"/>
                </w:r>
                <w:r>
                  <w:rPr>
                    <w:webHidden/>
                  </w:rPr>
                  <w:instrText xml:space="preserve"> PAGEREF _Toc239002246 \h </w:instrText>
                </w:r>
                <w:r>
                  <w:rPr>
                    <w:webHidden/>
                  </w:rPr>
                </w:r>
                <w:r>
                  <w:rPr>
                    <w:webHidden/>
                  </w:rPr>
                  <w:fldChar w:fldCharType="separate"/>
                </w:r>
                <w:r>
                  <w:rPr>
                    <w:webHidden/>
                  </w:rPr>
                  <w:t>67</w:t>
                </w:r>
                <w:r>
                  <w:rPr>
                    <w:webHidden/>
                  </w:rPr>
                  <w:fldChar w:fldCharType="end"/>
                </w:r>
              </w:hyperlink>
            </w:p>
            <w:p w14:paraId="2CB9BA54" w14:textId="5F584C75"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247" w:history="1">
                <w:r>
                  <w:rPr>
                    <w:rStyle w:val="Hyperlink"/>
                  </w:rPr>
                  <w:t>23.3.1</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Delivery Services</w:t>
                </w:r>
                <w:r>
                  <w:rPr>
                    <w:webHidden/>
                  </w:rPr>
                  <w:tab/>
                </w:r>
                <w:r>
                  <w:rPr>
                    <w:webHidden/>
                  </w:rPr>
                  <w:fldChar w:fldCharType="begin"/>
                </w:r>
                <w:r>
                  <w:rPr>
                    <w:webHidden/>
                  </w:rPr>
                  <w:instrText xml:space="preserve"> PAGEREF _Toc239002247 \h </w:instrText>
                </w:r>
                <w:r>
                  <w:rPr>
                    <w:webHidden/>
                  </w:rPr>
                </w:r>
                <w:r>
                  <w:rPr>
                    <w:webHidden/>
                  </w:rPr>
                  <w:fldChar w:fldCharType="separate"/>
                </w:r>
                <w:r>
                  <w:rPr>
                    <w:webHidden/>
                  </w:rPr>
                  <w:t>67</w:t>
                </w:r>
                <w:r>
                  <w:rPr>
                    <w:webHidden/>
                  </w:rPr>
                  <w:fldChar w:fldCharType="end"/>
                </w:r>
              </w:hyperlink>
            </w:p>
            <w:p w14:paraId="6C2DE847" w14:textId="3B32E435" w:rsidR="007F6073" w:rsidRDefault="00000000">
              <w:pPr>
                <w:pStyle w:val="TOC3"/>
                <w:rPr>
                  <w:rFonts w:asciiTheme="minorHAnsi" w:eastAsiaTheme="minorEastAsia" w:hAnsiTheme="minorHAnsi" w:cstheme="minorBidi"/>
                  <w:b w:val="0"/>
                  <w:bCs w:val="0"/>
                  <w:i w:val="0"/>
                  <w:iCs w:val="0"/>
                  <w:color w:val="auto"/>
                  <w:kern w:val="2"/>
                  <w:szCs w:val="24"/>
                  <w:lang w:bidi="ar-SA"/>
                  <w14:ligatures w14:val="standardContextual"/>
                </w:rPr>
              </w:pPr>
              <w:hyperlink w:anchor="_Toc239002248" w:history="1">
                <w:r>
                  <w:rPr>
                    <w:rStyle w:val="Hyperlink"/>
                  </w:rPr>
                  <w:t>23.3.2</w:t>
                </w:r>
                <w:r>
                  <w:rPr>
                    <w:rFonts w:asciiTheme="minorHAnsi" w:eastAsiaTheme="minorEastAsia" w:hAnsiTheme="minorHAnsi" w:cstheme="minorBidi"/>
                    <w:b w:val="0"/>
                    <w:bCs w:val="0"/>
                    <w:i w:val="0"/>
                    <w:iCs w:val="0"/>
                    <w:color w:val="auto"/>
                    <w:kern w:val="2"/>
                    <w:szCs w:val="24"/>
                    <w:lang w:bidi="ar-SA"/>
                    <w14:ligatures w14:val="standardContextual"/>
                  </w:rPr>
                  <w:tab/>
                </w:r>
                <w:r>
                  <w:rPr>
                    <w:rStyle w:val="Hyperlink"/>
                  </w:rPr>
                  <w:t>Commercial Pricing</w:t>
                </w:r>
                <w:r>
                  <w:rPr>
                    <w:webHidden/>
                  </w:rPr>
                  <w:tab/>
                </w:r>
                <w:r>
                  <w:rPr>
                    <w:webHidden/>
                  </w:rPr>
                  <w:fldChar w:fldCharType="begin"/>
                </w:r>
                <w:r>
                  <w:rPr>
                    <w:webHidden/>
                  </w:rPr>
                  <w:instrText xml:space="preserve"> PAGEREF _Toc239002248 \h </w:instrText>
                </w:r>
                <w:r>
                  <w:rPr>
                    <w:webHidden/>
                  </w:rPr>
                </w:r>
                <w:r>
                  <w:rPr>
                    <w:webHidden/>
                  </w:rPr>
                  <w:fldChar w:fldCharType="separate"/>
                </w:r>
                <w:r>
                  <w:rPr>
                    <w:webHidden/>
                  </w:rPr>
                  <w:t>67</w:t>
                </w:r>
                <w:r>
                  <w:rPr>
                    <w:webHidden/>
                  </w:rPr>
                  <w:fldChar w:fldCharType="end"/>
                </w:r>
              </w:hyperlink>
            </w:p>
            <w:p w14:paraId="3834DBBD" w14:textId="2E79CAE1"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49" w:history="1">
                <w:r>
                  <w:rPr>
                    <w:rStyle w:val="Hyperlink"/>
                  </w:rPr>
                  <w:t>23.4</w:t>
                </w:r>
                <w:r>
                  <w:rPr>
                    <w:rFonts w:asciiTheme="minorHAnsi" w:eastAsiaTheme="minorEastAsia" w:hAnsiTheme="minorHAnsi" w:cstheme="minorBidi"/>
                    <w:b w:val="0"/>
                    <w:bCs w:val="0"/>
                    <w:color w:val="auto"/>
                    <w:kern w:val="2"/>
                    <w:szCs w:val="24"/>
                    <w:lang w:bidi="ar-SA"/>
                    <w14:ligatures w14:val="standardContextual"/>
                  </w:rPr>
                  <w:tab/>
                </w:r>
                <w:r>
                  <w:rPr>
                    <w:rStyle w:val="Hyperlink"/>
                  </w:rPr>
                  <w:t>Renewal Protection and CPI Indexation</w:t>
                </w:r>
                <w:r>
                  <w:rPr>
                    <w:webHidden/>
                  </w:rPr>
                  <w:tab/>
                </w:r>
                <w:r>
                  <w:rPr>
                    <w:webHidden/>
                  </w:rPr>
                  <w:fldChar w:fldCharType="begin"/>
                </w:r>
                <w:r>
                  <w:rPr>
                    <w:webHidden/>
                  </w:rPr>
                  <w:instrText xml:space="preserve"> PAGEREF _Toc239002249 \h </w:instrText>
                </w:r>
                <w:r>
                  <w:rPr>
                    <w:webHidden/>
                  </w:rPr>
                </w:r>
                <w:r>
                  <w:rPr>
                    <w:webHidden/>
                  </w:rPr>
                  <w:fldChar w:fldCharType="separate"/>
                </w:r>
                <w:r>
                  <w:rPr>
                    <w:webHidden/>
                  </w:rPr>
                  <w:t>68</w:t>
                </w:r>
                <w:r>
                  <w:rPr>
                    <w:webHidden/>
                  </w:rPr>
                  <w:fldChar w:fldCharType="end"/>
                </w:r>
              </w:hyperlink>
            </w:p>
            <w:p w14:paraId="5EDEA385" w14:textId="7F58A8D6" w:rsidR="007F6073" w:rsidRDefault="00000000">
              <w:pPr>
                <w:pStyle w:val="TOC2"/>
                <w:rPr>
                  <w:rFonts w:asciiTheme="minorHAnsi" w:eastAsiaTheme="minorEastAsia" w:hAnsiTheme="minorHAnsi" w:cstheme="minorBidi"/>
                  <w:b w:val="0"/>
                  <w:bCs w:val="0"/>
                  <w:color w:val="auto"/>
                  <w:kern w:val="2"/>
                  <w:szCs w:val="24"/>
                  <w:lang w:bidi="ar-SA"/>
                  <w14:ligatures w14:val="standardContextual"/>
                </w:rPr>
              </w:pPr>
              <w:hyperlink w:anchor="_Toc239002250" w:history="1">
                <w:r>
                  <w:rPr>
                    <w:rStyle w:val="Hyperlink"/>
                  </w:rPr>
                  <w:t>23.5</w:t>
                </w:r>
                <w:r>
                  <w:rPr>
                    <w:rFonts w:asciiTheme="minorHAnsi" w:eastAsiaTheme="minorEastAsia" w:hAnsiTheme="minorHAnsi" w:cstheme="minorBidi"/>
                    <w:b w:val="0"/>
                    <w:bCs w:val="0"/>
                    <w:color w:val="auto"/>
                    <w:kern w:val="2"/>
                    <w:szCs w:val="24"/>
                    <w:lang w:bidi="ar-SA"/>
                    <w14:ligatures w14:val="standardContextual"/>
                  </w:rPr>
                  <w:tab/>
                </w:r>
                <w:r>
                  <w:rPr>
                    <w:rStyle w:val="Hyperlink"/>
                  </w:rPr>
                  <w:t>Commercial Exclusions and Change Control</w:t>
                </w:r>
                <w:r>
                  <w:rPr>
                    <w:webHidden/>
                  </w:rPr>
                  <w:tab/>
                </w:r>
                <w:r>
                  <w:rPr>
                    <w:webHidden/>
                  </w:rPr>
                  <w:fldChar w:fldCharType="begin"/>
                </w:r>
                <w:r>
                  <w:rPr>
                    <w:webHidden/>
                  </w:rPr>
                  <w:instrText xml:space="preserve"> PAGEREF _Toc239002250 \h </w:instrText>
                </w:r>
                <w:r>
                  <w:rPr>
                    <w:webHidden/>
                  </w:rPr>
                </w:r>
                <w:r>
                  <w:rPr>
                    <w:webHidden/>
                  </w:rPr>
                  <w:fldChar w:fldCharType="separate"/>
                </w:r>
                <w:r>
                  <w:rPr>
                    <w:webHidden/>
                  </w:rPr>
                  <w:t>68</w:t>
                </w:r>
                <w:r>
                  <w:rPr>
                    <w:webHidden/>
                  </w:rPr>
                  <w:fldChar w:fldCharType="end"/>
                </w:r>
              </w:hyperlink>
            </w:p>
            <w:p w14:paraId="1E34188F" w14:textId="713647A1" w:rsidR="007F6073" w:rsidRDefault="00000000">
              <w:pPr>
                <w:pStyle w:val="TOC1"/>
                <w:rPr>
                  <w:rFonts w:asciiTheme="minorHAnsi" w:hAnsiTheme="minorHAnsi"/>
                  <w:b w:val="0"/>
                  <w:color w:val="auto"/>
                </w:rPr>
              </w:pPr>
              <w:hyperlink w:anchor="_Toc239002251" w:history="1">
                <w:r>
                  <w:rPr>
                    <w:rStyle w:val="Hyperlink"/>
                  </w:rPr>
                  <w:t>24</w:t>
                </w:r>
                <w:r>
                  <w:rPr>
                    <w:rFonts w:asciiTheme="minorHAnsi" w:hAnsiTheme="minorHAnsi"/>
                    <w:b w:val="0"/>
                    <w:color w:val="auto"/>
                  </w:rPr>
                  <w:tab/>
                </w:r>
                <w:r>
                  <w:rPr>
                    <w:rStyle w:val="Hyperlink"/>
                  </w:rPr>
                  <w:t>ESG &amp; Sustainability</w:t>
                </w:r>
                <w:r>
                  <w:rPr>
                    <w:webHidden/>
                  </w:rPr>
                  <w:tab/>
                </w:r>
                <w:r>
                  <w:rPr>
                    <w:webHidden/>
                  </w:rPr>
                  <w:fldChar w:fldCharType="begin"/>
                </w:r>
                <w:r>
                  <w:rPr>
                    <w:webHidden/>
                  </w:rPr>
                  <w:instrText xml:space="preserve"> PAGEREF _Toc239002251 \h </w:instrText>
                </w:r>
                <w:r>
                  <w:rPr>
                    <w:webHidden/>
                  </w:rPr>
                </w:r>
                <w:r>
                  <w:rPr>
                    <w:webHidden/>
                  </w:rPr>
                  <w:fldChar w:fldCharType="separate"/>
                </w:r>
                <w:r>
                  <w:rPr>
                    <w:webHidden/>
                  </w:rPr>
                  <w:t>69</w:t>
                </w:r>
                <w:r>
                  <w:rPr>
                    <w:webHidden/>
                  </w:rPr>
                  <w:fldChar w:fldCharType="end"/>
                </w:r>
              </w:hyperlink>
            </w:p>
            <w:p w14:paraId="4F9EE75C" w14:textId="650309F2" w:rsidR="007F6073" w:rsidRDefault="00000000">
              <w:pPr>
                <w:pStyle w:val="TOC1"/>
                <w:rPr>
                  <w:rFonts w:asciiTheme="minorHAnsi" w:hAnsiTheme="minorHAnsi"/>
                  <w:b w:val="0"/>
                  <w:color w:val="auto"/>
                </w:rPr>
              </w:pPr>
              <w:hyperlink w:anchor="_Toc239002252" w:history="1">
                <w:r>
                  <w:rPr>
                    <w:rStyle w:val="Hyperlink"/>
                  </w:rPr>
                  <w:t>25</w:t>
                </w:r>
                <w:r>
                  <w:rPr>
                    <w:rFonts w:asciiTheme="minorHAnsi" w:hAnsiTheme="minorHAnsi"/>
                    <w:b w:val="0"/>
                    <w:color w:val="auto"/>
                  </w:rPr>
                  <w:tab/>
                </w:r>
                <w:r>
                  <w:rPr>
                    <w:rStyle w:val="Hyperlink"/>
                  </w:rPr>
                  <w:t>Appendix A - Compliance Summary</w:t>
                </w:r>
                <w:r>
                  <w:rPr>
                    <w:webHidden/>
                  </w:rPr>
                  <w:tab/>
                </w:r>
                <w:r>
                  <w:rPr>
                    <w:webHidden/>
                  </w:rPr>
                  <w:fldChar w:fldCharType="begin"/>
                </w:r>
                <w:r>
                  <w:rPr>
                    <w:webHidden/>
                  </w:rPr>
                  <w:instrText xml:space="preserve"> PAGEREF _Toc239002252 \h </w:instrText>
                </w:r>
                <w:r>
                  <w:rPr>
                    <w:webHidden/>
                  </w:rPr>
                </w:r>
                <w:r>
                  <w:rPr>
                    <w:webHidden/>
                  </w:rPr>
                  <w:fldChar w:fldCharType="separate"/>
                </w:r>
                <w:r>
                  <w:rPr>
                    <w:webHidden/>
                  </w:rPr>
                  <w:t>70</w:t>
                </w:r>
                <w:r>
                  <w:rPr>
                    <w:webHidden/>
                  </w:rPr>
                  <w:fldChar w:fldCharType="end"/>
                </w:r>
              </w:hyperlink>
            </w:p>
            <w:p w14:paraId="1E1EA438" w14:textId="0D9AD228" w:rsidR="007F6073" w:rsidRDefault="00000000">
              <w:pPr>
                <w:pStyle w:val="TOC1"/>
                <w:rPr>
                  <w:rFonts w:asciiTheme="minorHAnsi" w:hAnsiTheme="minorHAnsi"/>
                  <w:b w:val="0"/>
                  <w:color w:val="auto"/>
                </w:rPr>
              </w:pPr>
              <w:hyperlink w:anchor="_Toc239002253" w:history="1">
                <w:r>
                  <w:rPr>
                    <w:rStyle w:val="Hyperlink"/>
                  </w:rPr>
                  <w:t>26</w:t>
                </w:r>
                <w:r>
                  <w:rPr>
                    <w:rFonts w:asciiTheme="minorHAnsi" w:hAnsiTheme="minorHAnsi"/>
                    <w:b w:val="0"/>
                    <w:color w:val="auto"/>
                  </w:rPr>
                  <w:tab/>
                </w:r>
                <w:r>
                  <w:rPr>
                    <w:rStyle w:val="Hyperlink"/>
                  </w:rPr>
                  <w:t>Appendix B – Environmental Requirement mapping</w:t>
                </w:r>
                <w:r>
                  <w:rPr>
                    <w:webHidden/>
                  </w:rPr>
                  <w:tab/>
                </w:r>
                <w:r>
                  <w:rPr>
                    <w:webHidden/>
                  </w:rPr>
                  <w:fldChar w:fldCharType="begin"/>
                </w:r>
                <w:r>
                  <w:rPr>
                    <w:webHidden/>
                  </w:rPr>
                  <w:instrText xml:space="preserve"> PAGEREF _Toc239002253 \h </w:instrText>
                </w:r>
                <w:r>
                  <w:rPr>
                    <w:webHidden/>
                  </w:rPr>
                </w:r>
                <w:r>
                  <w:rPr>
                    <w:webHidden/>
                  </w:rPr>
                  <w:fldChar w:fldCharType="separate"/>
                </w:r>
                <w:r>
                  <w:rPr>
                    <w:webHidden/>
                  </w:rPr>
                  <w:t>70</w:t>
                </w:r>
                <w:r>
                  <w:rPr>
                    <w:webHidden/>
                  </w:rPr>
                  <w:fldChar w:fldCharType="end"/>
                </w:r>
              </w:hyperlink>
            </w:p>
            <w:p w14:paraId="261F010B" w14:textId="188EAC1F" w:rsidR="007F6073" w:rsidRDefault="00000000">
              <w:pPr>
                <w:pBdr>
                  <w:top w:val="single" w:sz="4" w:space="1" w:color="auto"/>
                  <w:left w:val="single" w:sz="4" w:space="1" w:color="auto"/>
                  <w:bottom w:val="single" w:sz="4" w:space="1" w:color="auto"/>
                  <w:right w:val="single" w:sz="4" w:space="1" w:color="auto"/>
                </w:pBdr>
                <w:rPr>
                  <w:rFonts w:asciiTheme="majorHAnsi" w:hAnsiTheme="majorHAnsi"/>
                  <w:szCs w:val="22"/>
                </w:rPr>
                <w:sectPr w:rsidR="007F6073">
                  <w:headerReference w:type="even" r:id="rId18"/>
                  <w:headerReference w:type="default" r:id="rId19"/>
                  <w:footerReference w:type="default" r:id="rId20"/>
                  <w:headerReference w:type="first" r:id="rId21"/>
                  <w:pgSz w:w="12240" w:h="15840" w:code="1"/>
                  <w:pgMar w:top="1080" w:right="1080" w:bottom="1080" w:left="1080" w:header="527" w:footer="227" w:gutter="0"/>
                  <w:pgNumType w:start="3"/>
                  <w:cols w:space="720"/>
                  <w:docGrid w:linePitch="286"/>
                </w:sectPr>
              </w:pPr>
              <w:r>
                <w:rPr>
                  <w:rFonts w:ascii="Arial Nova" w:eastAsia="Arial" w:hAnsi="Arial Nova" w:cs="Arial"/>
                  <w:b/>
                  <w:noProof/>
                  <w:color w:val="434D54" w:themeColor="accent6"/>
                  <w:kern w:val="2"/>
                  <w:sz w:val="24"/>
                  <w:szCs w:val="24"/>
                  <w:lang w:bidi="en-US"/>
                  <w14:ligatures w14:val="standardContextual"/>
                </w:rPr>
                <w:fldChar w:fldCharType="end"/>
              </w:r>
            </w:p>
          </w:sdtContent>
        </w:sdt>
        <w:p w14:paraId="3939A848" w14:textId="7198E445" w:rsidR="007F6073" w:rsidRDefault="00000000">
          <w:pPr>
            <w:pStyle w:val="Title"/>
          </w:pPr>
          <w:bookmarkStart w:id="1" w:name="_Toc239002146"/>
          <w:r>
            <w:lastRenderedPageBreak/>
            <w:t>Volume 1 - Executive &amp; Solution Proposal</w:t>
          </w:r>
          <w:bookmarkEnd w:id="1"/>
        </w:p>
        <w:p w14:paraId="7D5CD4F0" w14:textId="5B39CA2E" w:rsidR="007F6073" w:rsidRDefault="00000000">
          <w:pPr>
            <w:pStyle w:val="Heading1"/>
          </w:pPr>
          <w:bookmarkStart w:id="2" w:name="_Toc239002147"/>
          <w:r>
            <w:t>Executive Summary</w:t>
          </w:r>
          <w:bookmarkEnd w:id="2"/>
        </w:p>
        <w:p w14:paraId="29A63584" w14:textId="77777777" w:rsidR="007F6073" w:rsidRDefault="00000000">
          <w:pPr>
            <w:spacing w:after="100"/>
            <w:rPr>
              <w:color w:val="auto"/>
              <w:kern w:val="2"/>
              <w:szCs w:val="22"/>
              <w14:ligatures w14:val="standardContextual"/>
            </w:rPr>
          </w:pPr>
          <w:r>
            <w:rPr>
              <w:color w:val="auto"/>
            </w:rPr>
            <w:t>Vodaria Group's Converged BSS Transformation is a strategic transformation of its lead-to-order operating model. As Vodaria Group expands from its strong wholesale heritage into increasingly complex enterprise services, the business requires a scalable platform that can capture customer intent, configure technically valid solutions, apply commercial controls, orchestrate delivery and provide operational visibility with materially less manual coordination. This is not simply a CPQ and Order Management replacement. It is the foundation for how Vodaria Group will sell, deliver and evolve complex connectivity services at enterprise scale.</w:t>
          </w:r>
        </w:p>
        <w:p w14:paraId="1FFE86BB" w14:textId="774B2768" w:rsidR="007F6073" w:rsidRDefault="00000000">
          <w:pPr>
            <w:spacing w:after="100"/>
            <w:rPr>
              <w:color w:val="auto"/>
              <w:lang w:val="en-GB"/>
            </w:rPr>
          </w:pPr>
          <w:r>
            <w:rPr>
              <w:color w:val="auto"/>
            </w:rPr>
            <w:t xml:space="preserve">Hansen is well positioned to support this transformation because our solution is purpose-built for communications service providers managing complex product portfolios, multi-site customer solutions, technical and commercial dependencies, partner ecosystems and high-volume lead-to-order operations. </w:t>
          </w:r>
          <w:r>
            <w:rPr>
              <w:color w:val="auto"/>
              <w:lang w:val="en-GB"/>
            </w:rPr>
            <w:t>Hansen combines telecom-specific Lead-to-Order capabilities with a pragmatic SaaS &amp; delivery approach focused on governance, integration and phased adoption</w:t>
          </w:r>
          <w:r>
            <w:rPr>
              <w:color w:val="auto"/>
            </w:rPr>
            <w:t>. This gives Vodaria Group a specialist platform for telecom lead-to-order transformation while preserving Salesforce CRM as the CRM and customer engagement system of record.</w:t>
          </w:r>
        </w:p>
        <w:p w14:paraId="0C3FAF6B" w14:textId="239A4FD5" w:rsidR="007F6073" w:rsidRDefault="00000000">
          <w:pPr>
            <w:spacing w:after="100"/>
            <w:rPr>
              <w:color w:val="auto"/>
            </w:rPr>
          </w:pPr>
          <w:r>
            <w:rPr>
              <w:color w:val="auto"/>
            </w:rPr>
            <w:t xml:space="preserve">The core reason to select Hansen is that we understand the relationship between product governance, commercial accuracy and fulfilment execution. For Vodaria Group, the product catalog must be more than a static list of offers. It must become the governed source of truth for products, services, resources, pricing, eligibility, compatibility, geographic constraints, technical rules and order decomposition logic. </w:t>
          </w:r>
          <w:r>
            <w:rPr>
              <w:color w:val="auto"/>
              <w:lang w:val="en-GB"/>
            </w:rPr>
            <w:t>Hansen Catalog provides the foundation for governed product, service and pricing management across Vodaria Group's lead-to-order ecosystem. T</w:t>
          </w:r>
          <w:r>
            <w:rPr>
              <w:color w:val="auto"/>
            </w:rPr>
            <w:t>his foundation enables CPQ and Order Management to operate from the same data, rules and lifecycle definitions. This reduces duplication across systems, improves quote quality and creates a consistent bridge between commercial solution design and downstream delivery.</w:t>
          </w:r>
        </w:p>
        <w:p w14:paraId="3C59AD8F" w14:textId="5CBABF80" w:rsidR="007F6073" w:rsidRDefault="00000000">
          <w:pPr>
            <w:spacing w:after="100"/>
            <w:rPr>
              <w:color w:val="auto"/>
              <w:lang w:val="en-GB"/>
            </w:rPr>
          </w:pPr>
          <w:r>
            <w:rPr>
              <w:color w:val="auto"/>
              <w:lang w:val="en-GB"/>
            </w:rPr>
            <w:t>Hansen Sales Navigator provides the journey orchestration capability that enables Vodaria Group to standardise, govern and continuously evolve Lead-to-Order processes across enterprise and wholesale channels. Hansen Sales Navigator will enable Vodaria Group to leverage your existing Salesforce CRM CRM investment by accessing Hansen’s CPQ and ordering from Salesforce CRM yet Hansen retains all catalog, CPQ, and ordering logic and data entry.</w:t>
          </w:r>
        </w:p>
        <w:p w14:paraId="33D86E15" w14:textId="672ECC12" w:rsidR="007F6073" w:rsidRDefault="00000000">
          <w:pPr>
            <w:spacing w:after="100"/>
            <w:rPr>
              <w:color w:val="auto"/>
              <w:lang w:val="en-GB"/>
            </w:rPr>
          </w:pPr>
          <w:r>
            <w:rPr>
              <w:color w:val="auto"/>
              <w:lang w:val="en-GB"/>
            </w:rPr>
            <w:t xml:space="preserve">Within these governed sales journeys, Hansen CPQ provides the commercial configuration, pricing and quotation capabilities required to support complex telecom opportunities. </w:t>
          </w:r>
          <w:r>
            <w:rPr>
              <w:color w:val="auto"/>
            </w:rPr>
            <w:t xml:space="preserve">Hansen CPQ enables Vodaria Group to support complex wholesale and enterprise selling scenarios through guided configuration, structured quote management, pricing control, approval workflows and validation of commercial and technical constraints before orders enter fulfilment. This is particularly important for multi-site enterprise opportunities, partner-enabled last-mile services, large quote structures, special pricing, deviations from standard products and solution designs that require coordination between sales, product, engineering and </w:t>
          </w:r>
          <w:r>
            <w:rPr>
              <w:color w:val="auto"/>
            </w:rPr>
            <w:lastRenderedPageBreak/>
            <w:t>delivery teams. By resolving more decisions during the quoting process, Vodaria Group can reduce rework, improve order quality and accelerate the transition from approved quote to executable order.</w:t>
          </w:r>
        </w:p>
        <w:p w14:paraId="61310A0F" w14:textId="77777777" w:rsidR="007F6073" w:rsidRDefault="00000000">
          <w:pPr>
            <w:spacing w:after="100"/>
            <w:rPr>
              <w:color w:val="auto"/>
              <w:kern w:val="2"/>
              <w:szCs w:val="22"/>
              <w14:ligatures w14:val="standardContextual"/>
            </w:rPr>
          </w:pPr>
          <w:r>
            <w:rPr>
              <w:color w:val="auto"/>
            </w:rPr>
            <w:t>Hansen Order Management provides the orchestration layer that converts approved commercial orders into structured fulfilment activity. It supports order decomposition, workflow control, task coordination, exception and fallout management, milestone visibility, auditability and integration with downstream inventory, orchestration, billing, document generation, partner and operational systems. This gives Vodaria Group a controlled path toward greater automation while retaining the flexibility to integrate with its broader Converged BSS Transformation architecture, including separate network inventory and network orchestration workstreams.</w:t>
          </w:r>
        </w:p>
        <w:p w14:paraId="7889E9DB" w14:textId="77777777" w:rsidR="007F6073" w:rsidRDefault="00000000">
          <w:pPr>
            <w:spacing w:after="100"/>
            <w:rPr>
              <w:color w:val="auto"/>
              <w:lang w:val="en-GB"/>
            </w:rPr>
          </w:pPr>
          <w:r>
            <w:rPr>
              <w:color w:val="auto"/>
              <w:lang w:val="en-GB"/>
            </w:rPr>
            <w:t>Hansen's architecture protects existing technology investments by maintaining clear ownership boundaries across the Converged BSS Transformation ecosystem. This reduces unnecessary customisation and enables Vodaria Group to evolve Lead-to-Order capabilities without constraining future CRM, OSS, inventory or orchestration decisions.</w:t>
          </w:r>
        </w:p>
        <w:p w14:paraId="7B090A54" w14:textId="77777777" w:rsidR="007F6073" w:rsidRDefault="00000000">
          <w:pPr>
            <w:spacing w:after="100"/>
            <w:rPr>
              <w:color w:val="auto"/>
              <w:kern w:val="2"/>
              <w:szCs w:val="22"/>
              <w14:ligatures w14:val="standardContextual"/>
            </w:rPr>
          </w:pPr>
          <w:r>
            <w:rPr>
              <w:color w:val="auto"/>
            </w:rPr>
            <w:t>Vodaria Group should also select Hansen because our approach reduces transformation risk. Hansen’s implementation model prioritises configuration before customisation, standards-based integration, clear scope boundaries, phased migration and delivery governance. This enables Vodaria Group to move away from fragmented and manual processes without creating unnecessary bespoke complexity or long-term upgrade risk. Hansen will work with Vodaria Group to validate scope, confirm integration responsibilities, align delivery increments and establish the operating model needed to support sustainable adoption.</w:t>
          </w:r>
        </w:p>
        <w:p w14:paraId="7CCF0035" w14:textId="7F7E6045" w:rsidR="007F6073" w:rsidRDefault="00000000">
          <w:pPr>
            <w:spacing w:after="100"/>
            <w:rPr>
              <w:color w:val="auto"/>
              <w:lang w:val="en-GB"/>
            </w:rPr>
          </w:pPr>
          <w:r>
            <w:rPr>
              <w:color w:val="auto"/>
              <w:lang w:val="en-GB"/>
            </w:rPr>
            <w:t xml:space="preserve">The proposed solution is designed to support </w:t>
          </w:r>
          <w:r>
            <w:rPr>
              <w:color w:val="auto"/>
            </w:rPr>
            <w:t>the key outcomes Vodaria Group is seeking from Converged BSS Transformation:</w:t>
          </w:r>
        </w:p>
        <w:p w14:paraId="1FB0267A" w14:textId="77777777" w:rsidR="007F6073" w:rsidRDefault="00000000">
          <w:pPr>
            <w:spacing w:after="0"/>
            <w:rPr>
              <w:color w:val="auto"/>
              <w:kern w:val="2"/>
              <w:szCs w:val="22"/>
              <w14:ligatures w14:val="standardContextual"/>
            </w:rPr>
          </w:pPr>
          <w:r>
            <w:rPr>
              <w:b/>
              <w:color w:val="auto"/>
            </w:rPr>
            <w:t>A scalable telecom lead-to-order foundation</w:t>
          </w:r>
        </w:p>
        <w:p w14:paraId="6D49D2D5" w14:textId="77777777" w:rsidR="007F6073" w:rsidRDefault="00000000">
          <w:pPr>
            <w:spacing w:after="100"/>
            <w:ind w:left="720"/>
            <w:rPr>
              <w:color w:val="auto"/>
              <w:lang w:val="en-GB"/>
            </w:rPr>
          </w:pPr>
          <w:r>
            <w:rPr>
              <w:color w:val="auto"/>
              <w:lang w:val="en-GB"/>
            </w:rPr>
            <w:t>Hansen provides a unified Lead-to-Order foundation designed for complex communications products, high-volume quoting, large enterprise opportunities and structured fulfilment processes.</w:t>
          </w:r>
        </w:p>
        <w:p w14:paraId="19A3C85D" w14:textId="77777777" w:rsidR="007F6073" w:rsidRDefault="00000000">
          <w:pPr>
            <w:spacing w:after="100"/>
            <w:rPr>
              <w:color w:val="auto"/>
              <w:kern w:val="2"/>
              <w:szCs w:val="22"/>
              <w14:ligatures w14:val="standardContextual"/>
            </w:rPr>
          </w:pPr>
          <w:r>
            <w:rPr>
              <w:b/>
              <w:color w:val="auto"/>
            </w:rPr>
            <w:t>Improved quote accuracy and reduced fulfilment fallout</w:t>
          </w:r>
        </w:p>
        <w:p w14:paraId="160799CD" w14:textId="77777777" w:rsidR="007F6073" w:rsidRDefault="00000000">
          <w:pPr>
            <w:spacing w:after="100"/>
            <w:ind w:left="720"/>
            <w:rPr>
              <w:color w:val="auto"/>
              <w:kern w:val="2"/>
              <w:szCs w:val="22"/>
              <w14:ligatures w14:val="standardContextual"/>
            </w:rPr>
          </w:pPr>
          <w:r>
            <w:rPr>
              <w:color w:val="auto"/>
            </w:rPr>
            <w:t>Centralised rules, pricing, eligibility, compatibility and technical validation help ensure that commercial intent is valid before it becomes an executable order.</w:t>
          </w:r>
        </w:p>
        <w:p w14:paraId="4F4BDDD4" w14:textId="77777777" w:rsidR="007F6073" w:rsidRDefault="00000000">
          <w:pPr>
            <w:spacing w:after="100"/>
            <w:rPr>
              <w:color w:val="auto"/>
              <w:kern w:val="2"/>
              <w:szCs w:val="22"/>
              <w14:ligatures w14:val="standardContextual"/>
            </w:rPr>
          </w:pPr>
          <w:r>
            <w:rPr>
              <w:b/>
              <w:color w:val="auto"/>
            </w:rPr>
            <w:t>Reduced manual coordination across teams and systems</w:t>
          </w:r>
        </w:p>
        <w:p w14:paraId="61AD26D8" w14:textId="77777777" w:rsidR="007F6073" w:rsidRDefault="00000000">
          <w:pPr>
            <w:spacing w:after="100"/>
            <w:ind w:left="720"/>
            <w:rPr>
              <w:color w:val="auto"/>
              <w:kern w:val="2"/>
              <w:szCs w:val="22"/>
              <w14:ligatures w14:val="standardContextual"/>
            </w:rPr>
          </w:pPr>
          <w:r>
            <w:rPr>
              <w:color w:val="auto"/>
            </w:rPr>
            <w:t>Catalog-driven decomposition, workflow orchestration, integration events and governed handoffs reduce reliance on manual interpretation and ad hoc coordination between sales, design, delivery and downstream systems.</w:t>
          </w:r>
        </w:p>
        <w:p w14:paraId="5541FBAA" w14:textId="4F7D6545" w:rsidR="007F6073" w:rsidRDefault="00000000">
          <w:pPr>
            <w:spacing w:after="100"/>
            <w:rPr>
              <w:color w:val="auto"/>
              <w:kern w:val="2"/>
              <w:szCs w:val="22"/>
              <w14:ligatures w14:val="standardContextual"/>
            </w:rPr>
          </w:pPr>
          <w:r>
            <w:rPr>
              <w:b/>
              <w:color w:val="auto"/>
            </w:rPr>
            <w:t>Commercial and Operational Governance</w:t>
          </w:r>
        </w:p>
        <w:p w14:paraId="18110259" w14:textId="77777777" w:rsidR="007F6073" w:rsidRDefault="00000000">
          <w:pPr>
            <w:spacing w:after="100"/>
            <w:ind w:left="720"/>
            <w:rPr>
              <w:color w:val="auto"/>
              <w:lang w:val="en-GB"/>
            </w:rPr>
          </w:pPr>
          <w:r>
            <w:rPr>
              <w:color w:val="auto"/>
              <w:lang w:val="en-GB"/>
            </w:rPr>
            <w:t>Shared product, pricing and fulfilment controls help ensure commercial intent remains aligned with operational execution throughout the Lead-to-Order lifecycle.</w:t>
          </w:r>
        </w:p>
        <w:p w14:paraId="47D70493" w14:textId="5CC11B5C" w:rsidR="007F6073" w:rsidRDefault="00000000">
          <w:pPr>
            <w:spacing w:after="100"/>
            <w:rPr>
              <w:color w:val="auto"/>
              <w:kern w:val="2"/>
              <w:szCs w:val="22"/>
              <w14:ligatures w14:val="standardContextual"/>
            </w:rPr>
          </w:pPr>
          <w:r>
            <w:rPr>
              <w:b/>
              <w:color w:val="auto"/>
            </w:rPr>
            <w:t>Integration across the Converged BSS Transformation ecosystem</w:t>
          </w:r>
        </w:p>
        <w:p w14:paraId="31725040" w14:textId="77777777" w:rsidR="007F6073" w:rsidRDefault="00000000">
          <w:pPr>
            <w:spacing w:after="100"/>
            <w:ind w:left="720"/>
            <w:rPr>
              <w:color w:val="auto"/>
              <w:lang w:val="en-GB"/>
            </w:rPr>
          </w:pPr>
          <w:r>
            <w:rPr>
              <w:color w:val="auto"/>
              <w:lang w:val="en-GB"/>
            </w:rPr>
            <w:lastRenderedPageBreak/>
            <w:t>Open integration capabilities enable alignment across inventory, orchestration, billing, partner, fulfilment and reporting platforms.</w:t>
          </w:r>
        </w:p>
        <w:p w14:paraId="1CCC14F8" w14:textId="77777777" w:rsidR="007F6073" w:rsidRDefault="00000000">
          <w:pPr>
            <w:spacing w:after="100"/>
            <w:rPr>
              <w:color w:val="auto"/>
              <w:kern w:val="2"/>
              <w:szCs w:val="22"/>
              <w14:ligatures w14:val="standardContextual"/>
            </w:rPr>
          </w:pPr>
          <w:r>
            <w:rPr>
              <w:b/>
              <w:color w:val="auto"/>
            </w:rPr>
            <w:t>Configuration-led delivery and long-term upgradeability</w:t>
          </w:r>
        </w:p>
        <w:p w14:paraId="32A4209A" w14:textId="77777777" w:rsidR="007F6073" w:rsidRDefault="00000000">
          <w:pPr>
            <w:spacing w:after="100"/>
            <w:ind w:left="720"/>
            <w:rPr>
              <w:color w:val="auto"/>
            </w:rPr>
          </w:pPr>
          <w:r>
            <w:rPr>
              <w:color w:val="auto"/>
            </w:rPr>
            <w:t>Hansen’s approach favours standard product capabilities, configuration and controlled extension patterns to minimise bespoke development, preserve upgradeability and reduce lifecycle cost.</w:t>
          </w:r>
        </w:p>
        <w:p w14:paraId="6026CB15" w14:textId="77777777" w:rsidR="007F6073" w:rsidRDefault="007F6073">
          <w:pPr>
            <w:spacing w:after="100"/>
            <w:ind w:left="720"/>
            <w:rPr>
              <w:color w:val="auto"/>
              <w:kern w:val="2"/>
              <w:szCs w:val="22"/>
              <w14:ligatures w14:val="standardContextual"/>
            </w:rPr>
          </w:pPr>
        </w:p>
        <w:p w14:paraId="300E458D" w14:textId="77777777" w:rsidR="007F6073" w:rsidRDefault="00000000">
          <w:pPr>
            <w:spacing w:after="100"/>
            <w:rPr>
              <w:color w:val="auto"/>
              <w:kern w:val="2"/>
              <w:szCs w:val="22"/>
              <w14:ligatures w14:val="standardContextual"/>
            </w:rPr>
          </w:pPr>
          <w:r>
            <w:rPr>
              <w:b/>
              <w:color w:val="auto"/>
            </w:rPr>
            <w:t>A platform for future automation and innovation</w:t>
          </w:r>
        </w:p>
        <w:p w14:paraId="392F90F0" w14:textId="77777777" w:rsidR="007F6073" w:rsidRDefault="00000000">
          <w:pPr>
            <w:spacing w:after="100"/>
            <w:ind w:left="720"/>
            <w:rPr>
              <w:color w:val="auto"/>
              <w:kern w:val="2"/>
              <w:szCs w:val="22"/>
              <w14:ligatures w14:val="standardContextual"/>
            </w:rPr>
          </w:pPr>
          <w:r>
            <w:rPr>
              <w:color w:val="auto"/>
            </w:rPr>
            <w:t>By establishing governed product, pricing, quote, order and fulfilment data, Hansen creates the foundation for progressive automation, operational analytics, intelligent assistance and future AI-enabled use cases.</w:t>
          </w:r>
        </w:p>
        <w:p w14:paraId="185B60A8" w14:textId="77777777" w:rsidR="007F6073" w:rsidRDefault="00000000">
          <w:pPr>
            <w:spacing w:after="100"/>
            <w:rPr>
              <w:color w:val="auto"/>
            </w:rPr>
          </w:pPr>
          <w:r>
            <w:rPr>
              <w:color w:val="auto"/>
            </w:rPr>
            <w:t xml:space="preserve">Hansen is eager to win Vodaria Group's business and we have put together an extremely competitive pricing proposal based upon Vodaria Group's current business volume.  The commercial model is simple with license, maintenance, SaaS operations and delivery each individually called out.  </w:t>
          </w:r>
        </w:p>
        <w:p w14:paraId="43059D46" w14:textId="7D1B38B5" w:rsidR="007F6073" w:rsidRDefault="00000000">
          <w:pPr>
            <w:spacing w:after="100"/>
            <w:rPr>
              <w:color w:val="auto"/>
              <w:lang w:val="en-GB"/>
            </w:rPr>
          </w:pPr>
          <w:r>
            <w:rPr>
              <w:color w:val="auto"/>
            </w:rPr>
            <w:t xml:space="preserve">In summary, Hansen offers Vodaria Group more than a CPQ and Order Management platform. We offer a telecom-native, catalog-driven operating foundation for Converged BSS Transformation: one that can help Vodaria Group scale enterprise and wholesale growth, </w:t>
          </w:r>
          <w:r>
            <w:rPr>
              <w:color w:val="auto"/>
              <w:lang w:val="en-GB"/>
            </w:rPr>
            <w:t>accelerate revenue generation and operational efficiency</w:t>
          </w:r>
          <w:r>
            <w:rPr>
              <w:color w:val="auto"/>
            </w:rPr>
            <w:t xml:space="preserve">, reduce operational friction, preserve existing CRM investment and establish a future-ready architecture for automation and continuous innovation. </w:t>
          </w:r>
          <w:r>
            <w:rPr>
              <w:color w:val="auto"/>
              <w:lang w:val="en-GB"/>
            </w:rPr>
            <w:t>We look forward to partnering with Vodaria Group to deliver a scalable, future-ready Lead-to-Order operating model that supports long-term enterprise growth.</w:t>
          </w:r>
        </w:p>
        <w:p w14:paraId="4BF48415" w14:textId="496F6FDB" w:rsidR="007F6073" w:rsidRDefault="007F6073">
          <w:pPr>
            <w:spacing w:after="100"/>
            <w:jc w:val="both"/>
          </w:pPr>
        </w:p>
        <w:p w14:paraId="4F99B416" w14:textId="395DE5BA" w:rsidR="007F6073" w:rsidRDefault="00000000">
          <w:pPr>
            <w:spacing w:before="0" w:line="312" w:lineRule="auto"/>
          </w:pPr>
          <w:r>
            <w:br w:type="page"/>
          </w:r>
        </w:p>
        <w:p w14:paraId="6242E28A" w14:textId="77777777" w:rsidR="007F6073" w:rsidRDefault="007F6073">
          <w:pPr>
            <w:spacing w:after="100"/>
          </w:pPr>
        </w:p>
        <w:p w14:paraId="30DBB219" w14:textId="530E342E" w:rsidR="007F6073" w:rsidRDefault="00000000">
          <w:pPr>
            <w:pStyle w:val="Heading1"/>
            <w:rPr>
              <w:rFonts w:cstheme="minorBidi"/>
              <w:kern w:val="36"/>
              <w:lang w:val="en-GB" w:eastAsia="en-GB"/>
              <w14:ligatures w14:val="standardContextual"/>
            </w:rPr>
          </w:pPr>
          <w:bookmarkStart w:id="3" w:name="_Toc239002148"/>
          <w:r>
            <w:t>Future Lead-to-Order Operating Model</w:t>
          </w:r>
          <w:bookmarkEnd w:id="3"/>
        </w:p>
        <w:p w14:paraId="6DEEE2A8" w14:textId="7E34B05D" w:rsidR="007F6073" w:rsidRDefault="00000000">
          <w:pPr>
            <w:jc w:val="both"/>
            <w:rPr>
              <w:color w:val="auto"/>
              <w:szCs w:val="22"/>
              <w:lang w:val="en-GB"/>
            </w:rPr>
          </w:pPr>
          <w:r>
            <w:rPr>
              <w:color w:val="auto"/>
              <w:szCs w:val="22"/>
              <w:lang w:val="en-GB"/>
            </w:rPr>
            <w:t>For Vodaria Group, the value of this model is not simply processing automation. It creates a common operating framework where sales, product, fulfilment and operational teams work from the same commercial and technical definitions. This reduces manual interpretation, improves consistency across the customer lifecycle and enables Vodaria Group to scale enterprise growth without proportionally increasing operational complexity.</w:t>
          </w:r>
        </w:p>
        <w:p w14:paraId="27A38F5D" w14:textId="3605EE84" w:rsidR="007F6073" w:rsidRDefault="00000000">
          <w:pPr>
            <w:rPr>
              <w:color w:val="auto"/>
              <w:szCs w:val="22"/>
              <w:lang w:val="en-GB"/>
            </w:rPr>
          </w:pPr>
          <w:r>
            <w:rPr>
              <w:rFonts w:hint="eastAsia"/>
              <w:noProof/>
              <w:color w:val="auto"/>
              <w:szCs w:val="22"/>
            </w:rPr>
            <w:drawing>
              <wp:inline distT="0" distB="0" distL="0" distR="0" wp14:anchorId="1C9C03DD" wp14:editId="19FD3E10">
                <wp:extent cx="6400800" cy="3598545"/>
                <wp:effectExtent l="0" t="0" r="0" b="1905"/>
                <wp:docPr id="317343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3253" name="Picture 3173432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r>
            <w:rPr>
              <w:color w:val="auto"/>
              <w:szCs w:val="22"/>
              <w:lang w:val="en-GB"/>
            </w:rPr>
            <w:t>The future operating model achieves this by providing Vodaria Group with a unified, governed Lead-to-Order framework to manage the complete customer lifecycle from opportunity creation through service delivery. Product definitions, pricing rules, technical constraints and fulfilment logic are centrally governed and consistently applied across sales, quoting, order management and fulfilment processes.</w:t>
          </w:r>
        </w:p>
        <w:p w14:paraId="48BFB774" w14:textId="224D5A3F" w:rsidR="007F6073" w:rsidRDefault="00000000">
          <w:pPr>
            <w:rPr>
              <w:color w:val="auto"/>
              <w:szCs w:val="22"/>
              <w:lang w:val="en-GB"/>
            </w:rPr>
          </w:pPr>
          <w:r>
            <w:rPr>
              <w:color w:val="auto"/>
              <w:szCs w:val="22"/>
              <w:lang w:val="en-GB"/>
            </w:rPr>
            <w:t>Salesforce CRM remains the customer engagement and opportunity management platform, while Hansen Sales Navigator orchestrates Lead-to-Order journeys and Hansen Catalog and CPQ provide guided configuration, pricing, validation and approval capabilities. Upon quote acceptance, Hansen Order Management orchestrates fulfilment activities across inventory, supplier, network and downstream operational systems, providing end-to-end visibility and automation throughout the order journey.</w:t>
          </w:r>
        </w:p>
        <w:p w14:paraId="0735F092" w14:textId="77777777" w:rsidR="007F6073" w:rsidRDefault="00000000">
          <w:pPr>
            <w:rPr>
              <w:color w:val="auto"/>
              <w:szCs w:val="22"/>
              <w:lang w:val="en-GB"/>
            </w:rPr>
          </w:pPr>
          <w:r>
            <w:rPr>
              <w:color w:val="auto"/>
              <w:szCs w:val="22"/>
              <w:lang w:val="en-GB"/>
            </w:rPr>
            <w:t>This operating model reduces manual coordination, improves order accuracy, accelerates product introduction and enables Vodaria Group to scale complex enterprise services without proportionally increasing operational overhead.</w:t>
          </w:r>
        </w:p>
        <w:p w14:paraId="79928FFA" w14:textId="77777777" w:rsidR="007F6073" w:rsidRDefault="007F6073">
          <w:pPr>
            <w:jc w:val="both"/>
            <w:rPr>
              <w:color w:val="auto"/>
              <w:szCs w:val="22"/>
              <w:lang w:val="en-GB"/>
            </w:rPr>
          </w:pPr>
        </w:p>
        <w:tbl>
          <w:tblPr>
            <w:tblStyle w:val="ListTable3-Accent1"/>
            <w:tblW w:w="0" w:type="auto"/>
            <w:tblLook w:val="04A0" w:firstRow="1" w:lastRow="0" w:firstColumn="1" w:lastColumn="0" w:noHBand="0" w:noVBand="1"/>
          </w:tblPr>
          <w:tblGrid>
            <w:gridCol w:w="1504"/>
            <w:gridCol w:w="3218"/>
            <w:gridCol w:w="5348"/>
          </w:tblGrid>
          <w:tr w:rsidR="007F6073" w14:paraId="3D37D814" w14:textId="77777777" w:rsidTr="007F6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9BA335A" w14:textId="77777777" w:rsidR="007F6073" w:rsidRDefault="00000000">
                <w:pPr>
                  <w:spacing w:before="0"/>
                  <w:jc w:val="center"/>
                  <w:rPr>
                    <w:color w:val="FFFFFF" w:themeColor="background1"/>
                    <w:sz w:val="28"/>
                    <w:szCs w:val="28"/>
                    <w:lang w:val="en-GB"/>
                  </w:rPr>
                </w:pPr>
                <w:r>
                  <w:rPr>
                    <w:color w:val="FFFFFF" w:themeColor="background1"/>
                    <w:sz w:val="28"/>
                    <w:szCs w:val="28"/>
                    <w:lang w:val="en-GB"/>
                  </w:rPr>
                  <w:lastRenderedPageBreak/>
                  <w:t>Stage</w:t>
                </w:r>
              </w:p>
            </w:tc>
            <w:tc>
              <w:tcPr>
                <w:tcW w:w="0" w:type="auto"/>
                <w:vAlign w:val="center"/>
                <w:hideMark/>
              </w:tcPr>
              <w:p w14:paraId="1750BB85" w14:textId="77777777" w:rsidR="007F6073" w:rsidRDefault="00000000">
                <w:pPr>
                  <w:spacing w:befor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en-GB"/>
                  </w:rPr>
                </w:pPr>
                <w:r>
                  <w:rPr>
                    <w:color w:val="FFFFFF" w:themeColor="background1"/>
                    <w:sz w:val="28"/>
                    <w:szCs w:val="28"/>
                    <w:lang w:val="en-GB"/>
                  </w:rPr>
                  <w:t>Primary system/capability</w:t>
                </w:r>
              </w:p>
            </w:tc>
            <w:tc>
              <w:tcPr>
                <w:tcW w:w="0" w:type="auto"/>
                <w:vAlign w:val="center"/>
                <w:hideMark/>
              </w:tcPr>
              <w:p w14:paraId="0F369D29" w14:textId="77777777" w:rsidR="007F6073" w:rsidRDefault="00000000">
                <w:pPr>
                  <w:spacing w:before="0"/>
                  <w:jc w:val="center"/>
                  <w:cnfStyle w:val="100000000000" w:firstRow="1" w:lastRow="0" w:firstColumn="0" w:lastColumn="0" w:oddVBand="0" w:evenVBand="0" w:oddHBand="0" w:evenHBand="0" w:firstRowFirstColumn="0" w:firstRowLastColumn="0" w:lastRowFirstColumn="0" w:lastRowLastColumn="0"/>
                  <w:rPr>
                    <w:color w:val="FFFFFF" w:themeColor="background1"/>
                    <w:sz w:val="28"/>
                    <w:szCs w:val="28"/>
                    <w:lang w:val="en-GB"/>
                  </w:rPr>
                </w:pPr>
                <w:r>
                  <w:rPr>
                    <w:color w:val="FFFFFF" w:themeColor="background1"/>
                    <w:sz w:val="28"/>
                    <w:szCs w:val="28"/>
                    <w:lang w:val="en-GB"/>
                  </w:rPr>
                  <w:t>Purpose</w:t>
                </w:r>
              </w:p>
            </w:tc>
          </w:tr>
          <w:tr w:rsidR="007F6073" w14:paraId="24183481" w14:textId="77777777" w:rsidTr="007F6073">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695B39" w14:textId="44A30107" w:rsidR="007F6073" w:rsidRDefault="00000000">
                <w:pPr>
                  <w:spacing w:before="0"/>
                  <w:rPr>
                    <w:color w:val="auto"/>
                    <w:szCs w:val="22"/>
                    <w:lang w:val="en-GB"/>
                  </w:rPr>
                </w:pPr>
                <w:r>
                  <w:rPr>
                    <w:color w:val="auto"/>
                    <w:szCs w:val="22"/>
                    <w:lang w:val="en-GB"/>
                  </w:rPr>
                  <w:t>Engage</w:t>
                </w:r>
              </w:p>
            </w:tc>
            <w:tc>
              <w:tcPr>
                <w:tcW w:w="0" w:type="auto"/>
                <w:vAlign w:val="center"/>
                <w:hideMark/>
              </w:tcPr>
              <w:p w14:paraId="3EDD5906" w14:textId="6127E844"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Salesforce CRM CRM</w:t>
                </w:r>
              </w:p>
            </w:tc>
            <w:tc>
              <w:tcPr>
                <w:tcW w:w="0" w:type="auto"/>
                <w:vAlign w:val="center"/>
                <w:hideMark/>
              </w:tcPr>
              <w:p w14:paraId="4CAD0150" w14:textId="4E4A526F" w:rsidR="007F6073" w:rsidRDefault="00000000">
                <w:pPr>
                  <w:spacing w:before="0"/>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Capture and qualify customer demand, manage accounts, opportunities and customer engagement activities within the CRM system of record.</w:t>
                </w:r>
              </w:p>
            </w:tc>
          </w:tr>
          <w:tr w:rsidR="007F6073" w14:paraId="225F5A3E" w14:textId="77777777" w:rsidTr="007F6073">
            <w:trPr>
              <w:trHeight w:val="10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A2F58E" w14:textId="094A78F7" w:rsidR="007F6073" w:rsidRDefault="00000000">
                <w:pPr>
                  <w:spacing w:before="0"/>
                  <w:rPr>
                    <w:color w:val="auto"/>
                    <w:szCs w:val="22"/>
                    <w:lang w:val="en-GB"/>
                  </w:rPr>
                </w:pPr>
                <w:r>
                  <w:rPr>
                    <w:color w:val="auto"/>
                    <w:szCs w:val="22"/>
                    <w:lang w:val="en-GB"/>
                  </w:rPr>
                  <w:t>Configure</w:t>
                </w:r>
              </w:p>
            </w:tc>
            <w:tc>
              <w:tcPr>
                <w:tcW w:w="0" w:type="auto"/>
                <w:vAlign w:val="center"/>
                <w:hideMark/>
              </w:tcPr>
              <w:p w14:paraId="39B3275F" w14:textId="069EF1C5" w:rsidR="007F6073" w:rsidRDefault="00000000">
                <w:pPr>
                  <w:spacing w:before="0"/>
                  <w:jc w:val="center"/>
                  <w:cnfStyle w:val="000000000000" w:firstRow="0" w:lastRow="0" w:firstColumn="0" w:lastColumn="0" w:oddVBand="0" w:evenVBand="0" w:oddHBand="0" w:evenHBand="0" w:firstRowFirstColumn="0" w:firstRowLastColumn="0" w:lastRowFirstColumn="0" w:lastRowLastColumn="0"/>
                  <w:rPr>
                    <w:color w:val="auto"/>
                    <w:szCs w:val="22"/>
                    <w:lang w:val="da-DK"/>
                  </w:rPr>
                </w:pPr>
                <w:r>
                  <w:rPr>
                    <w:color w:val="auto"/>
                    <w:szCs w:val="22"/>
                    <w:lang w:val="da-DK"/>
                  </w:rPr>
                  <w:t>Hansen Sales Navigator + Hansen CPQ + Hansen Catalog</w:t>
                </w:r>
              </w:p>
            </w:tc>
            <w:tc>
              <w:tcPr>
                <w:tcW w:w="0" w:type="auto"/>
                <w:vAlign w:val="center"/>
                <w:hideMark/>
              </w:tcPr>
              <w:p w14:paraId="28FA38BC" w14:textId="690EC036" w:rsidR="007F6073" w:rsidRDefault="00000000">
                <w:pPr>
                  <w:spacing w:before="0"/>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Guide users through the solution design process, present valid product and service options, and apply catalog-driven business rules and eligibility criteria.</w:t>
                </w:r>
              </w:p>
            </w:tc>
          </w:tr>
          <w:tr w:rsidR="007F6073" w14:paraId="54447F15" w14:textId="77777777" w:rsidTr="007F6073">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15BD1D" w14:textId="46412D71" w:rsidR="007F6073" w:rsidRDefault="00000000">
                <w:pPr>
                  <w:spacing w:before="0"/>
                  <w:rPr>
                    <w:color w:val="auto"/>
                    <w:szCs w:val="22"/>
                    <w:lang w:val="en-GB"/>
                  </w:rPr>
                </w:pPr>
                <w:r>
                  <w:rPr>
                    <w:color w:val="auto"/>
                    <w:szCs w:val="22"/>
                    <w:lang w:val="en-GB"/>
                  </w:rPr>
                  <w:t>Price &amp; Quote</w:t>
                </w:r>
              </w:p>
            </w:tc>
            <w:tc>
              <w:tcPr>
                <w:tcW w:w="0" w:type="auto"/>
                <w:vAlign w:val="center"/>
                <w:hideMark/>
              </w:tcPr>
              <w:p w14:paraId="4004CB0A" w14:textId="318D0C9C"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color w:val="auto"/>
                    <w:szCs w:val="22"/>
                    <w:lang w:val="da-DK"/>
                  </w:rPr>
                </w:pPr>
                <w:r>
                  <w:rPr>
                    <w:color w:val="auto"/>
                    <w:szCs w:val="22"/>
                    <w:lang w:val="da-DK"/>
                  </w:rPr>
                  <w:t>Hansen CPQ + Hansen Catalog</w:t>
                </w:r>
              </w:p>
            </w:tc>
            <w:tc>
              <w:tcPr>
                <w:tcW w:w="0" w:type="auto"/>
                <w:vAlign w:val="center"/>
                <w:hideMark/>
              </w:tcPr>
              <w:p w14:paraId="12EE1FBE" w14:textId="7FBE877A" w:rsidR="007F6073" w:rsidRDefault="00000000">
                <w:pPr>
                  <w:spacing w:before="0"/>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Generate customer quotations using catalog-driven pricing, technical validation, serviceability checks, multi-currency support and commercial policies.</w:t>
                </w:r>
              </w:p>
            </w:tc>
          </w:tr>
          <w:tr w:rsidR="007F6073" w14:paraId="7D22A669" w14:textId="77777777" w:rsidTr="007F6073">
            <w:tc>
              <w:tcPr>
                <w:cnfStyle w:val="001000000000" w:firstRow="0" w:lastRow="0" w:firstColumn="1" w:lastColumn="0" w:oddVBand="0" w:evenVBand="0" w:oddHBand="0" w:evenHBand="0" w:firstRowFirstColumn="0" w:firstRowLastColumn="0" w:lastRowFirstColumn="0" w:lastRowLastColumn="0"/>
                <w:tcW w:w="0" w:type="auto"/>
                <w:vAlign w:val="center"/>
              </w:tcPr>
              <w:p w14:paraId="7771D1BA" w14:textId="122CD01C" w:rsidR="007F6073" w:rsidRDefault="00000000">
                <w:pPr>
                  <w:spacing w:before="0"/>
                  <w:rPr>
                    <w:color w:val="auto"/>
                    <w:szCs w:val="22"/>
                    <w:lang w:val="en-GB"/>
                  </w:rPr>
                </w:pPr>
                <w:r>
                  <w:rPr>
                    <w:color w:val="auto"/>
                    <w:szCs w:val="22"/>
                    <w:lang w:val="en-GB"/>
                  </w:rPr>
                  <w:t>Negotiate</w:t>
                </w:r>
              </w:p>
            </w:tc>
            <w:tc>
              <w:tcPr>
                <w:tcW w:w="0" w:type="auto"/>
                <w:vAlign w:val="center"/>
              </w:tcPr>
              <w:p w14:paraId="6487CB59" w14:textId="367DE1E1" w:rsidR="007F6073" w:rsidRDefault="00000000">
                <w:pPr>
                  <w:spacing w:before="0"/>
                  <w:jc w:val="center"/>
                  <w:cnfStyle w:val="000000000000" w:firstRow="0" w:lastRow="0" w:firstColumn="0" w:lastColumn="0" w:oddVBand="0" w:evenVBand="0" w:oddHBand="0" w:evenHBand="0" w:firstRowFirstColumn="0" w:firstRowLastColumn="0" w:lastRowFirstColumn="0" w:lastRowLastColumn="0"/>
                  <w:rPr>
                    <w:color w:val="auto"/>
                    <w:szCs w:val="22"/>
                    <w:lang w:val="da-DK"/>
                  </w:rPr>
                </w:pPr>
                <w:r>
                  <w:rPr>
                    <w:color w:val="auto"/>
                    <w:szCs w:val="22"/>
                    <w:lang w:val="da-DK"/>
                  </w:rPr>
                  <w:t>Hansen CPQ Negotiation Workspace</w:t>
                </w:r>
              </w:p>
            </w:tc>
            <w:tc>
              <w:tcPr>
                <w:tcW w:w="0" w:type="auto"/>
                <w:vAlign w:val="center"/>
              </w:tcPr>
              <w:p w14:paraId="4890FC0F" w14:textId="5CB2701A" w:rsidR="007F6073" w:rsidRDefault="00000000">
                <w:pPr>
                  <w:spacing w:before="0"/>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Manage commercial negotiations, special pricing requests, customer-specific commercial terms, discounts and deal-specific adjustments while maintaining governance and auditability.</w:t>
                </w:r>
              </w:p>
            </w:tc>
          </w:tr>
          <w:tr w:rsidR="007F6073" w14:paraId="07BED2F4" w14:textId="77777777" w:rsidTr="007F6073">
            <w:trPr>
              <w:cnfStyle w:val="000000100000" w:firstRow="0" w:lastRow="0" w:firstColumn="0" w:lastColumn="0" w:oddVBand="0" w:evenVBand="0" w:oddHBand="1" w:evenHBand="0" w:firstRowFirstColumn="0" w:firstRowLastColumn="0" w:lastRowFirstColumn="0" w:lastRowLastColumn="0"/>
              <w:trHeight w:val="13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CC3845" w14:textId="579E917E" w:rsidR="007F6073" w:rsidRDefault="00000000">
                <w:pPr>
                  <w:spacing w:before="0"/>
                  <w:rPr>
                    <w:color w:val="auto"/>
                    <w:szCs w:val="22"/>
                    <w:lang w:val="en-GB"/>
                  </w:rPr>
                </w:pPr>
                <w:r>
                  <w:rPr>
                    <w:color w:val="auto"/>
                    <w:szCs w:val="22"/>
                    <w:lang w:val="en-GB"/>
                  </w:rPr>
                  <w:t>Approve</w:t>
                </w:r>
              </w:p>
            </w:tc>
            <w:tc>
              <w:tcPr>
                <w:tcW w:w="0" w:type="auto"/>
                <w:vAlign w:val="center"/>
                <w:hideMark/>
              </w:tcPr>
              <w:p w14:paraId="4F97A1A2" w14:textId="7FA28FB9"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Hansen CPQ Approval Workflow</w:t>
                </w:r>
              </w:p>
            </w:tc>
            <w:tc>
              <w:tcPr>
                <w:tcW w:w="0" w:type="auto"/>
                <w:vAlign w:val="center"/>
                <w:hideMark/>
              </w:tcPr>
              <w:p w14:paraId="07209348" w14:textId="3928A75A" w:rsidR="007F6073" w:rsidRDefault="00000000">
                <w:pPr>
                  <w:spacing w:before="0"/>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Route pricing exceptions, commercial deviations and negotiated terms through configurable approval processes before contract creation or order submission.</w:t>
                </w:r>
              </w:p>
            </w:tc>
          </w:tr>
          <w:tr w:rsidR="007F6073" w14:paraId="3A2399E0" w14:textId="77777777" w:rsidTr="007F6073">
            <w:trPr>
              <w:trHeight w:val="10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AF8B0B" w14:textId="59A6F6B3" w:rsidR="007F6073" w:rsidRDefault="00000000">
                <w:pPr>
                  <w:spacing w:before="0"/>
                  <w:rPr>
                    <w:color w:val="auto"/>
                    <w:szCs w:val="22"/>
                    <w:lang w:val="en-GB"/>
                  </w:rPr>
                </w:pPr>
                <w:r>
                  <w:rPr>
                    <w:color w:val="auto"/>
                    <w:szCs w:val="22"/>
                    <w:lang w:val="en-GB"/>
                  </w:rPr>
                  <w:t>Order</w:t>
                </w:r>
              </w:p>
            </w:tc>
            <w:tc>
              <w:tcPr>
                <w:tcW w:w="0" w:type="auto"/>
                <w:vAlign w:val="center"/>
                <w:hideMark/>
              </w:tcPr>
              <w:p w14:paraId="6F760BDF" w14:textId="354A36C4" w:rsidR="007F6073" w:rsidRDefault="00000000">
                <w:pPr>
                  <w:spacing w:before="0"/>
                  <w:jc w:val="center"/>
                  <w:cnfStyle w:val="000000000000" w:firstRow="0" w:lastRow="0" w:firstColumn="0" w:lastColumn="0" w:oddVBand="0" w:evenVBand="0" w:oddHBand="0" w:evenHBand="0" w:firstRowFirstColumn="0" w:firstRowLastColumn="0" w:lastRowFirstColumn="0" w:lastRowLastColumn="0"/>
                  <w:rPr>
                    <w:color w:val="auto"/>
                    <w:szCs w:val="22"/>
                    <w:lang w:val="da-DK"/>
                  </w:rPr>
                </w:pPr>
                <w:r>
                  <w:rPr>
                    <w:color w:val="auto"/>
                    <w:szCs w:val="22"/>
                    <w:lang w:val="da-DK"/>
                  </w:rPr>
                  <w:t>Hansen CPQ + Hansen Order Management</w:t>
                </w:r>
              </w:p>
            </w:tc>
            <w:tc>
              <w:tcPr>
                <w:tcW w:w="0" w:type="auto"/>
                <w:vAlign w:val="center"/>
                <w:hideMark/>
              </w:tcPr>
              <w:p w14:paraId="1EB252EA" w14:textId="68B0258A" w:rsidR="007F6073" w:rsidRDefault="00000000">
                <w:pPr>
                  <w:spacing w:before="0"/>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Convert approved quotations and contracts into structured commercial orders containing all products, commitments and fulfilment instructions.</w:t>
                </w:r>
              </w:p>
            </w:tc>
          </w:tr>
          <w:tr w:rsidR="007F6073" w14:paraId="02AF7D1A" w14:textId="77777777" w:rsidTr="007F6073">
            <w:trPr>
              <w:cnfStyle w:val="000000100000" w:firstRow="0" w:lastRow="0" w:firstColumn="0" w:lastColumn="0" w:oddVBand="0" w:evenVBand="0" w:oddHBand="1" w:evenHBand="0" w:firstRowFirstColumn="0" w:firstRowLastColumn="0" w:lastRowFirstColumn="0" w:lastRowLastColumn="0"/>
              <w:trHeight w:val="10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D2E911" w14:textId="464157C9" w:rsidR="007F6073" w:rsidRDefault="00000000">
                <w:pPr>
                  <w:spacing w:before="0"/>
                  <w:rPr>
                    <w:color w:val="auto"/>
                    <w:szCs w:val="22"/>
                    <w:lang w:val="en-GB"/>
                  </w:rPr>
                </w:pPr>
                <w:r>
                  <w:rPr>
                    <w:color w:val="auto"/>
                    <w:szCs w:val="22"/>
                    <w:lang w:val="en-GB"/>
                  </w:rPr>
                  <w:t>Orchestrate</w:t>
                </w:r>
              </w:p>
            </w:tc>
            <w:tc>
              <w:tcPr>
                <w:tcW w:w="0" w:type="auto"/>
                <w:vAlign w:val="center"/>
                <w:hideMark/>
              </w:tcPr>
              <w:p w14:paraId="7043D79D" w14:textId="77777777"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Hansen Order Management</w:t>
                </w:r>
              </w:p>
            </w:tc>
            <w:tc>
              <w:tcPr>
                <w:tcW w:w="0" w:type="auto"/>
                <w:vAlign w:val="center"/>
                <w:hideMark/>
              </w:tcPr>
              <w:p w14:paraId="75B382D8" w14:textId="64EBE24E" w:rsidR="007F6073" w:rsidRDefault="00000000">
                <w:pPr>
                  <w:spacing w:before="0"/>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Decompose commercial orders into fulfilment activities, manage workflow execution, task coordination, milestones, dependencies and exception handling.</w:t>
                </w:r>
              </w:p>
            </w:tc>
          </w:tr>
          <w:tr w:rsidR="007F6073" w14:paraId="032657D5" w14:textId="77777777" w:rsidTr="007F6073">
            <w:trPr>
              <w:trHeight w:val="11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5EFFD3" w14:textId="6A944FC4" w:rsidR="007F6073" w:rsidRDefault="00000000">
                <w:pPr>
                  <w:spacing w:before="0"/>
                  <w:rPr>
                    <w:color w:val="auto"/>
                    <w:szCs w:val="22"/>
                    <w:lang w:val="en-GB"/>
                  </w:rPr>
                </w:pPr>
                <w:r>
                  <w:rPr>
                    <w:color w:val="auto"/>
                    <w:szCs w:val="22"/>
                    <w:lang w:val="en-GB"/>
                  </w:rPr>
                  <w:t>Fulfil</w:t>
                </w:r>
              </w:p>
            </w:tc>
            <w:tc>
              <w:tcPr>
                <w:tcW w:w="0" w:type="auto"/>
                <w:vAlign w:val="center"/>
                <w:hideMark/>
              </w:tcPr>
              <w:p w14:paraId="54891007" w14:textId="4B414654" w:rsidR="007F6073" w:rsidRDefault="00000000">
                <w:pPr>
                  <w:spacing w:before="0"/>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Hansen Order Management + Vodaria Group OSS/BSS Ecosystem</w:t>
                </w:r>
              </w:p>
            </w:tc>
            <w:tc>
              <w:tcPr>
                <w:tcW w:w="0" w:type="auto"/>
                <w:vAlign w:val="center"/>
                <w:hideMark/>
              </w:tcPr>
              <w:p w14:paraId="2938CD3D" w14:textId="30F34BFD" w:rsidR="007F6073" w:rsidRDefault="00000000">
                <w:pPr>
                  <w:spacing w:before="0"/>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Execute fulfilment processes through integration with inventory, network planning, provisioning, partner and operational systems to deliver the requested services.</w:t>
                </w:r>
              </w:p>
            </w:tc>
          </w:tr>
          <w:tr w:rsidR="007F6073" w14:paraId="4AB0F47E" w14:textId="77777777" w:rsidTr="007F6073">
            <w:trPr>
              <w:cnfStyle w:val="000000100000" w:firstRow="0" w:lastRow="0" w:firstColumn="0" w:lastColumn="0" w:oddVBand="0" w:evenVBand="0" w:oddHBand="1" w:evenHBand="0" w:firstRowFirstColumn="0" w:firstRowLastColumn="0" w:lastRowFirstColumn="0" w:lastRowLastColumn="0"/>
              <w:trHeight w:val="14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044278" w14:textId="43CA8F17" w:rsidR="007F6073" w:rsidRDefault="00000000">
                <w:pPr>
                  <w:spacing w:before="0"/>
                  <w:rPr>
                    <w:color w:val="auto"/>
                    <w:szCs w:val="22"/>
                    <w:lang w:val="en-GB"/>
                  </w:rPr>
                </w:pPr>
                <w:r>
                  <w:rPr>
                    <w:color w:val="auto"/>
                    <w:szCs w:val="22"/>
                    <w:lang w:val="en-GB"/>
                  </w:rPr>
                  <w:t>Operate &amp; Visibility</w:t>
                </w:r>
              </w:p>
            </w:tc>
            <w:tc>
              <w:tcPr>
                <w:tcW w:w="0" w:type="auto"/>
                <w:vAlign w:val="center"/>
                <w:hideMark/>
              </w:tcPr>
              <w:p w14:paraId="4B76E95C" w14:textId="3F17C95A"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color w:val="auto"/>
                    <w:szCs w:val="22"/>
                  </w:rPr>
                </w:pPr>
                <w:r>
                  <w:rPr>
                    <w:color w:val="auto"/>
                    <w:szCs w:val="22"/>
                  </w:rPr>
                  <w:t>Hansen Product Inventory + Reporting &amp; Analytics</w:t>
                </w:r>
              </w:p>
            </w:tc>
            <w:tc>
              <w:tcPr>
                <w:tcW w:w="0" w:type="auto"/>
                <w:vAlign w:val="center"/>
                <w:hideMark/>
              </w:tcPr>
              <w:p w14:paraId="2BE35141" w14:textId="353B3A53" w:rsidR="007F6073" w:rsidRDefault="00000000">
                <w:pPr>
                  <w:spacing w:before="0"/>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Maintain visibility of active customer services, service lifecycle status, operational KPIs, fulfilment progress and business performance across the Lead-to-Order lifecycle.</w:t>
                </w:r>
              </w:p>
            </w:tc>
          </w:tr>
        </w:tbl>
        <w:p w14:paraId="62CDCB00" w14:textId="62F4B102" w:rsidR="007F6073" w:rsidRDefault="00000000">
          <w:pPr>
            <w:pStyle w:val="Heading1"/>
            <w:rPr>
              <w:rFonts w:cstheme="minorBidi"/>
              <w:kern w:val="36"/>
              <w:lang w:val="en-GB" w:eastAsia="en-GB"/>
              <w14:ligatures w14:val="standardContextual"/>
            </w:rPr>
          </w:pPr>
          <w:bookmarkStart w:id="4" w:name="_Toc239002149"/>
          <w:r>
            <w:t>Solution Principles</w:t>
          </w:r>
          <w:bookmarkEnd w:id="4"/>
        </w:p>
        <w:p w14:paraId="7F4F871D" w14:textId="77777777" w:rsidR="007F6073" w:rsidRDefault="00000000">
          <w:pPr>
            <w:spacing w:before="100" w:beforeAutospacing="1" w:after="100" w:afterAutospacing="1" w:line="300" w:lineRule="atLeast"/>
            <w:rPr>
              <w:rFonts w:eastAsia="Times New Roman" w:cs="Segoe UI"/>
              <w:color w:val="auto"/>
              <w:szCs w:val="22"/>
              <w:lang w:val="en-GB" w:eastAsia="en-GB"/>
            </w:rPr>
          </w:pPr>
          <w:r>
            <w:rPr>
              <w:rFonts w:eastAsia="Times New Roman" w:cs="Segoe UI"/>
              <w:color w:val="auto"/>
              <w:szCs w:val="22"/>
              <w:lang w:val="en-GB" w:eastAsia="en-GB"/>
            </w:rPr>
            <w:t>Hansen’s proposed solution principles are intended to reduce delivery risk, protect Vodaria Group's existing investments and support long-term platform evolution.</w:t>
          </w:r>
        </w:p>
        <w:tbl>
          <w:tblPr>
            <w:tblStyle w:val="ListTable3-Accent1"/>
            <w:tblW w:w="0" w:type="auto"/>
            <w:tblLook w:val="04A0" w:firstRow="1" w:lastRow="0" w:firstColumn="1" w:lastColumn="0" w:noHBand="0" w:noVBand="1"/>
          </w:tblPr>
          <w:tblGrid>
            <w:gridCol w:w="2695"/>
            <w:gridCol w:w="7375"/>
          </w:tblGrid>
          <w:tr w:rsidR="007F6073" w14:paraId="2C75D887" w14:textId="77777777" w:rsidTr="007F6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vAlign w:val="center"/>
                <w:hideMark/>
              </w:tcPr>
              <w:p w14:paraId="28FF526E" w14:textId="77777777" w:rsidR="007F6073" w:rsidRDefault="00000000">
                <w:pPr>
                  <w:spacing w:before="0" w:line="240" w:lineRule="auto"/>
                  <w:jc w:val="center"/>
                  <w:rPr>
                    <w:rFonts w:eastAsia="Times New Roman" w:cs="Times New Roman"/>
                    <w:color w:val="FFFFFF" w:themeColor="background1"/>
                    <w:sz w:val="24"/>
                    <w:szCs w:val="24"/>
                    <w:lang w:val="en-GB" w:eastAsia="en-GB"/>
                  </w:rPr>
                </w:pPr>
                <w:r>
                  <w:rPr>
                    <w:rFonts w:eastAsia="Times New Roman" w:cs="Times New Roman"/>
                    <w:color w:val="FFFFFF" w:themeColor="background1"/>
                    <w:sz w:val="24"/>
                    <w:szCs w:val="24"/>
                    <w:lang w:val="en-GB" w:eastAsia="en-GB"/>
                  </w:rPr>
                  <w:lastRenderedPageBreak/>
                  <w:t>Principle</w:t>
                </w:r>
              </w:p>
            </w:tc>
            <w:tc>
              <w:tcPr>
                <w:tcW w:w="7375" w:type="dxa"/>
                <w:vAlign w:val="center"/>
                <w:hideMark/>
              </w:tcPr>
              <w:p w14:paraId="660A1934" w14:textId="77777777" w:rsidR="007F6073" w:rsidRDefault="000000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sz w:val="24"/>
                    <w:szCs w:val="24"/>
                    <w:lang w:val="en-GB" w:eastAsia="en-GB"/>
                  </w:rPr>
                </w:pPr>
                <w:r>
                  <w:rPr>
                    <w:rFonts w:eastAsia="Times New Roman" w:cs="Times New Roman"/>
                    <w:color w:val="FFFFFF" w:themeColor="background1"/>
                    <w:sz w:val="24"/>
                    <w:szCs w:val="24"/>
                    <w:lang w:val="en-GB" w:eastAsia="en-GB"/>
                  </w:rPr>
                  <w:t>Meaning for Vodaria Group</w:t>
                </w:r>
              </w:p>
            </w:tc>
          </w:tr>
          <w:tr w:rsidR="007F6073" w14:paraId="5239B797" w14:textId="77777777" w:rsidTr="007F6073">
            <w:trPr>
              <w:cnfStyle w:val="000000100000" w:firstRow="0" w:lastRow="0" w:firstColumn="0" w:lastColumn="0" w:oddVBand="0" w:evenVBand="0" w:oddHBand="1" w:evenHBand="0" w:firstRowFirstColumn="0" w:firstRowLastColumn="0" w:lastRowFirstColumn="0" w:lastRowLastColumn="0"/>
              <w:trHeight w:val="2222"/>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5E0799DC" w14:textId="77777777" w:rsidR="007F6073" w:rsidRDefault="00000000">
                <w:pPr>
                  <w:spacing w:before="0" w:line="240" w:lineRule="auto"/>
                  <w:rPr>
                    <w:rFonts w:eastAsia="Times New Roman" w:cs="Times New Roman"/>
                    <w:b w:val="0"/>
                    <w:color w:val="auto"/>
                    <w:szCs w:val="22"/>
                    <w:lang w:val="en-GB" w:eastAsia="en-GB"/>
                  </w:rPr>
                </w:pPr>
                <w:r>
                  <w:rPr>
                    <w:rFonts w:eastAsia="Times New Roman" w:cs="Times New Roman"/>
                    <w:b w:val="0"/>
                    <w:color w:val="auto"/>
                    <w:szCs w:val="22"/>
                    <w:lang w:val="en-GB" w:eastAsia="en-GB"/>
                  </w:rPr>
                  <w:t>Open and Scalable Architecture</w:t>
                </w:r>
              </w:p>
              <w:p w14:paraId="40007774" w14:textId="65508B94" w:rsidR="007F6073" w:rsidRDefault="007F6073">
                <w:pPr>
                  <w:spacing w:before="0" w:line="240" w:lineRule="auto"/>
                  <w:rPr>
                    <w:rFonts w:eastAsia="Times New Roman" w:cs="Times New Roman"/>
                    <w:b w:val="0"/>
                    <w:color w:val="auto"/>
                    <w:szCs w:val="22"/>
                    <w:lang w:val="en-GB" w:eastAsia="en-GB"/>
                  </w:rPr>
                </w:pPr>
              </w:p>
            </w:tc>
            <w:tc>
              <w:tcPr>
                <w:tcW w:w="7375" w:type="dxa"/>
                <w:vAlign w:val="center"/>
                <w:hideMark/>
              </w:tcPr>
              <w:p w14:paraId="39F903DC" w14:textId="5CCD2D7C" w:rsidR="007F6073" w:rsidRDefault="00000000">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val="en-GB" w:eastAsia="en-GB"/>
                  </w:rPr>
                </w:pPr>
                <w:r>
                  <w:rPr>
                    <w:rFonts w:eastAsia="Times New Roman" w:cs="Times New Roman"/>
                    <w:color w:val="auto"/>
                    <w:szCs w:val="22"/>
                    <w:lang w:val="en-GB" w:eastAsia="en-GB"/>
                  </w:rPr>
                  <w:t>Enable a modern, scalable platform foundation that supports growth in transaction volumes, global operations, and evolving business requirements through cloud-ready deployment, automated lifecycle management, and standardized operational practices. All Hansen CPQ and Hansen Order Management capabilities should integrate through governed APIs, events and adapters, enabling seamless integration with Salesforce CRM, Inventory, Orchestration, Billing and other Converged BSS Transformation ecosystem components.</w:t>
                </w:r>
              </w:p>
              <w:p w14:paraId="6CF370C2" w14:textId="25B153CC" w:rsidR="007F6073" w:rsidRDefault="007F6073">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val="en-GB" w:eastAsia="en-GB"/>
                  </w:rPr>
                </w:pPr>
              </w:p>
            </w:tc>
          </w:tr>
          <w:tr w:rsidR="007F6073" w14:paraId="34F804E1" w14:textId="77777777" w:rsidTr="007F6073">
            <w:trPr>
              <w:trHeight w:val="170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0B44F21A" w14:textId="512E1794" w:rsidR="007F6073" w:rsidRDefault="00000000">
                <w:pPr>
                  <w:spacing w:before="0" w:line="240" w:lineRule="auto"/>
                  <w:rPr>
                    <w:rFonts w:eastAsia="Times New Roman" w:cs="Times New Roman"/>
                    <w:b w:val="0"/>
                    <w:color w:val="auto"/>
                    <w:szCs w:val="22"/>
                    <w:lang w:val="en-GB" w:eastAsia="en-GB"/>
                  </w:rPr>
                </w:pPr>
                <w:r>
                  <w:rPr>
                    <w:rFonts w:eastAsia="Times New Roman" w:cs="Times New Roman"/>
                    <w:b w:val="0"/>
                    <w:color w:val="auto"/>
                    <w:szCs w:val="22"/>
                    <w:lang w:val="en-GB" w:eastAsia="en-GB"/>
                  </w:rPr>
                  <w:t>Standards Aligned</w:t>
                </w:r>
              </w:p>
            </w:tc>
            <w:tc>
              <w:tcPr>
                <w:tcW w:w="7375" w:type="dxa"/>
                <w:vAlign w:val="center"/>
                <w:hideMark/>
              </w:tcPr>
              <w:p w14:paraId="6F08858A" w14:textId="06028746" w:rsidR="007F6073" w:rsidRDefault="00000000">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val="en-GB" w:eastAsia="en-GB"/>
                  </w:rPr>
                </w:pPr>
                <w:r>
                  <w:rPr>
                    <w:rFonts w:eastAsia="Times New Roman" w:cs="Times New Roman"/>
                    <w:color w:val="auto"/>
                    <w:szCs w:val="22"/>
                    <w:lang w:val="en-GB" w:eastAsia="en-GB"/>
                  </w:rPr>
                  <w:t>Solution design follows TM Forum concepts and standards to reduce integration complexity and support future interoperability. Extend integrations to include Mplify LSO APIs where needed. Product, Quote, Order and Service concepts should be expressed in patterns familiar to the Telecom ecosystem where applicable.</w:t>
                </w:r>
              </w:p>
            </w:tc>
          </w:tr>
          <w:tr w:rsidR="007F6073" w14:paraId="7CB8012C" w14:textId="77777777" w:rsidTr="007F6073">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695" w:type="dxa"/>
                <w:vAlign w:val="center"/>
                <w:hideMark/>
              </w:tcPr>
              <w:p w14:paraId="29E00E6C" w14:textId="3C52ADDF" w:rsidR="007F6073" w:rsidRDefault="00000000">
                <w:pPr>
                  <w:spacing w:before="0" w:line="240" w:lineRule="auto"/>
                  <w:rPr>
                    <w:rFonts w:eastAsia="Times New Roman" w:cs="Times New Roman"/>
                    <w:b w:val="0"/>
                    <w:color w:val="auto"/>
                    <w:szCs w:val="22"/>
                    <w:lang w:val="en-GB" w:eastAsia="en-GB"/>
                  </w:rPr>
                </w:pPr>
                <w:r>
                  <w:rPr>
                    <w:rFonts w:eastAsia="Times New Roman" w:cs="Times New Roman"/>
                    <w:b w:val="0"/>
                    <w:color w:val="auto"/>
                    <w:szCs w:val="22"/>
                    <w:lang w:val="en-GB" w:eastAsia="en-GB"/>
                  </w:rPr>
                  <w:t>Configuration Before Customization</w:t>
                </w:r>
              </w:p>
            </w:tc>
            <w:tc>
              <w:tcPr>
                <w:tcW w:w="7375" w:type="dxa"/>
                <w:vAlign w:val="center"/>
                <w:hideMark/>
              </w:tcPr>
              <w:p w14:paraId="1396012E" w14:textId="0B5A0EE1" w:rsidR="007F6073" w:rsidRDefault="00000000">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val="en-GB" w:eastAsia="en-GB"/>
                  </w:rPr>
                </w:pPr>
                <w:r>
                  <w:rPr>
                    <w:rFonts w:eastAsia="Times New Roman" w:cs="Times New Roman"/>
                    <w:color w:val="auto"/>
                    <w:szCs w:val="22"/>
                    <w:lang w:val="en-GB" w:eastAsia="en-GB"/>
                  </w:rPr>
                  <w:t>Prioritize standard Hansen capabilities and configuration-driven implementation, minimizing bespoke development and delivery risk.</w:t>
                </w:r>
              </w:p>
            </w:tc>
          </w:tr>
          <w:tr w:rsidR="007F6073" w14:paraId="466A0B02" w14:textId="77777777" w:rsidTr="007F6073">
            <w:trPr>
              <w:trHeight w:val="125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7AD61D65" w14:textId="2306B669" w:rsidR="007F6073" w:rsidRDefault="00000000">
                <w:pPr>
                  <w:spacing w:before="0" w:line="240" w:lineRule="auto"/>
                  <w:rPr>
                    <w:rFonts w:eastAsia="Times New Roman" w:cs="Times New Roman"/>
                    <w:b w:val="0"/>
                    <w:color w:val="auto"/>
                    <w:szCs w:val="22"/>
                    <w:lang w:val="en-GB" w:eastAsia="en-GB"/>
                  </w:rPr>
                </w:pPr>
                <w:r>
                  <w:rPr>
                    <w:rFonts w:eastAsia="Times New Roman" w:cs="Times New Roman"/>
                    <w:b w:val="0"/>
                    <w:color w:val="auto"/>
                    <w:szCs w:val="22"/>
                    <w:lang w:val="en-GB" w:eastAsia="en-GB"/>
                  </w:rPr>
                  <w:t>Salesforce CRM-Centric CRM Integration</w:t>
                </w:r>
              </w:p>
            </w:tc>
            <w:tc>
              <w:tcPr>
                <w:tcW w:w="7375" w:type="dxa"/>
                <w:vAlign w:val="center"/>
              </w:tcPr>
              <w:p w14:paraId="03329425" w14:textId="0327F031" w:rsidR="007F6073" w:rsidRDefault="00000000">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val="en-GB" w:eastAsia="en-GB"/>
                  </w:rPr>
                </w:pPr>
                <w:r>
                  <w:rPr>
                    <w:rFonts w:eastAsia="Times New Roman" w:cs="Times New Roman"/>
                    <w:color w:val="auto"/>
                    <w:szCs w:val="22"/>
                    <w:lang w:val="en-GB" w:eastAsia="en-GB"/>
                  </w:rPr>
                  <w:t>Preserves Salesforce CRM as the system of record for customer and opportunity management while leveraging Hansen for telecom-specific CPQ and Order Management capabilities.</w:t>
                </w:r>
              </w:p>
            </w:tc>
          </w:tr>
          <w:tr w:rsidR="007F6073" w14:paraId="60621D78" w14:textId="77777777" w:rsidTr="007F6073">
            <w:trPr>
              <w:cnfStyle w:val="000000100000" w:firstRow="0" w:lastRow="0" w:firstColumn="0" w:lastColumn="0" w:oddVBand="0" w:evenVBand="0" w:oddHBand="1" w:evenHBand="0" w:firstRowFirstColumn="0" w:firstRowLastColumn="0" w:lastRowFirstColumn="0" w:lastRowLastColumn="0"/>
              <w:trHeight w:val="143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3B0793C5" w14:textId="338C6468" w:rsidR="007F6073" w:rsidRDefault="00000000">
                <w:pPr>
                  <w:spacing w:before="0" w:line="240" w:lineRule="auto"/>
                  <w:rPr>
                    <w:rFonts w:eastAsia="Times New Roman" w:cs="Times New Roman"/>
                    <w:b w:val="0"/>
                    <w:color w:val="auto"/>
                    <w:szCs w:val="22"/>
                    <w:lang w:val="en-GB" w:eastAsia="en-GB"/>
                  </w:rPr>
                </w:pPr>
                <w:r>
                  <w:rPr>
                    <w:rFonts w:eastAsia="Times New Roman" w:cs="Times New Roman"/>
                    <w:b w:val="0"/>
                    <w:color w:val="auto"/>
                    <w:szCs w:val="22"/>
                    <w:lang w:val="en-GB" w:eastAsia="en-GB"/>
                  </w:rPr>
                  <w:t>Lead-to-Order Process Standardization</w:t>
                </w:r>
              </w:p>
            </w:tc>
            <w:tc>
              <w:tcPr>
                <w:tcW w:w="7375" w:type="dxa"/>
                <w:vAlign w:val="center"/>
              </w:tcPr>
              <w:p w14:paraId="2CBCC1C3" w14:textId="0E49D16D" w:rsidR="007F6073" w:rsidRDefault="00000000">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val="en-GB" w:eastAsia="en-GB"/>
                  </w:rPr>
                </w:pPr>
                <w:r>
                  <w:rPr>
                    <w:rFonts w:eastAsia="Times New Roman" w:cs="Times New Roman"/>
                    <w:color w:val="auto"/>
                    <w:szCs w:val="22"/>
                    <w:lang w:val="en-GB" w:eastAsia="en-GB"/>
                  </w:rPr>
                  <w:t>Commercial and technical constraints should be managed within a single governed process to reduce fallout and rework. A single source of truth for products, services, resources, pricing and fulfilment rules ensures consistency across CPQ, Order Management and downstream systems.</w:t>
                </w:r>
              </w:p>
            </w:tc>
          </w:tr>
          <w:tr w:rsidR="007F6073" w14:paraId="10785ED4" w14:textId="77777777" w:rsidTr="007F6073">
            <w:trPr>
              <w:trHeight w:val="89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4051F8BA" w14:textId="538A35F9" w:rsidR="007F6073" w:rsidRDefault="00000000">
                <w:pPr>
                  <w:spacing w:before="0" w:line="240" w:lineRule="auto"/>
                  <w:rPr>
                    <w:rFonts w:eastAsia="Times New Roman" w:cs="Times New Roman"/>
                    <w:b w:val="0"/>
                    <w:color w:val="auto"/>
                    <w:szCs w:val="22"/>
                    <w:lang w:val="en-GB" w:eastAsia="en-GB"/>
                  </w:rPr>
                </w:pPr>
                <w:r>
                  <w:rPr>
                    <w:rFonts w:eastAsia="Times New Roman" w:cs="Times New Roman"/>
                    <w:b w:val="0"/>
                    <w:color w:val="auto"/>
                    <w:szCs w:val="22"/>
                    <w:lang w:val="en-GB" w:eastAsia="en-GB"/>
                  </w:rPr>
                  <w:t>Scalable for Complex Enterprise Services</w:t>
                </w:r>
              </w:p>
            </w:tc>
            <w:tc>
              <w:tcPr>
                <w:tcW w:w="7375" w:type="dxa"/>
                <w:vAlign w:val="center"/>
              </w:tcPr>
              <w:p w14:paraId="23BFCF17" w14:textId="527D35E4" w:rsidR="007F6073" w:rsidRDefault="00000000">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val="en-GB" w:eastAsia="en-GB"/>
                  </w:rPr>
                </w:pPr>
                <w:r>
                  <w:rPr>
                    <w:rFonts w:eastAsia="Times New Roman" w:cs="Times New Roman"/>
                    <w:color w:val="auto"/>
                    <w:szCs w:val="22"/>
                    <w:lang w:val="en-GB" w:eastAsia="en-GB"/>
                  </w:rPr>
                  <w:t>Support large multi-site opportunities, high quote volumes, hierarchical quotes, complex pricing and large order decomposition.</w:t>
                </w:r>
              </w:p>
            </w:tc>
          </w:tr>
          <w:tr w:rsidR="007F6073" w14:paraId="5945F1CA" w14:textId="77777777" w:rsidTr="007F6073">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418D6AB4" w14:textId="02F2BD2E" w:rsidR="007F6073" w:rsidRDefault="00000000">
                <w:pPr>
                  <w:spacing w:before="0" w:line="240" w:lineRule="auto"/>
                  <w:rPr>
                    <w:rFonts w:eastAsia="Times New Roman" w:cs="Times New Roman"/>
                    <w:b w:val="0"/>
                    <w:color w:val="auto"/>
                    <w:szCs w:val="22"/>
                    <w:lang w:val="en-GB" w:eastAsia="en-GB"/>
                  </w:rPr>
                </w:pPr>
                <w:r>
                  <w:rPr>
                    <w:rFonts w:eastAsia="Times New Roman" w:cs="Times New Roman"/>
                    <w:b w:val="0"/>
                    <w:color w:val="auto"/>
                    <w:szCs w:val="22"/>
                    <w:lang w:val="en-GB" w:eastAsia="en-GB"/>
                  </w:rPr>
                  <w:t>Incremental Transformation</w:t>
                </w:r>
              </w:p>
            </w:tc>
            <w:tc>
              <w:tcPr>
                <w:tcW w:w="7375" w:type="dxa"/>
                <w:vAlign w:val="center"/>
              </w:tcPr>
              <w:p w14:paraId="69436350" w14:textId="550A0FA3" w:rsidR="007F6073" w:rsidRDefault="00000000">
                <w:pPr>
                  <w:spacing w:before="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2"/>
                    <w:lang w:val="en-GB" w:eastAsia="en-GB"/>
                  </w:rPr>
                </w:pPr>
                <w:r>
                  <w:rPr>
                    <w:rFonts w:eastAsia="Times New Roman" w:cs="Times New Roman"/>
                    <w:color w:val="auto"/>
                    <w:szCs w:val="22"/>
                    <w:lang w:val="en-GB" w:eastAsia="en-GB"/>
                  </w:rPr>
                  <w:t>Enable phased migration from the existing environment, reducing business disruption and avoiding unnecessary parallel-run complexity.</w:t>
                </w:r>
              </w:p>
            </w:tc>
          </w:tr>
          <w:tr w:rsidR="007F6073" w14:paraId="578D47EA" w14:textId="77777777" w:rsidTr="007F6073">
            <w:trPr>
              <w:trHeight w:val="170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563CF7F" w14:textId="77777777" w:rsidR="007F6073" w:rsidRDefault="00000000">
                <w:pPr>
                  <w:spacing w:before="0" w:line="240" w:lineRule="auto"/>
                  <w:rPr>
                    <w:rFonts w:eastAsia="Times New Roman" w:cs="Times New Roman"/>
                    <w:b w:val="0"/>
                    <w:color w:val="auto"/>
                    <w:szCs w:val="22"/>
                    <w:lang w:val="en-GB" w:eastAsia="en-GB"/>
                  </w:rPr>
                </w:pPr>
                <w:r>
                  <w:rPr>
                    <w:rFonts w:eastAsia="Times New Roman" w:cs="Times New Roman"/>
                    <w:b w:val="0"/>
                    <w:color w:val="auto"/>
                    <w:szCs w:val="22"/>
                    <w:lang w:val="en-GB" w:eastAsia="en-GB"/>
                  </w:rPr>
                  <w:t>Governed Operating Model</w:t>
                </w:r>
              </w:p>
              <w:p w14:paraId="5295CA3C" w14:textId="0894F410" w:rsidR="007F6073" w:rsidRDefault="007F6073">
                <w:pPr>
                  <w:spacing w:before="0" w:line="240" w:lineRule="auto"/>
                  <w:rPr>
                    <w:rFonts w:eastAsia="Times New Roman" w:cs="Times New Roman"/>
                    <w:b w:val="0"/>
                    <w:color w:val="auto"/>
                    <w:szCs w:val="22"/>
                    <w:lang w:val="en-GB" w:eastAsia="en-GB"/>
                  </w:rPr>
                </w:pPr>
              </w:p>
            </w:tc>
            <w:tc>
              <w:tcPr>
                <w:tcW w:w="7375" w:type="dxa"/>
                <w:vAlign w:val="center"/>
              </w:tcPr>
              <w:p w14:paraId="577C531C" w14:textId="15D88FB3" w:rsidR="007F6073" w:rsidRDefault="00000000">
                <w:pPr>
                  <w:spacing w:before="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2"/>
                    <w:lang w:val="en-GB" w:eastAsia="en-GB"/>
                  </w:rPr>
                </w:pPr>
                <w:r>
                  <w:rPr>
                    <w:rFonts w:eastAsia="Times New Roman" w:cs="Times New Roman"/>
                    <w:color w:val="auto"/>
                    <w:szCs w:val="22"/>
                    <w:lang w:val="en-GB" w:eastAsia="en-GB"/>
                  </w:rPr>
                  <w:t>Security, auditability, access control, traceability and compliance are embedded in the architecture and delivery model from the outset. Each platform owns its domain: Salesforce CRM for CRM, Hansen for Catalog/CPQ/OM and Vodaria Group OSS platforms for network inventory and orchestration.</w:t>
                </w:r>
              </w:p>
            </w:tc>
          </w:tr>
        </w:tbl>
        <w:p w14:paraId="44F71B69" w14:textId="603793EF" w:rsidR="007F6073" w:rsidRDefault="00000000">
          <w:pPr>
            <w:pStyle w:val="Heading1"/>
            <w:rPr>
              <w:rFonts w:cstheme="minorBidi"/>
              <w:kern w:val="36"/>
              <w:lang w:val="en-GB" w:eastAsia="en-GB"/>
              <w14:ligatures w14:val="standardContextual"/>
            </w:rPr>
          </w:pPr>
          <w:bookmarkStart w:id="5" w:name="_Toc239002150"/>
          <w:r>
            <w:t>Proposed Solution Overview</w:t>
          </w:r>
          <w:bookmarkEnd w:id="5"/>
        </w:p>
        <w:p w14:paraId="609D76AF" w14:textId="623CE2E3" w:rsidR="007F6073" w:rsidRDefault="00000000">
          <w:pPr>
            <w:spacing w:after="100"/>
            <w:rPr>
              <w:color w:val="auto"/>
            </w:rPr>
          </w:pPr>
          <w:r>
            <w:rPr>
              <w:color w:val="auto"/>
            </w:rPr>
            <w:t xml:space="preserve">Hansen proposes a catalog-driven Lead-to-Order platform that provides Vodaria Group with a single foundation for product definition, quoting, fulfillment orchestration, and service lifecycle management. The solution is designed to support Vodaria Group's Converged BSS Transformation transformation objectives by replacing </w:t>
          </w:r>
          <w:r>
            <w:rPr>
              <w:color w:val="auto"/>
            </w:rPr>
            <w:lastRenderedPageBreak/>
            <w:t>fragmented CPQ and Order Management processes with an integrated, standards-based architecture that increases automation, reduces manual coordination, and enables the efficient delivery of both wholesale and enterprise connectivity services. A key objective is to establish the product catalog as the central source of truth, driving commercial and operational processes consistently across the ecosystem.</w:t>
          </w:r>
        </w:p>
        <w:p w14:paraId="5600C851" w14:textId="77777777" w:rsidR="007F6073" w:rsidRDefault="007F6073">
          <w:pPr>
            <w:spacing w:after="100"/>
            <w:jc w:val="both"/>
          </w:pPr>
        </w:p>
        <w:p w14:paraId="7B798DD0" w14:textId="36B4A130" w:rsidR="007F6073" w:rsidRDefault="00000000">
          <w:pPr>
            <w:spacing w:after="100"/>
            <w:jc w:val="both"/>
          </w:pPr>
          <w:r>
            <w:rPr>
              <w:rFonts w:hint="eastAsia"/>
              <w:noProof/>
            </w:rPr>
            <w:drawing>
              <wp:inline distT="0" distB="0" distL="0" distR="0" wp14:anchorId="4A987DF0" wp14:editId="55012101">
                <wp:extent cx="6400800" cy="3124200"/>
                <wp:effectExtent l="0" t="0" r="0" b="0"/>
                <wp:docPr id="118271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1952" name="Picture 118271952"/>
                        <pic:cNvPicPr/>
                      </pic:nvPicPr>
                      <pic:blipFill>
                        <a:blip r:embed="rId23">
                          <a:extLst>
                            <a:ext uri="{28A0092B-C50C-407E-A947-70E740481C1C}">
                              <a14:useLocalDpi xmlns:a14="http://schemas.microsoft.com/office/drawing/2010/main" val="0"/>
                            </a:ext>
                          </a:extLst>
                        </a:blip>
                        <a:stretch>
                          <a:fillRect/>
                        </a:stretch>
                      </pic:blipFill>
                      <pic:spPr>
                        <a:xfrm>
                          <a:off x="0" y="0"/>
                          <a:ext cx="6400800" cy="3124200"/>
                        </a:xfrm>
                        <a:prstGeom prst="rect">
                          <a:avLst/>
                        </a:prstGeom>
                      </pic:spPr>
                    </pic:pic>
                  </a:graphicData>
                </a:graphic>
              </wp:inline>
            </w:drawing>
          </w:r>
        </w:p>
        <w:p w14:paraId="0669018D" w14:textId="7EE45463" w:rsidR="007F6073" w:rsidRDefault="00000000">
          <w:pPr>
            <w:spacing w:after="100"/>
            <w:rPr>
              <w:color w:val="auto"/>
              <w:lang w:val="en-GB"/>
            </w:rPr>
          </w:pPr>
          <w:r>
            <w:rPr>
              <w:color w:val="auto"/>
              <w:lang w:val="en-GB"/>
            </w:rPr>
            <w:t>The architecture has been designed around the future operating model shown previously. Rather than viewing Catalog, CPQ and Order Management as separate applications, Vodaria Group should view the solution as a single Lead-to-Order platform where governed product information, commercial processes and fulfilment execution operate together through a shared set of business rules and lifecycle controls.</w:t>
          </w:r>
        </w:p>
        <w:p w14:paraId="43B120C2" w14:textId="5073C4AA" w:rsidR="007F6073" w:rsidRDefault="00000000">
          <w:pPr>
            <w:spacing w:after="100"/>
            <w:rPr>
              <w:color w:val="auto"/>
              <w:lang w:val="en-GB"/>
            </w:rPr>
          </w:pPr>
          <w:r>
            <w:rPr>
              <w:color w:val="auto"/>
              <w:lang w:val="en-GB"/>
            </w:rPr>
            <w:t>The architecture is designed to integrate seamlessly with Vodaria Group's evolving Converged BSS Transformation ecosystem, including inventory, resource planning, partner and automation capabilities</w:t>
          </w:r>
          <w:r>
            <w:rPr>
              <w:color w:val="auto"/>
            </w:rPr>
            <w:t xml:space="preserve">. By establishing a single commercial and operational foundation, Hansen enables faster product introduction, improved operational consistency, reduced manual effort, and greater scalability as Vodaria Group expands its enterprise services portfolio. </w:t>
          </w:r>
        </w:p>
        <w:p w14:paraId="121CBA13" w14:textId="7D427F6D" w:rsidR="007F6073" w:rsidRDefault="00000000">
          <w:pPr>
            <w:spacing w:after="100"/>
            <w:rPr>
              <w:color w:val="auto"/>
            </w:rPr>
          </w:pPr>
          <w:r>
            <w:rPr>
              <w:color w:val="auto"/>
            </w:rPr>
            <w:t>Ultimately, the solution delivers a modern, catalog-centric operating model that connects sales, fulfillment, and service lifecycle management through a common set of business rules and product definitions, providing the foundation for increased automation, accelerated delivery, and sustainable business growth.</w:t>
          </w:r>
        </w:p>
        <w:p w14:paraId="3476557D" w14:textId="77777777" w:rsidR="007F6073" w:rsidRDefault="007F6073">
          <w:pPr>
            <w:spacing w:after="100"/>
            <w:jc w:val="both"/>
          </w:pPr>
        </w:p>
        <w:tbl>
          <w:tblPr>
            <w:tblStyle w:val="ListTable3-Accent1"/>
            <w:tblW w:w="0" w:type="auto"/>
            <w:tblLook w:val="04A0" w:firstRow="1" w:lastRow="0" w:firstColumn="1" w:lastColumn="0" w:noHBand="0" w:noVBand="1"/>
          </w:tblPr>
          <w:tblGrid>
            <w:gridCol w:w="2101"/>
            <w:gridCol w:w="3024"/>
            <w:gridCol w:w="4945"/>
          </w:tblGrid>
          <w:tr w:rsidR="007F6073" w14:paraId="2D691A3A" w14:textId="77777777" w:rsidTr="007F6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01" w:type="dxa"/>
                <w:vAlign w:val="center"/>
              </w:tcPr>
              <w:p w14:paraId="29C469D5" w14:textId="77777777" w:rsidR="007F6073" w:rsidRDefault="00000000">
                <w:pPr>
                  <w:jc w:val="center"/>
                  <w:rPr>
                    <w:sz w:val="28"/>
                    <w:szCs w:val="24"/>
                  </w:rPr>
                </w:pPr>
                <w:r>
                  <w:rPr>
                    <w:color w:val="FFFFFF"/>
                    <w:sz w:val="28"/>
                    <w:szCs w:val="24"/>
                  </w:rPr>
                  <w:t>Layer</w:t>
                </w:r>
              </w:p>
            </w:tc>
            <w:tc>
              <w:tcPr>
                <w:tcW w:w="3024" w:type="dxa"/>
                <w:vAlign w:val="center"/>
              </w:tcPr>
              <w:p w14:paraId="6F1CC9D9" w14:textId="77777777" w:rsidR="007F6073" w:rsidRDefault="00000000">
                <w:pPr>
                  <w:jc w:val="center"/>
                  <w:cnfStyle w:val="100000000000" w:firstRow="1" w:lastRow="0" w:firstColumn="0" w:lastColumn="0" w:oddVBand="0" w:evenVBand="0" w:oddHBand="0" w:evenHBand="0" w:firstRowFirstColumn="0" w:firstRowLastColumn="0" w:lastRowFirstColumn="0" w:lastRowLastColumn="0"/>
                  <w:rPr>
                    <w:sz w:val="28"/>
                    <w:szCs w:val="24"/>
                  </w:rPr>
                </w:pPr>
                <w:r>
                  <w:rPr>
                    <w:color w:val="FFFFFF"/>
                    <w:sz w:val="28"/>
                    <w:szCs w:val="24"/>
                  </w:rPr>
                  <w:t>Hansen component / external system</w:t>
                </w:r>
              </w:p>
            </w:tc>
            <w:tc>
              <w:tcPr>
                <w:tcW w:w="4945" w:type="dxa"/>
                <w:vAlign w:val="center"/>
              </w:tcPr>
              <w:p w14:paraId="3E786FE3" w14:textId="77777777" w:rsidR="007F6073" w:rsidRDefault="00000000">
                <w:pPr>
                  <w:jc w:val="center"/>
                  <w:cnfStyle w:val="100000000000" w:firstRow="1" w:lastRow="0" w:firstColumn="0" w:lastColumn="0" w:oddVBand="0" w:evenVBand="0" w:oddHBand="0" w:evenHBand="0" w:firstRowFirstColumn="0" w:firstRowLastColumn="0" w:lastRowFirstColumn="0" w:lastRowLastColumn="0"/>
                  <w:rPr>
                    <w:sz w:val="28"/>
                    <w:szCs w:val="24"/>
                  </w:rPr>
                </w:pPr>
                <w:r>
                  <w:rPr>
                    <w:color w:val="FFFFFF"/>
                    <w:sz w:val="28"/>
                    <w:szCs w:val="24"/>
                  </w:rPr>
                  <w:t>Primary responsibility</w:t>
                </w:r>
              </w:p>
            </w:tc>
          </w:tr>
          <w:tr w:rsidR="007F6073" w14:paraId="2D48D3BA"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vAlign w:val="center"/>
              </w:tcPr>
              <w:p w14:paraId="341FF6D7" w14:textId="251FE17C" w:rsidR="007F6073" w:rsidRDefault="00000000">
                <w:r>
                  <w:lastRenderedPageBreak/>
                  <w:t>Customer &amp; Opportunity Management</w:t>
                </w:r>
              </w:p>
            </w:tc>
            <w:tc>
              <w:tcPr>
                <w:tcW w:w="3024" w:type="dxa"/>
                <w:vAlign w:val="center"/>
              </w:tcPr>
              <w:p w14:paraId="494D72CB" w14:textId="77777777" w:rsidR="007F6073" w:rsidRDefault="00000000">
                <w:pPr>
                  <w:cnfStyle w:val="000000100000" w:firstRow="0" w:lastRow="0" w:firstColumn="0" w:lastColumn="0" w:oddVBand="0" w:evenVBand="0" w:oddHBand="1" w:evenHBand="0" w:firstRowFirstColumn="0" w:firstRowLastColumn="0" w:lastRowFirstColumn="0" w:lastRowLastColumn="0"/>
                </w:pPr>
                <w:r>
                  <w:t>Salesforce CRM</w:t>
                </w:r>
              </w:p>
            </w:tc>
            <w:tc>
              <w:tcPr>
                <w:tcW w:w="4945" w:type="dxa"/>
              </w:tcPr>
              <w:p w14:paraId="3B39A3AC" w14:textId="6B5419B9" w:rsidR="007F6073" w:rsidRDefault="00000000">
                <w:pPr>
                  <w:cnfStyle w:val="000000100000" w:firstRow="0" w:lastRow="0" w:firstColumn="0" w:lastColumn="0" w:oddVBand="0" w:evenVBand="0" w:oddHBand="1" w:evenHBand="0" w:firstRowFirstColumn="0" w:firstRowLastColumn="0" w:lastRowFirstColumn="0" w:lastRowLastColumn="0"/>
                </w:pPr>
                <w:r>
                  <w:t>System of record for accounts, contacts, opportunities, customer interactions and sales pipeline management.</w:t>
                </w:r>
              </w:p>
            </w:tc>
          </w:tr>
          <w:tr w:rsidR="007F6073" w14:paraId="7F469AE5" w14:textId="77777777" w:rsidTr="007F6073">
            <w:tc>
              <w:tcPr>
                <w:cnfStyle w:val="001000000000" w:firstRow="0" w:lastRow="0" w:firstColumn="1" w:lastColumn="0" w:oddVBand="0" w:evenVBand="0" w:oddHBand="0" w:evenHBand="0" w:firstRowFirstColumn="0" w:firstRowLastColumn="0" w:lastRowFirstColumn="0" w:lastRowLastColumn="0"/>
                <w:tcW w:w="2101" w:type="dxa"/>
                <w:vAlign w:val="center"/>
              </w:tcPr>
              <w:p w14:paraId="0AAE1BE9" w14:textId="1A6946D2" w:rsidR="007F6073" w:rsidRDefault="00000000">
                <w:pPr>
                  <w:rPr>
                    <w:b w:val="0"/>
                  </w:rPr>
                </w:pPr>
                <w:r>
                  <w:t>Guided Sales Journey &amp; Process Orchestration</w:t>
                </w:r>
              </w:p>
            </w:tc>
            <w:tc>
              <w:tcPr>
                <w:tcW w:w="3024" w:type="dxa"/>
                <w:vAlign w:val="center"/>
              </w:tcPr>
              <w:p w14:paraId="54716939" w14:textId="0AC751F9" w:rsidR="007F6073" w:rsidRDefault="00000000">
                <w:pPr>
                  <w:cnfStyle w:val="000000000000" w:firstRow="0" w:lastRow="0" w:firstColumn="0" w:lastColumn="0" w:oddVBand="0" w:evenVBand="0" w:oddHBand="0" w:evenHBand="0" w:firstRowFirstColumn="0" w:firstRowLastColumn="0" w:lastRowFirstColumn="0" w:lastRowLastColumn="0"/>
                </w:pPr>
                <w:r>
                  <w:t>Hansen Sales Navigator</w:t>
                </w:r>
              </w:p>
            </w:tc>
            <w:tc>
              <w:tcPr>
                <w:tcW w:w="4945" w:type="dxa"/>
              </w:tcPr>
              <w:p w14:paraId="1DDE96A9" w14:textId="43267A7F" w:rsidR="007F6073" w:rsidRDefault="00000000">
                <w:pPr>
                  <w:cnfStyle w:val="000000000000" w:firstRow="0" w:lastRow="0" w:firstColumn="0" w:lastColumn="0" w:oddVBand="0" w:evenVBand="0" w:oddHBand="0" w:evenHBand="0" w:firstRowFirstColumn="0" w:firstRowLastColumn="0" w:lastRowFirstColumn="0" w:lastRowLastColumn="0"/>
                </w:pPr>
                <w:r>
                  <w:t>Orchestrates the end-to-end Lead-to-Order journey, guiding users through qualification, solution design, approvals, negotiations, contract creation and order capture based on business rules and process requirements.</w:t>
                </w:r>
              </w:p>
            </w:tc>
          </w:tr>
          <w:tr w:rsidR="007F6073" w14:paraId="05261CC0"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vAlign w:val="center"/>
              </w:tcPr>
              <w:p w14:paraId="5DEF6308" w14:textId="44609275" w:rsidR="007F6073" w:rsidRDefault="00000000">
                <w:r>
                  <w:t>Product &amp; Commercial Governance</w:t>
                </w:r>
              </w:p>
            </w:tc>
            <w:tc>
              <w:tcPr>
                <w:tcW w:w="3024" w:type="dxa"/>
                <w:vAlign w:val="center"/>
              </w:tcPr>
              <w:p w14:paraId="43B7094A" w14:textId="77777777" w:rsidR="007F6073" w:rsidRDefault="00000000">
                <w:pPr>
                  <w:cnfStyle w:val="000000100000" w:firstRow="0" w:lastRow="0" w:firstColumn="0" w:lastColumn="0" w:oddVBand="0" w:evenVBand="0" w:oddHBand="1" w:evenHBand="0" w:firstRowFirstColumn="0" w:firstRowLastColumn="0" w:lastRowFirstColumn="0" w:lastRowLastColumn="0"/>
                </w:pPr>
                <w:r>
                  <w:t>Hansen Catalog</w:t>
                </w:r>
              </w:p>
            </w:tc>
            <w:tc>
              <w:tcPr>
                <w:tcW w:w="4945" w:type="dxa"/>
              </w:tcPr>
              <w:p w14:paraId="5FEC3E7D" w14:textId="2EE0C1B4" w:rsidR="007F6073" w:rsidRDefault="00000000">
                <w:pPr>
                  <w:cnfStyle w:val="000000100000" w:firstRow="0" w:lastRow="0" w:firstColumn="0" w:lastColumn="0" w:oddVBand="0" w:evenVBand="0" w:oddHBand="1" w:evenHBand="0" w:firstRowFirstColumn="0" w:firstRowLastColumn="0" w:lastRowFirstColumn="0" w:lastRowLastColumn="0"/>
                </w:pPr>
                <w:r>
                  <w:t>Central source of truth for products, services, resources, pricing structures, eligibility rules, compatibility rules and lifecycle management.</w:t>
                </w:r>
              </w:p>
            </w:tc>
          </w:tr>
          <w:tr w:rsidR="007F6073" w14:paraId="35F82154" w14:textId="77777777" w:rsidTr="007F6073">
            <w:tc>
              <w:tcPr>
                <w:cnfStyle w:val="001000000000" w:firstRow="0" w:lastRow="0" w:firstColumn="1" w:lastColumn="0" w:oddVBand="0" w:evenVBand="0" w:oddHBand="0" w:evenHBand="0" w:firstRowFirstColumn="0" w:firstRowLastColumn="0" w:lastRowFirstColumn="0" w:lastRowLastColumn="0"/>
                <w:tcW w:w="2101" w:type="dxa"/>
                <w:vAlign w:val="center"/>
              </w:tcPr>
              <w:p w14:paraId="2229B556" w14:textId="29375CFC" w:rsidR="007F6073" w:rsidRDefault="00000000">
                <w:r>
                  <w:t>Runtime Catalog Services</w:t>
                </w:r>
              </w:p>
            </w:tc>
            <w:tc>
              <w:tcPr>
                <w:tcW w:w="3024" w:type="dxa"/>
                <w:vAlign w:val="center"/>
              </w:tcPr>
              <w:p w14:paraId="351E77F0" w14:textId="77777777" w:rsidR="007F6073" w:rsidRDefault="00000000">
                <w:pPr>
                  <w:cnfStyle w:val="000000000000" w:firstRow="0" w:lastRow="0" w:firstColumn="0" w:lastColumn="0" w:oddVBand="0" w:evenVBand="0" w:oddHBand="0" w:evenHBand="0" w:firstRowFirstColumn="0" w:firstRowLastColumn="0" w:lastRowFirstColumn="0" w:lastRowLastColumn="0"/>
                </w:pPr>
                <w:r>
                  <w:t>Hansen Catalog Services</w:t>
                </w:r>
              </w:p>
            </w:tc>
            <w:tc>
              <w:tcPr>
                <w:tcW w:w="4945" w:type="dxa"/>
              </w:tcPr>
              <w:p w14:paraId="6CEC07E7" w14:textId="7A3F66F8" w:rsidR="007F6073" w:rsidRDefault="00000000">
                <w:pPr>
                  <w:cnfStyle w:val="000000000000" w:firstRow="0" w:lastRow="0" w:firstColumn="0" w:lastColumn="0" w:oddVBand="0" w:evenVBand="0" w:oddHBand="0" w:evenHBand="0" w:firstRowFirstColumn="0" w:firstRowLastColumn="0" w:lastRowFirstColumn="0" w:lastRowLastColumn="0"/>
                </w:pPr>
                <w:r>
                  <w:t>Exposes catalog-driven APIs for product discovery, configuration, pricing, technical validation and order decomposition, ensuring consistent business rules across channels and processes.</w:t>
                </w:r>
              </w:p>
            </w:tc>
          </w:tr>
          <w:tr w:rsidR="007F6073" w14:paraId="75CE2BD5"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vAlign w:val="center"/>
              </w:tcPr>
              <w:p w14:paraId="0B236976" w14:textId="2CFE4149" w:rsidR="007F6073" w:rsidRDefault="00000000">
                <w:r>
                  <w:t>Solution Configuration, Pricing &amp; Quotation</w:t>
                </w:r>
              </w:p>
            </w:tc>
            <w:tc>
              <w:tcPr>
                <w:tcW w:w="3024" w:type="dxa"/>
                <w:vAlign w:val="center"/>
              </w:tcPr>
              <w:p w14:paraId="68919474" w14:textId="77777777" w:rsidR="007F6073" w:rsidRDefault="00000000">
                <w:pPr>
                  <w:cnfStyle w:val="000000100000" w:firstRow="0" w:lastRow="0" w:firstColumn="0" w:lastColumn="0" w:oddVBand="0" w:evenVBand="0" w:oddHBand="1" w:evenHBand="0" w:firstRowFirstColumn="0" w:firstRowLastColumn="0" w:lastRowFirstColumn="0" w:lastRowLastColumn="0"/>
                </w:pPr>
                <w:r>
                  <w:t>Hansen CPQ</w:t>
                </w:r>
              </w:p>
            </w:tc>
            <w:tc>
              <w:tcPr>
                <w:tcW w:w="4945" w:type="dxa"/>
              </w:tcPr>
              <w:p w14:paraId="33F91602" w14:textId="794BD9F7" w:rsidR="007F6073" w:rsidRDefault="00000000">
                <w:pPr>
                  <w:cnfStyle w:val="000000100000" w:firstRow="0" w:lastRow="0" w:firstColumn="0" w:lastColumn="0" w:oddVBand="0" w:evenVBand="0" w:oddHBand="1" w:evenHBand="0" w:firstRowFirstColumn="0" w:firstRowLastColumn="0" w:lastRowFirstColumn="0" w:lastRowLastColumn="0"/>
                </w:pPr>
                <w:r>
                  <w:t>Supports guided selling, technical and commercial solution design, multi-currency pricing, quote management, negotiations, approvals and quote-to-order conversion.</w:t>
                </w:r>
              </w:p>
            </w:tc>
          </w:tr>
          <w:tr w:rsidR="007F6073" w14:paraId="4110B0D5" w14:textId="77777777" w:rsidTr="007F6073">
            <w:tc>
              <w:tcPr>
                <w:cnfStyle w:val="001000000000" w:firstRow="0" w:lastRow="0" w:firstColumn="1" w:lastColumn="0" w:oddVBand="0" w:evenVBand="0" w:oddHBand="0" w:evenHBand="0" w:firstRowFirstColumn="0" w:firstRowLastColumn="0" w:lastRowFirstColumn="0" w:lastRowLastColumn="0"/>
                <w:tcW w:w="2101" w:type="dxa"/>
                <w:vAlign w:val="center"/>
              </w:tcPr>
              <w:p w14:paraId="7BB71B4E" w14:textId="57299F1D" w:rsidR="007F6073" w:rsidRDefault="00000000">
                <w:pPr>
                  <w:rPr>
                    <w:b w:val="0"/>
                  </w:rPr>
                </w:pPr>
                <w:r>
                  <w:t>Commercial Agreement &amp; Contract-Based Ordering</w:t>
                </w:r>
              </w:p>
            </w:tc>
            <w:tc>
              <w:tcPr>
                <w:tcW w:w="3024" w:type="dxa"/>
                <w:vAlign w:val="center"/>
              </w:tcPr>
              <w:p w14:paraId="3A9F7580" w14:textId="238A6959" w:rsidR="007F6073" w:rsidRDefault="00000000">
                <w:pPr>
                  <w:cnfStyle w:val="000000000000" w:firstRow="0" w:lastRow="0" w:firstColumn="0" w:lastColumn="0" w:oddVBand="0" w:evenVBand="0" w:oddHBand="0" w:evenHBand="0" w:firstRowFirstColumn="0" w:firstRowLastColumn="0" w:lastRowFirstColumn="0" w:lastRowLastColumn="0"/>
                </w:pPr>
                <w:r>
                  <w:t>Hansen CPQ + Catalog Services</w:t>
                </w:r>
              </w:p>
            </w:tc>
            <w:tc>
              <w:tcPr>
                <w:tcW w:w="4945" w:type="dxa"/>
              </w:tcPr>
              <w:p w14:paraId="126B7FC0" w14:textId="0BA5AB44" w:rsidR="007F6073" w:rsidRDefault="00000000">
                <w:pPr>
                  <w:cnfStyle w:val="000000000000" w:firstRow="0" w:lastRow="0" w:firstColumn="0" w:lastColumn="0" w:oddVBand="0" w:evenVBand="0" w:oddHBand="0" w:evenHBand="0" w:firstRowFirstColumn="0" w:firstRowLastColumn="0" w:lastRowFirstColumn="0" w:lastRowLastColumn="0"/>
                </w:pPr>
                <w:r>
                  <w:t>Manages framework agreements, negotiated pricing, customer commitments and contract-based ordering whilst enforcing contractual entitlements and commercial governance.</w:t>
                </w:r>
              </w:p>
            </w:tc>
          </w:tr>
          <w:tr w:rsidR="007F6073" w14:paraId="222E904D"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vAlign w:val="center"/>
              </w:tcPr>
              <w:p w14:paraId="017473CF" w14:textId="5AF0E9A6" w:rsidR="007F6073" w:rsidRDefault="00000000">
                <w:r>
                  <w:t>Order Orchestration &amp; Fulfilment Management</w:t>
                </w:r>
              </w:p>
            </w:tc>
            <w:tc>
              <w:tcPr>
                <w:tcW w:w="3024" w:type="dxa"/>
                <w:vAlign w:val="center"/>
              </w:tcPr>
              <w:p w14:paraId="6B8B6F30" w14:textId="77777777" w:rsidR="007F6073" w:rsidRDefault="00000000">
                <w:pPr>
                  <w:cnfStyle w:val="000000100000" w:firstRow="0" w:lastRow="0" w:firstColumn="0" w:lastColumn="0" w:oddVBand="0" w:evenVBand="0" w:oddHBand="1" w:evenHBand="0" w:firstRowFirstColumn="0" w:firstRowLastColumn="0" w:lastRowFirstColumn="0" w:lastRowLastColumn="0"/>
                </w:pPr>
                <w:r>
                  <w:t>Hansen Order Management</w:t>
                </w:r>
              </w:p>
            </w:tc>
            <w:tc>
              <w:tcPr>
                <w:tcW w:w="4945" w:type="dxa"/>
              </w:tcPr>
              <w:p w14:paraId="5F357DF9" w14:textId="2C7F6A9B" w:rsidR="007F6073" w:rsidRDefault="00000000">
                <w:pPr>
                  <w:cnfStyle w:val="000000100000" w:firstRow="0" w:lastRow="0" w:firstColumn="0" w:lastColumn="0" w:oddVBand="0" w:evenVBand="0" w:oddHBand="1" w:evenHBand="0" w:firstRowFirstColumn="0" w:firstRowLastColumn="0" w:lastRowFirstColumn="0" w:lastRowLastColumn="0"/>
                </w:pPr>
                <w:r>
                  <w:t>Converts approved orders into fulfilment-ready workstreams, managing decomposition, orchestration, workflow, task management, exception handling and fulfilment visibility.</w:t>
                </w:r>
              </w:p>
            </w:tc>
          </w:tr>
          <w:tr w:rsidR="007F6073" w14:paraId="6BFF5CDA" w14:textId="77777777" w:rsidTr="007F6073">
            <w:tc>
              <w:tcPr>
                <w:cnfStyle w:val="001000000000" w:firstRow="0" w:lastRow="0" w:firstColumn="1" w:lastColumn="0" w:oddVBand="0" w:evenVBand="0" w:oddHBand="0" w:evenHBand="0" w:firstRowFirstColumn="0" w:firstRowLastColumn="0" w:lastRowFirstColumn="0" w:lastRowLastColumn="0"/>
                <w:tcW w:w="2101" w:type="dxa"/>
                <w:vAlign w:val="center"/>
              </w:tcPr>
              <w:p w14:paraId="6F62A174" w14:textId="22DA8744" w:rsidR="007F6073" w:rsidRDefault="00000000">
                <w:r>
                  <w:t>Product &amp; Service Inventory</w:t>
                </w:r>
              </w:p>
            </w:tc>
            <w:tc>
              <w:tcPr>
                <w:tcW w:w="3024" w:type="dxa"/>
                <w:vAlign w:val="center"/>
              </w:tcPr>
              <w:p w14:paraId="35D8C3EC" w14:textId="08CA62DA" w:rsidR="007F6073" w:rsidRDefault="00000000">
                <w:pPr>
                  <w:cnfStyle w:val="000000000000" w:firstRow="0" w:lastRow="0" w:firstColumn="0" w:lastColumn="0" w:oddVBand="0" w:evenVBand="0" w:oddHBand="0" w:evenHBand="0" w:firstRowFirstColumn="0" w:firstRowLastColumn="0" w:lastRowFirstColumn="0" w:lastRowLastColumn="0"/>
                </w:pPr>
                <w:r>
                  <w:t>Hansen Portfolio Inventory</w:t>
                </w:r>
              </w:p>
            </w:tc>
            <w:tc>
              <w:tcPr>
                <w:tcW w:w="4945" w:type="dxa"/>
              </w:tcPr>
              <w:p w14:paraId="57E0F40C" w14:textId="4A078597" w:rsidR="007F6073" w:rsidRDefault="00000000">
                <w:pPr>
                  <w:cnfStyle w:val="000000000000" w:firstRow="0" w:lastRow="0" w:firstColumn="0" w:lastColumn="0" w:oddVBand="0" w:evenVBand="0" w:oddHBand="0" w:evenHBand="0" w:firstRowFirstColumn="0" w:firstRowLastColumn="0" w:lastRowFirstColumn="0" w:lastRowLastColumn="0"/>
                </w:pPr>
                <w:r>
                  <w:t>Maintains the operational view of delivered products and services, supporting MACD activities, inventory-aware fulfilment and lifecycle management.</w:t>
                </w:r>
              </w:p>
            </w:tc>
          </w:tr>
          <w:tr w:rsidR="007F6073" w14:paraId="0B324C1C"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vAlign w:val="center"/>
              </w:tcPr>
              <w:p w14:paraId="3E9A17FF" w14:textId="25F8ABBD" w:rsidR="007F6073" w:rsidRDefault="00000000">
                <w:r>
                  <w:t>External Ecosystem &amp; Operational Platforms</w:t>
                </w:r>
              </w:p>
            </w:tc>
            <w:tc>
              <w:tcPr>
                <w:tcW w:w="3024" w:type="dxa"/>
              </w:tcPr>
              <w:p w14:paraId="389774C5" w14:textId="778B883F" w:rsidR="007F6073" w:rsidRDefault="00000000">
                <w:pPr>
                  <w:cnfStyle w:val="000000100000" w:firstRow="0" w:lastRow="0" w:firstColumn="0" w:lastColumn="0" w:oddVBand="0" w:evenVBand="0" w:oddHBand="1" w:evenHBand="0" w:firstRowFirstColumn="0" w:firstRowLastColumn="0" w:lastRowFirstColumn="0" w:lastRowLastColumn="0"/>
                </w:pPr>
                <w:r>
                  <w:t>Vodaria Group OSS/BSS, Inventory, CLM, Billing, Partner and Network Systems</w:t>
                </w:r>
              </w:p>
            </w:tc>
            <w:tc>
              <w:tcPr>
                <w:tcW w:w="4945" w:type="dxa"/>
              </w:tcPr>
              <w:p w14:paraId="256768F5" w14:textId="26254682" w:rsidR="007F6073" w:rsidRDefault="00000000">
                <w:pPr>
                  <w:cnfStyle w:val="000000100000" w:firstRow="0" w:lastRow="0" w:firstColumn="0" w:lastColumn="0" w:oddVBand="0" w:evenVBand="0" w:oddHBand="1" w:evenHBand="0" w:firstRowFirstColumn="0" w:firstRowLastColumn="0" w:lastRowFirstColumn="0" w:lastRowLastColumn="0"/>
                </w:pPr>
                <w:r>
                  <w:t>Systems integrated with the Hansen platform for service qualification, network planning, fulfilment, contract management, billing and operational processes.</w:t>
                </w:r>
              </w:p>
            </w:tc>
          </w:tr>
        </w:tbl>
        <w:p w14:paraId="239E7E21" w14:textId="77777777" w:rsidR="007F6073" w:rsidRDefault="007F6073"/>
        <w:p w14:paraId="34C1C8E7" w14:textId="4F331B7A" w:rsidR="007F6073" w:rsidRDefault="00000000">
          <w:pPr>
            <w:pStyle w:val="Heading2"/>
            <w:rPr>
              <w:rFonts w:cstheme="minorBidi"/>
              <w:kern w:val="2"/>
              <w:szCs w:val="32"/>
              <w:lang w:val="en-GB" w:eastAsia="en-GB"/>
              <w14:ligatures w14:val="standardContextual"/>
            </w:rPr>
          </w:pPr>
          <w:bookmarkStart w:id="6" w:name="_Toc239002151"/>
          <w:r>
            <w:rPr>
              <w:rFonts w:cstheme="minorBidi"/>
            </w:rPr>
            <w:t>Hansen Solution Components</w:t>
          </w:r>
          <w:bookmarkEnd w:id="6"/>
        </w:p>
        <w:p w14:paraId="3DFA0BCE" w14:textId="77777777" w:rsidR="007F6073" w:rsidRDefault="00000000">
          <w:pPr>
            <w:pStyle w:val="NormalWeb"/>
            <w:spacing w:line="300" w:lineRule="atLeast"/>
            <w:rPr>
              <w:rFonts w:asciiTheme="minorHAnsi" w:hAnsiTheme="minorHAnsi" w:cs="Segoe UI"/>
              <w:sz w:val="22"/>
              <w:szCs w:val="22"/>
            </w:rPr>
          </w:pPr>
          <w:r>
            <w:rPr>
              <w:rFonts w:asciiTheme="minorHAnsi" w:hAnsiTheme="minorHAnsi" w:cs="Segoe UI"/>
              <w:sz w:val="22"/>
              <w:szCs w:val="22"/>
            </w:rPr>
            <w:t>The Hansen solution has not been assembled as a collection of disconnected products. Each component supports a specific stage of Vodaria Group's future Lead-to-Order operating model. Together they create a governed process which connects customer demand, product configuration, commercial control and service fulfilment through a single end-to-end operating framework.</w:t>
          </w:r>
        </w:p>
        <w:p w14:paraId="39D9D71E" w14:textId="37389268" w:rsidR="007F6073" w:rsidRDefault="00000000">
          <w:pPr>
            <w:pStyle w:val="NormalWeb"/>
            <w:spacing w:line="300" w:lineRule="atLeast"/>
            <w:rPr>
              <w:rFonts w:asciiTheme="minorHAnsi" w:hAnsiTheme="minorHAnsi" w:cs="Segoe UI"/>
              <w:sz w:val="22"/>
              <w:szCs w:val="22"/>
            </w:rPr>
          </w:pPr>
          <w:r>
            <w:rPr>
              <w:rFonts w:asciiTheme="minorHAnsi" w:hAnsiTheme="minorHAnsi" w:cs="Segoe UI"/>
              <w:sz w:val="22"/>
              <w:szCs w:val="22"/>
            </w:rPr>
            <w:t>The objective is not merely to replace existing CPQ and Order Management capabilities. The objective is to provide Vodaria Group with a scalable foundation capable of supporting increasingly complex enterprise opportunities, reducing manual coordination, improving quote quality and creating the operational flexibility required for future growth.</w:t>
          </w:r>
        </w:p>
        <w:tbl>
          <w:tblPr>
            <w:tblStyle w:val="ListTable3-Accent1"/>
            <w:tblW w:w="0" w:type="auto"/>
            <w:tblLook w:val="04A0" w:firstRow="1" w:lastRow="0" w:firstColumn="1" w:lastColumn="0" w:noHBand="0" w:noVBand="1"/>
          </w:tblPr>
          <w:tblGrid>
            <w:gridCol w:w="2368"/>
            <w:gridCol w:w="3708"/>
            <w:gridCol w:w="3994"/>
          </w:tblGrid>
          <w:tr w:rsidR="007F6073" w14:paraId="385D9B15" w14:textId="77777777" w:rsidTr="007F607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370" w:type="dxa"/>
                <w:vAlign w:val="center"/>
              </w:tcPr>
              <w:p w14:paraId="0CEC755A" w14:textId="77777777" w:rsidR="007F6073" w:rsidRDefault="00000000">
                <w:pPr>
                  <w:jc w:val="center"/>
                  <w:rPr>
                    <w:sz w:val="28"/>
                    <w:szCs w:val="24"/>
                  </w:rPr>
                </w:pPr>
                <w:r>
                  <w:rPr>
                    <w:color w:val="FFFFFF"/>
                    <w:sz w:val="28"/>
                    <w:szCs w:val="24"/>
                  </w:rPr>
                  <w:t>Component</w:t>
                </w:r>
              </w:p>
            </w:tc>
            <w:tc>
              <w:tcPr>
                <w:tcW w:w="3712" w:type="dxa"/>
                <w:vAlign w:val="center"/>
              </w:tcPr>
              <w:p w14:paraId="665EBA4F" w14:textId="77777777" w:rsidR="007F6073" w:rsidRDefault="00000000">
                <w:pPr>
                  <w:jc w:val="center"/>
                  <w:cnfStyle w:val="100000000000" w:firstRow="1" w:lastRow="0" w:firstColumn="0" w:lastColumn="0" w:oddVBand="0" w:evenVBand="0" w:oddHBand="0" w:evenHBand="0" w:firstRowFirstColumn="0" w:firstRowLastColumn="0" w:lastRowFirstColumn="0" w:lastRowLastColumn="0"/>
                  <w:rPr>
                    <w:sz w:val="28"/>
                    <w:szCs w:val="24"/>
                  </w:rPr>
                </w:pPr>
                <w:r>
                  <w:rPr>
                    <w:color w:val="FFFFFF"/>
                    <w:sz w:val="28"/>
                    <w:szCs w:val="24"/>
                  </w:rPr>
                  <w:t>Role in Vodaria Group Converged BSS Transformation</w:t>
                </w:r>
              </w:p>
            </w:tc>
            <w:tc>
              <w:tcPr>
                <w:tcW w:w="3998" w:type="dxa"/>
                <w:vAlign w:val="center"/>
              </w:tcPr>
              <w:p w14:paraId="5B1E66E1" w14:textId="34D492AB" w:rsidR="007F6073" w:rsidRDefault="00000000">
                <w:pPr>
                  <w:jc w:val="center"/>
                  <w:cnfStyle w:val="100000000000" w:firstRow="1" w:lastRow="0" w:firstColumn="0" w:lastColumn="0" w:oddVBand="0" w:evenVBand="0" w:oddHBand="0" w:evenHBand="0" w:firstRowFirstColumn="0" w:firstRowLastColumn="0" w:lastRowFirstColumn="0" w:lastRowLastColumn="0"/>
                  <w:rPr>
                    <w:sz w:val="28"/>
                    <w:szCs w:val="24"/>
                  </w:rPr>
                </w:pPr>
                <w:r>
                  <w:rPr>
                    <w:color w:val="FFFFFF"/>
                    <w:sz w:val="28"/>
                    <w:szCs w:val="24"/>
                  </w:rPr>
                  <w:t>Key points to emphasize</w:t>
                </w:r>
              </w:p>
            </w:tc>
          </w:tr>
          <w:tr w:rsidR="007F6073" w14:paraId="5EC88841" w14:textId="77777777" w:rsidTr="007F6073">
            <w:trPr>
              <w:cnfStyle w:val="000000100000" w:firstRow="0" w:lastRow="0" w:firstColumn="0" w:lastColumn="0" w:oddVBand="0" w:evenVBand="0" w:oddHBand="1" w:evenHBand="0" w:firstRowFirstColumn="0" w:firstRowLastColumn="0" w:lastRowFirstColumn="0" w:lastRowLastColumn="0"/>
              <w:trHeight w:val="2060"/>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7A134A32" w14:textId="77777777" w:rsidR="007F6073" w:rsidRDefault="00000000">
                <w:r>
                  <w:t>Hansen Catalog</w:t>
                </w:r>
              </w:p>
            </w:tc>
            <w:tc>
              <w:tcPr>
                <w:tcW w:w="3712" w:type="dxa"/>
                <w:vAlign w:val="center"/>
              </w:tcPr>
              <w:p w14:paraId="51124AA3" w14:textId="2CA8347A" w:rsidR="007F6073" w:rsidRDefault="00000000">
                <w:pPr>
                  <w:cnfStyle w:val="000000100000" w:firstRow="0" w:lastRow="0" w:firstColumn="0" w:lastColumn="0" w:oddVBand="0" w:evenVBand="0" w:oddHBand="1" w:evenHBand="0" w:firstRowFirstColumn="0" w:firstRowLastColumn="0" w:lastRowFirstColumn="0" w:lastRowLastColumn="0"/>
                </w:pPr>
                <w:r>
                  <w:t>Strategic system of record for all commercial, service and resource definitions, providing the single source of truth that drives sales, fulfilment and lifecycle processes across the Converged BSS Transformation ecosystem.</w:t>
                </w:r>
              </w:p>
            </w:tc>
            <w:tc>
              <w:tcPr>
                <w:tcW w:w="3998" w:type="dxa"/>
                <w:vAlign w:val="center"/>
              </w:tcPr>
              <w:p w14:paraId="45C62D66" w14:textId="5C093C0A" w:rsidR="007F6073" w:rsidRDefault="00000000">
                <w:pPr>
                  <w:cnfStyle w:val="000000100000" w:firstRow="0" w:lastRow="0" w:firstColumn="0" w:lastColumn="0" w:oddVBand="0" w:evenVBand="0" w:oddHBand="1" w:evenHBand="0" w:firstRowFirstColumn="0" w:firstRowLastColumn="0" w:lastRowFirstColumn="0" w:lastRowLastColumn="0"/>
                </w:pPr>
                <w:r>
                  <w:t>Centralized product governance; TM Forum-aligned Product-Service-Resource (PSR) model; versioning and lifecycle management; pricing and rules governance; faster product introduction; reduced duplication across systems.</w:t>
                </w:r>
              </w:p>
            </w:tc>
          </w:tr>
          <w:tr w:rsidR="007F6073" w14:paraId="58A5678A" w14:textId="77777777" w:rsidTr="007F6073">
            <w:tc>
              <w:tcPr>
                <w:cnfStyle w:val="001000000000" w:firstRow="0" w:lastRow="0" w:firstColumn="1" w:lastColumn="0" w:oddVBand="0" w:evenVBand="0" w:oddHBand="0" w:evenHBand="0" w:firstRowFirstColumn="0" w:firstRowLastColumn="0" w:lastRowFirstColumn="0" w:lastRowLastColumn="0"/>
                <w:tcW w:w="2370" w:type="dxa"/>
                <w:vAlign w:val="center"/>
              </w:tcPr>
              <w:p w14:paraId="4E201C86" w14:textId="77777777" w:rsidR="007F6073" w:rsidRDefault="00000000">
                <w:r>
                  <w:t>Hansen Catalog Services</w:t>
                </w:r>
              </w:p>
            </w:tc>
            <w:tc>
              <w:tcPr>
                <w:tcW w:w="3712" w:type="dxa"/>
                <w:vAlign w:val="center"/>
              </w:tcPr>
              <w:p w14:paraId="40F324A2" w14:textId="30FDDD18" w:rsidR="007F6073" w:rsidRDefault="00000000">
                <w:pPr>
                  <w:cnfStyle w:val="000000000000" w:firstRow="0" w:lastRow="0" w:firstColumn="0" w:lastColumn="0" w:oddVBand="0" w:evenVBand="0" w:oddHBand="0" w:evenHBand="0" w:firstRowFirstColumn="0" w:firstRowLastColumn="0" w:lastRowFirstColumn="0" w:lastRowLastColumn="0"/>
                </w:pPr>
                <w:r>
                  <w:t>Runtime catalog engine exposing reusable business services to CPQ, Order Management and external systems for product discovery, configuration, validation, pricing and decomposition.</w:t>
                </w:r>
              </w:p>
            </w:tc>
            <w:tc>
              <w:tcPr>
                <w:tcW w:w="3998" w:type="dxa"/>
                <w:vAlign w:val="center"/>
              </w:tcPr>
              <w:p w14:paraId="4AD14087" w14:textId="1977AAA9" w:rsidR="007F6073" w:rsidRDefault="00000000">
                <w:pPr>
                  <w:cnfStyle w:val="000000000000" w:firstRow="0" w:lastRow="0" w:firstColumn="0" w:lastColumn="0" w:oddVBand="0" w:evenVBand="0" w:oddHBand="0" w:evenHBand="0" w:firstRowFirstColumn="0" w:firstRowLastColumn="0" w:lastRowFirstColumn="0" w:lastRowLastColumn="0"/>
                </w:pPr>
                <w:r>
                  <w:t>Consistent business rules across channels and processes; real-time validation; reusable API-first services; catalog-driven decomposition and orchestration; foundation for automation and scalability.</w:t>
                </w:r>
              </w:p>
            </w:tc>
          </w:tr>
          <w:tr w:rsidR="007F6073" w14:paraId="34270417"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5C81F392" w14:textId="77777777" w:rsidR="007F6073" w:rsidRDefault="00000000">
                <w:r>
                  <w:t>Hansen CPQ</w:t>
                </w:r>
              </w:p>
            </w:tc>
            <w:tc>
              <w:tcPr>
                <w:tcW w:w="3712" w:type="dxa"/>
                <w:vAlign w:val="center"/>
              </w:tcPr>
              <w:p w14:paraId="006A0B19" w14:textId="0FFEB65F" w:rsidR="007F6073" w:rsidRDefault="00000000">
                <w:pPr>
                  <w:cnfStyle w:val="000000100000" w:firstRow="0" w:lastRow="0" w:firstColumn="0" w:lastColumn="0" w:oddVBand="0" w:evenVBand="0" w:oddHBand="1" w:evenHBand="0" w:firstRowFirstColumn="0" w:firstRowLastColumn="0" w:lastRowFirstColumn="0" w:lastRowLastColumn="0"/>
                </w:pPr>
                <w:r>
                  <w:t>Commercial engagement platform responsible for guided selling, solution configuration, pricing, approvals, quote generation and quote-to-order submission for wholesale and enterprise services.</w:t>
                </w:r>
              </w:p>
            </w:tc>
            <w:tc>
              <w:tcPr>
                <w:tcW w:w="3998" w:type="dxa"/>
                <w:vAlign w:val="center"/>
              </w:tcPr>
              <w:p w14:paraId="7F387680" w14:textId="3A12439A" w:rsidR="007F6073" w:rsidRDefault="00000000">
                <w:pPr>
                  <w:cnfStyle w:val="000000100000" w:firstRow="0" w:lastRow="0" w:firstColumn="0" w:lastColumn="0" w:oddVBand="0" w:evenVBand="0" w:oddHBand="1" w:evenHBand="0" w:firstRowFirstColumn="0" w:firstRowLastColumn="0" w:lastRowFirstColumn="0" w:lastRowLastColumn="0"/>
                </w:pPr>
                <w:r>
                  <w:t>Supports complex telecom and enterprise services; large multi-site opportunities; guided selling and validation; integrated commercial and technical design; Salesforce CRM-integrated experience; API-first and TMF-aligned architecture.</w:t>
                </w:r>
              </w:p>
            </w:tc>
          </w:tr>
          <w:tr w:rsidR="007F6073" w14:paraId="05FD920F" w14:textId="77777777" w:rsidTr="007F6073">
            <w:tc>
              <w:tcPr>
                <w:cnfStyle w:val="001000000000" w:firstRow="0" w:lastRow="0" w:firstColumn="1" w:lastColumn="0" w:oddVBand="0" w:evenVBand="0" w:oddHBand="0" w:evenHBand="0" w:firstRowFirstColumn="0" w:firstRowLastColumn="0" w:lastRowFirstColumn="0" w:lastRowLastColumn="0"/>
                <w:tcW w:w="2370" w:type="dxa"/>
                <w:vAlign w:val="center"/>
              </w:tcPr>
              <w:p w14:paraId="74115A6C" w14:textId="3C4FDC0B" w:rsidR="007F6073" w:rsidRDefault="00000000">
                <w:pPr>
                  <w:rPr>
                    <w:highlight w:val="yellow"/>
                  </w:rPr>
                </w:pPr>
                <w:r>
                  <w:t>Hansen Sales Navigator</w:t>
                </w:r>
              </w:p>
            </w:tc>
            <w:tc>
              <w:tcPr>
                <w:tcW w:w="3712" w:type="dxa"/>
                <w:vAlign w:val="center"/>
              </w:tcPr>
              <w:p w14:paraId="58C6DE70" w14:textId="3B254886" w:rsidR="007F6073" w:rsidRDefault="00000000">
                <w:pPr>
                  <w:cnfStyle w:val="000000000000" w:firstRow="0" w:lastRow="0" w:firstColumn="0" w:lastColumn="0" w:oddVBand="0" w:evenVBand="0" w:oddHBand="0" w:evenHBand="0" w:firstRowFirstColumn="0" w:firstRowLastColumn="0" w:lastRowFirstColumn="0" w:lastRowLastColumn="0"/>
                  <w:rPr>
                    <w:highlight w:val="yellow"/>
                  </w:rPr>
                </w:pPr>
                <w:r>
                  <w:t xml:space="preserve">Unified sales journey orchestration platform enabling Vodaria Group to </w:t>
                </w:r>
                <w:r>
                  <w:lastRenderedPageBreak/>
                  <w:t>design, manage and continuously evolve customer and sales processes across wholesale and enterprise channels. Sales Navigator orchestrates lead-to-order journeys, coordinates interactions between Salesforce CRM, CPQ and downstream systems, and provides a configurable framework for approvals, negotiations, governance and customer engagement.</w:t>
                </w:r>
              </w:p>
            </w:tc>
            <w:tc>
              <w:tcPr>
                <w:tcW w:w="3998" w:type="dxa"/>
                <w:vAlign w:val="center"/>
              </w:tcPr>
              <w:p w14:paraId="60505C9B" w14:textId="3C4AE884" w:rsidR="007F6073" w:rsidRDefault="00000000">
                <w:pPr>
                  <w:cnfStyle w:val="000000000000" w:firstRow="0" w:lastRow="0" w:firstColumn="0" w:lastColumn="0" w:oddVBand="0" w:evenVBand="0" w:oddHBand="0" w:evenHBand="0" w:firstRowFirstColumn="0" w:firstRowLastColumn="0" w:lastRowFirstColumn="0" w:lastRowLastColumn="0"/>
                  <w:rPr>
                    <w:highlight w:val="yellow"/>
                  </w:rPr>
                </w:pPr>
                <w:r>
                  <w:lastRenderedPageBreak/>
                  <w:t xml:space="preserve">Configuration-driven journey orchestration; TMF701-aligned process </w:t>
                </w:r>
                <w:r>
                  <w:lastRenderedPageBreak/>
                  <w:t>management; rapid deployment of channel-specific customer journeys; reusable business capabilities and process patterns; accelerated time-to-market for new sales processes and offerings; reduced complexity through low-code configuration; seamless integration with Salesforce CRM, CPQ and external systems; enables continuous business innovation and agility without extensive redevelopment.</w:t>
                </w:r>
              </w:p>
            </w:tc>
          </w:tr>
          <w:tr w:rsidR="007F6073" w14:paraId="39CD8126"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57D4A452" w14:textId="77777777" w:rsidR="007F6073" w:rsidRDefault="00000000">
                <w:r>
                  <w:lastRenderedPageBreak/>
                  <w:t>Hansen Order Management</w:t>
                </w:r>
              </w:p>
            </w:tc>
            <w:tc>
              <w:tcPr>
                <w:tcW w:w="3712" w:type="dxa"/>
                <w:vAlign w:val="center"/>
              </w:tcPr>
              <w:p w14:paraId="13B0BFF3" w14:textId="710F27F4" w:rsidR="007F6073" w:rsidRDefault="00000000">
                <w:pPr>
                  <w:cnfStyle w:val="000000100000" w:firstRow="0" w:lastRow="0" w:firstColumn="0" w:lastColumn="0" w:oddVBand="0" w:evenVBand="0" w:oddHBand="1" w:evenHBand="0" w:firstRowFirstColumn="0" w:firstRowLastColumn="0" w:lastRowFirstColumn="0" w:lastRowLastColumn="0"/>
                </w:pPr>
                <w:r>
                  <w:t>Central orchestration layer coordinating the end-to-end fulfilment lifecycle from commercial order through service delivery across internal systems, external partners and future network platforms.</w:t>
                </w:r>
              </w:p>
            </w:tc>
            <w:tc>
              <w:tcPr>
                <w:tcW w:w="3998" w:type="dxa"/>
                <w:vAlign w:val="center"/>
              </w:tcPr>
              <w:p w14:paraId="7EC07ECD" w14:textId="1B33CE61" w:rsidR="007F6073" w:rsidRDefault="00000000">
                <w:pPr>
                  <w:cnfStyle w:val="000000100000" w:firstRow="0" w:lastRow="0" w:firstColumn="0" w:lastColumn="0" w:oddVBand="0" w:evenVBand="0" w:oddHBand="1" w:evenHBand="0" w:firstRowFirstColumn="0" w:firstRowLastColumn="0" w:lastRowFirstColumn="0" w:lastRowLastColumn="0"/>
                </w:pPr>
                <w:r>
                  <w:t>Catalog-driven orchestration; configurable workflows rather than custom code; end-to-end visibility and auditability; exception and fallout management; integration framework for partners and downstream fulfilment systems; progressive automation towards low-touch operations.</w:t>
                </w:r>
              </w:p>
            </w:tc>
          </w:tr>
          <w:tr w:rsidR="007F6073" w14:paraId="3DEC181D" w14:textId="77777777" w:rsidTr="007F6073">
            <w:tc>
              <w:tcPr>
                <w:cnfStyle w:val="001000000000" w:firstRow="0" w:lastRow="0" w:firstColumn="1" w:lastColumn="0" w:oddVBand="0" w:evenVBand="0" w:oddHBand="0" w:evenHBand="0" w:firstRowFirstColumn="0" w:firstRowLastColumn="0" w:lastRowFirstColumn="0" w:lastRowLastColumn="0"/>
                <w:tcW w:w="2370" w:type="dxa"/>
                <w:vAlign w:val="center"/>
              </w:tcPr>
              <w:p w14:paraId="1BE06041" w14:textId="77777777" w:rsidR="007F6073" w:rsidRDefault="00000000">
                <w:r>
                  <w:t>Hansen Portfolio Inventory</w:t>
                </w:r>
              </w:p>
            </w:tc>
            <w:tc>
              <w:tcPr>
                <w:tcW w:w="3712" w:type="dxa"/>
                <w:vAlign w:val="center"/>
              </w:tcPr>
              <w:p w14:paraId="09D9621A" w14:textId="29883A06" w:rsidR="007F6073" w:rsidRDefault="00000000">
                <w:pPr>
                  <w:cnfStyle w:val="000000000000" w:firstRow="0" w:lastRow="0" w:firstColumn="0" w:lastColumn="0" w:oddVBand="0" w:evenVBand="0" w:oddHBand="0" w:evenHBand="0" w:firstRowFirstColumn="0" w:firstRowLastColumn="0" w:lastRowFirstColumn="0" w:lastRowLastColumn="0"/>
                </w:pPr>
                <w:r>
                  <w:t>Service and customer inventory capability providing visibility of customer assets, services and resources to support fulfilment, lifecycle management and MACD processes.</w:t>
                </w:r>
              </w:p>
            </w:tc>
            <w:tc>
              <w:tcPr>
                <w:tcW w:w="3998" w:type="dxa"/>
                <w:vAlign w:val="center"/>
              </w:tcPr>
              <w:p w14:paraId="739533AB" w14:textId="253A2893" w:rsidR="007F6073" w:rsidRDefault="00000000">
                <w:pPr>
                  <w:cnfStyle w:val="000000000000" w:firstRow="0" w:lastRow="0" w:firstColumn="0" w:lastColumn="0" w:oddVBand="0" w:evenVBand="0" w:oddHBand="0" w:evenHBand="0" w:firstRowFirstColumn="0" w:firstRowLastColumn="0" w:lastRowFirstColumn="0" w:lastRowLastColumn="0"/>
                </w:pPr>
                <w:r>
                  <w:t>Useful where Vodaria Group wants Hansen to support or pitch into the Network Inventory workstream. Complete customer service view; supports modifications and lifecycle changes; bridges commercial and operational domains; potential alignment with broader inventory transformation initiatives where appropriate.</w:t>
                </w:r>
              </w:p>
            </w:tc>
          </w:tr>
          <w:tr w:rsidR="007F6073" w14:paraId="4C48068E"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0" w:type="dxa"/>
                <w:vAlign w:val="center"/>
              </w:tcPr>
              <w:p w14:paraId="2565E714" w14:textId="77777777" w:rsidR="007F6073" w:rsidRDefault="00000000">
                <w:r>
                  <w:t>Hansen Informatics / reporting</w:t>
                </w:r>
              </w:p>
            </w:tc>
            <w:tc>
              <w:tcPr>
                <w:tcW w:w="3712" w:type="dxa"/>
                <w:vAlign w:val="center"/>
              </w:tcPr>
              <w:p w14:paraId="515EBC3D" w14:textId="46EF7CE4" w:rsidR="007F6073" w:rsidRDefault="00000000">
                <w:pPr>
                  <w:cnfStyle w:val="000000100000" w:firstRow="0" w:lastRow="0" w:firstColumn="0" w:lastColumn="0" w:oddVBand="0" w:evenVBand="0" w:oddHBand="1" w:evenHBand="0" w:firstRowFirstColumn="0" w:firstRowLastColumn="0" w:lastRowFirstColumn="0" w:lastRowLastColumn="0"/>
                </w:pPr>
                <w:r>
                  <w:t>Analytics and reporting capability providing operational, commercial and fulfilment insights across the Lead-to-Order process.</w:t>
                </w:r>
              </w:p>
            </w:tc>
            <w:tc>
              <w:tcPr>
                <w:tcW w:w="3998" w:type="dxa"/>
                <w:vAlign w:val="center"/>
              </w:tcPr>
              <w:p w14:paraId="3A683F0F" w14:textId="751E9588" w:rsidR="007F6073" w:rsidRDefault="00000000">
                <w:pPr>
                  <w:cnfStyle w:val="000000100000" w:firstRow="0" w:lastRow="0" w:firstColumn="0" w:lastColumn="0" w:oddVBand="0" w:evenVBand="0" w:oddHBand="1" w:evenHBand="0" w:firstRowFirstColumn="0" w:firstRowLastColumn="0" w:lastRowFirstColumn="0" w:lastRowLastColumn="0"/>
                </w:pPr>
                <w:r>
                  <w:t>KPI and operational performance reporting; process visibility; fulfilment and order analytics; configurable dashboards; deployed subject to Vodaria Group data governance, security and reporting strategy.</w:t>
                </w:r>
              </w:p>
            </w:tc>
          </w:tr>
          <w:tr w:rsidR="007F6073" w14:paraId="07EE65AC" w14:textId="77777777" w:rsidTr="007F6073">
            <w:tc>
              <w:tcPr>
                <w:cnfStyle w:val="001000000000" w:firstRow="0" w:lastRow="0" w:firstColumn="1" w:lastColumn="0" w:oddVBand="0" w:evenVBand="0" w:oddHBand="0" w:evenHBand="0" w:firstRowFirstColumn="0" w:firstRowLastColumn="0" w:lastRowFirstColumn="0" w:lastRowLastColumn="0"/>
                <w:tcW w:w="2370" w:type="dxa"/>
                <w:vAlign w:val="center"/>
              </w:tcPr>
              <w:p w14:paraId="023042D7" w14:textId="77777777" w:rsidR="007F6073" w:rsidRDefault="00000000">
                <w:r>
                  <w:lastRenderedPageBreak/>
                  <w:t>AI / future innovation</w:t>
                </w:r>
              </w:p>
            </w:tc>
            <w:tc>
              <w:tcPr>
                <w:tcW w:w="3712" w:type="dxa"/>
                <w:vAlign w:val="center"/>
              </w:tcPr>
              <w:p w14:paraId="1080F000" w14:textId="67CA7726" w:rsidR="007F6073" w:rsidRDefault="00000000">
                <w:pPr>
                  <w:cnfStyle w:val="000000000000" w:firstRow="0" w:lastRow="0" w:firstColumn="0" w:lastColumn="0" w:oddVBand="0" w:evenVBand="0" w:oddHBand="0" w:evenHBand="0" w:firstRowFirstColumn="0" w:firstRowLastColumn="0" w:lastRowFirstColumn="0" w:lastRowLastColumn="0"/>
                </w:pPr>
                <w:r>
                  <w:t>Future-ready innovation layer enabling intelligent assistance, workflow optimization and operational automation as part of Vodaria Group's long-term digital transformation roadmap.</w:t>
                </w:r>
              </w:p>
            </w:tc>
            <w:tc>
              <w:tcPr>
                <w:tcW w:w="3998" w:type="dxa"/>
                <w:vAlign w:val="center"/>
              </w:tcPr>
              <w:p w14:paraId="3D83E4D4" w14:textId="58747CD5" w:rsidR="007F6073" w:rsidRDefault="00000000">
                <w:pPr>
                  <w:cnfStyle w:val="000000000000" w:firstRow="0" w:lastRow="0" w:firstColumn="0" w:lastColumn="0" w:oddVBand="0" w:evenVBand="0" w:oddHBand="0" w:evenHBand="0" w:firstRowFirstColumn="0" w:firstRowLastColumn="0" w:lastRowFirstColumn="0" w:lastRowLastColumn="0"/>
                </w:pPr>
                <w:r>
                  <w:t>Roadmap-driven innovation; AI-assisted selling and order management; operational productivity improvements; intelligent recommendations and process automation; introduced in line with governance and business priorities; no dependency on emerging technologies for core solution delivery.</w:t>
                </w:r>
              </w:p>
            </w:tc>
          </w:tr>
        </w:tbl>
        <w:p w14:paraId="5FBF23FD" w14:textId="77777777" w:rsidR="007F6073" w:rsidRDefault="007F6073"/>
        <w:p w14:paraId="6BC81E76" w14:textId="76B2077C" w:rsidR="007F6073" w:rsidRDefault="00000000">
          <w:pPr>
            <w:pStyle w:val="Heading2"/>
            <w:rPr>
              <w:rFonts w:cstheme="minorBidi"/>
              <w:kern w:val="2"/>
              <w:szCs w:val="32"/>
              <w:lang w:val="en-GB" w:eastAsia="en-GB"/>
              <w14:ligatures w14:val="standardContextual"/>
            </w:rPr>
          </w:pPr>
          <w:bookmarkStart w:id="7" w:name="_Toc239002152"/>
          <w:r>
            <w:rPr>
              <w:rFonts w:cstheme="minorBidi"/>
            </w:rPr>
            <w:t>Solution Alignment to Requirements</w:t>
          </w:r>
          <w:bookmarkEnd w:id="7"/>
        </w:p>
        <w:p w14:paraId="73977292" w14:textId="0EE379D7" w:rsidR="007F6073" w:rsidRDefault="00000000">
          <w:r>
            <w:rPr>
              <w:color w:val="auto"/>
            </w:rPr>
            <w:t>The proposed Hansen solution has been designed to address Vodaria Group's key Converged BSS Transformation requirements through a unified, catalog-driven Lead-to-Order architecture. By combining Hansen Sales Navigator, Catalog, Catalog Services, CPQ and Order Management with Salesforce CRM and the broader Converged BSS Transformation ecosystem, the solution enables governed sales processes, accurate solution design, commercial control and automated fulfilment orchestration. The following sections describe how the proposed solution aligns with Vodaria Group's priority business and technical requirements.</w:t>
          </w:r>
        </w:p>
        <w:p w14:paraId="279267D7" w14:textId="77F4C575" w:rsidR="007F6073" w:rsidRDefault="00000000">
          <w:pPr>
            <w:jc w:val="both"/>
          </w:pPr>
          <w:r>
            <w:rPr>
              <w:i/>
              <w:color w:val="7F7F7F"/>
            </w:rPr>
            <w:t>Figure: Vodaria target lead-to-order architecture (Hansen Catalog, CPQ, Order Management integrated with Salesforce CRM).</w:t>
          </w:r>
        </w:p>
        <w:p w14:paraId="7D3CF121" w14:textId="06F2BB61" w:rsidR="007F6073" w:rsidRDefault="00000000">
          <w:pPr>
            <w:pStyle w:val="Heading3"/>
          </w:pPr>
          <w:bookmarkStart w:id="8" w:name="_Toc239002153"/>
          <w:r>
            <w:t>Salesforce CRM Integration</w:t>
          </w:r>
          <w:bookmarkEnd w:id="8"/>
        </w:p>
        <w:p w14:paraId="0421C68C" w14:textId="2A4157AA" w:rsidR="007F6073" w:rsidRDefault="00000000">
          <w:pPr>
            <w:spacing w:before="0" w:after="0" w:line="300" w:lineRule="atLeast"/>
            <w:rPr>
              <w:rFonts w:eastAsia="Times New Roman" w:cs="Segoe UI"/>
              <w:color w:val="auto"/>
              <w:szCs w:val="22"/>
              <w:lang w:val="en-GB" w:eastAsia="en-GB"/>
            </w:rPr>
          </w:pPr>
          <w:r>
            <w:rPr>
              <w:rFonts w:eastAsia="Times New Roman" w:cs="Segoe UI"/>
              <w:color w:val="auto"/>
              <w:szCs w:val="22"/>
              <w:lang w:val="en-GB" w:eastAsia="en-GB"/>
            </w:rPr>
            <w:t>Hansen enables Vodaria Group to retain Salesforce CRM while introducing specialist Telecom Lead-to-Order capabilities through Hansen Catalog, Sales Navigator and CPQ</w:t>
          </w:r>
          <w:r>
            <w:rPr>
              <w:color w:val="auto"/>
              <w:szCs w:val="22"/>
            </w:rPr>
            <w:t>. This approach allows Vodaria Group to preserve existing Salesforce CRM investments and user processes while introducing specialist telecom configuration, pricing and order orchestration capabilities where they are required. The result is lower transformation risk, reduced CRM customization and greater flexibility to evolve future business capabilities independently.</w:t>
          </w:r>
        </w:p>
        <w:p w14:paraId="668CCCC1" w14:textId="725B7608" w:rsidR="007F6073" w:rsidRDefault="00000000">
          <w:pPr>
            <w:rPr>
              <w:color w:val="auto"/>
              <w:kern w:val="2"/>
              <w:szCs w:val="22"/>
              <w:lang w:val="en-GB" w:eastAsia="en-GB"/>
              <w14:ligatures w14:val="standardContextual"/>
            </w:rPr>
          </w:pPr>
          <w:r>
            <w:rPr>
              <w:color w:val="auto"/>
              <w:szCs w:val="22"/>
            </w:rPr>
            <w:t>Opportunities created in Salesforce CRM seamlessly launch into Hansen's guided sales journey, where users are led through qualification, commercial and technical design, pricing, negotiations, approvals, framework agreement creation, and order capture within a single end-to-end experience. Through Hansen Sales Navigator, customer journeys are dynamically orchestrated based on product selection, customer requirements, SLA commitments, location, and commercial policies, providing a flexible and adaptive sales process rather than a fixed workflow.</w:t>
          </w:r>
        </w:p>
        <w:p w14:paraId="6B022B8D" w14:textId="77777777" w:rsidR="007F6073" w:rsidRDefault="00000000">
          <w:pPr>
            <w:pStyle w:val="Heading3"/>
          </w:pPr>
          <w:bookmarkStart w:id="9" w:name="_Toc239002154"/>
          <w:r>
            <w:lastRenderedPageBreak/>
            <w:t>Quote Workflow</w:t>
          </w:r>
          <w:bookmarkEnd w:id="9"/>
        </w:p>
        <w:p w14:paraId="3A438E46" w14:textId="361D60D7" w:rsidR="007F6073" w:rsidRDefault="00000000">
          <w:pPr>
            <w:rPr>
              <w:color w:val="auto"/>
            </w:rPr>
          </w:pPr>
          <w:r>
            <w:rPr>
              <w:color w:val="auto"/>
            </w:rPr>
            <w:t>Hansen SalesNavigator alongside Hansen CPQ positions the quote capture layer as a stateful business process that progresses through configurable workflow stages, with commercial, technical, and operational activities orchestrated through governed state transitions as a unified guided end-to-end quotation process. Guided configuration combines both commercial and technical design within a single adaptive journey, ensuring product rules, dependencies, SLA commitments, customer requirements, and location-specific constraints are validated in real time. The workflow dynamically adapts based on the products and services being quoted, enabling different quote paths and user experiences for different business scenarios.</w:t>
          </w:r>
        </w:p>
        <w:p w14:paraId="4CB5EEFE" w14:textId="77777777" w:rsidR="007F6073" w:rsidRDefault="00000000">
          <w:pPr>
            <w:rPr>
              <w:color w:val="auto"/>
            </w:rPr>
          </w:pPr>
          <w:r>
            <w:rPr>
              <w:color w:val="auto"/>
            </w:rPr>
            <w:t>The quote lifecycle is governed by a configurable workflow engine where status changes automatically trigger downstream actions. As a quote progresses through defined states, Hansen can initiate activities such as network capacity reservation, resource release, credit checks, approval workflows, procurement requests, and integrations with inventory, fulfillment, and external systems through southbound APIs. This ensures operational processes are tightly aligned to commercial milestones while remaining fully configurable through business rules.</w:t>
          </w:r>
        </w:p>
        <w:p w14:paraId="5F5CEE8C" w14:textId="77777777" w:rsidR="007F6073" w:rsidRDefault="00000000">
          <w:pPr>
            <w:rPr>
              <w:color w:val="auto"/>
            </w:rPr>
          </w:pPr>
          <w:r>
            <w:rPr>
              <w:color w:val="auto"/>
            </w:rPr>
            <w:t xml:space="preserve">Hansen also supports a re-entrant quote lifecycle, allowing approved or won quotes to be reopened, amended, repriced, placed on hold, or superseded by replacement quotes while maintaining full auditability and traceability. Any commercial or technical changes can automatically trigger reassessment and re-approval processes, ensuring governance is maintained throughout the customer </w:t>
          </w:r>
        </w:p>
        <w:p w14:paraId="7A9E5EC3" w14:textId="2695E41D" w:rsidR="007F6073" w:rsidRDefault="00000000">
          <w:pPr>
            <w:rPr>
              <w:color w:val="auto"/>
            </w:rPr>
          </w:pPr>
          <w:r>
            <w:rPr>
              <w:color w:val="auto"/>
            </w:rPr>
            <w:t>lifecycle. State synchronization across CPQ, Order Management, and fulfillment systems ensures a consistent and controlled view of the quote from initial creation through delivery and subsequent change events.</w:t>
          </w:r>
        </w:p>
        <w:p w14:paraId="49A0EA8E" w14:textId="77777777" w:rsidR="007F6073" w:rsidRDefault="00000000">
          <w:pPr>
            <w:pStyle w:val="Heading3"/>
            <w:rPr>
              <w:rFonts w:cstheme="minorBidi"/>
              <w:kern w:val="2"/>
              <w:lang w:val="en-GB" w:eastAsia="en-GB"/>
              <w14:ligatures w14:val="standardContextual"/>
            </w:rPr>
          </w:pPr>
          <w:bookmarkStart w:id="10" w:name="_Toc239002155"/>
          <w:r>
            <w:rPr>
              <w:rFonts w:cstheme="minorBidi"/>
            </w:rPr>
            <w:t>Configure Price Quote</w:t>
          </w:r>
          <w:bookmarkEnd w:id="10"/>
        </w:p>
        <w:p w14:paraId="647F5611" w14:textId="105CE523" w:rsidR="007F6073" w:rsidRDefault="00000000">
          <w:pPr>
            <w:rPr>
              <w:color w:val="auto"/>
            </w:rPr>
          </w:pPr>
          <w:r>
            <w:rPr>
              <w:color w:val="auto"/>
            </w:rPr>
            <w:t>Hansen Catalog serves as the central source of truth for Vodaria Group's product portfolio, providing governed definitions of commercial products, services, resources, pricing structures, eligibility criteria, compatibility rules, geographical constraints, technical dependencies and lifecycle policies. Catalog ensures that all sales channels, quoting processes and downstream fulfilment activities operate from the same controlled product and commercial model, reducing duplication, improving consistency and accelerating the introduction of new offerings. Hansen Catalog Services exposes these definitions and rules through reusable APIs, enabling real-time product discovery, configuration validation, pricing support and technical rule enforcement across the Lead-to-Order ecosystem.</w:t>
          </w:r>
        </w:p>
        <w:p w14:paraId="6E4EA60A" w14:textId="77777777" w:rsidR="007F6073" w:rsidRDefault="00000000">
          <w:pPr>
            <w:rPr>
              <w:color w:val="auto"/>
            </w:rPr>
          </w:pPr>
          <w:r>
            <w:rPr>
              <w:color w:val="auto"/>
            </w:rPr>
            <w:t xml:space="preserve">Hansen CPQ leverages this catalog-driven foundation to provide Vodaria Group with a guided and configurable sales journey for complex wholesale and enterprise opportunities. Hansen CPQ enables sales users to configure technically and commercially valid solutions, apply pricing and quotation rules, manage approvals, and generate fulfilment-ready orders. Configuration, validation and pricing are dynamically driven by Hansen Catalog and Hansen Catalog Services, ensuring that customer quotations are always aligned with approved product definitions, commercial policies and technical constraints. </w:t>
          </w:r>
        </w:p>
        <w:p w14:paraId="736F65F0" w14:textId="05749B1B" w:rsidR="007F6073" w:rsidRDefault="00000000">
          <w:pPr>
            <w:rPr>
              <w:color w:val="auto"/>
            </w:rPr>
          </w:pPr>
          <w:r>
            <w:rPr>
              <w:color w:val="auto"/>
            </w:rPr>
            <w:lastRenderedPageBreak/>
            <w:t>The Hansen CPQ sales process can be configured to include the required steps once all the requirements are known. These activities are orchestrated through configurable Hansen CPQ workflows and sales journeys, allowing Vodaria Group to evolve the process over time without requiring significant redevelopment. By combining catalog-driven governance with guided sales orchestration, Hansen enables Vodaria Group to improve quote accuracy, reduce manual coordination, validate technical feasibility earlier in the sales cycle and accelerate progression from opportunity to fulfilment-ready order.</w:t>
          </w:r>
        </w:p>
        <w:p w14:paraId="6490B460" w14:textId="7FA3737F" w:rsidR="007F6073" w:rsidRDefault="00000000">
          <w:pPr>
            <w:jc w:val="both"/>
            <w:rPr>
              <w:color w:val="auto"/>
            </w:rPr>
          </w:pPr>
          <w:r>
            <w:rPr>
              <w:color w:val="auto"/>
            </w:rPr>
            <w:t>Hansen CPQ supports multi-currency sales and quoting processes, enabling Vodaria Group to manage global customer opportunities, apply currency-specific pricing and commercial terms, and maintain consistent governance across pricing, negotiation and approval workflows.</w:t>
          </w:r>
        </w:p>
        <w:p w14:paraId="4E887DF9" w14:textId="77777777" w:rsidR="007F6073" w:rsidRDefault="007F6073">
          <w:pPr>
            <w:rPr>
              <w:color w:val="auto"/>
            </w:rPr>
          </w:pPr>
        </w:p>
        <w:p w14:paraId="14DD08E5" w14:textId="63DE131C" w:rsidR="007F6073" w:rsidRDefault="00000000">
          <w:pPr>
            <w:pStyle w:val="Heading3"/>
          </w:pPr>
          <w:bookmarkStart w:id="11" w:name="_Toc239002156"/>
          <w:r>
            <w:t>Price Negotiations &amp; Approvals</w:t>
          </w:r>
          <w:bookmarkEnd w:id="11"/>
        </w:p>
        <w:p w14:paraId="78BFD8F6" w14:textId="77777777" w:rsidR="007F6073" w:rsidRDefault="00000000">
          <w:pPr>
            <w:spacing w:before="0" w:after="0" w:line="300" w:lineRule="atLeast"/>
            <w:rPr>
              <w:color w:val="auto"/>
              <w:szCs w:val="22"/>
              <w:lang w:val="en-GB"/>
            </w:rPr>
          </w:pPr>
          <w:r>
            <w:rPr>
              <w:color w:val="auto"/>
              <w:szCs w:val="22"/>
              <w:lang w:val="en-GB"/>
            </w:rPr>
            <w:t>Hansen supports controlled price negotiation and approval processes that balance commercial flexibility with governance and auditability. Hansen Catalog acts as the master source of products, possible configuration options, and baseline pricing, which are used to create quotes within the CPQ Order Capture layer. Customer-specific commercial terms are then negotiated directly within CPQ, where authorized sales users can apply percentage discounts, fixed-value discounts, RC, NRC, usage-based charge adjustments, and other negotiated pricing variations through a dedicated negotiation widget. Approval requirements can be determined based on criteria such as discount thresholds, deal value, margin considerations, contract deviations and other commercial exceptions, ensuring that each quote follows the appropriate governance path.</w:t>
          </w:r>
        </w:p>
        <w:p w14:paraId="2DA09AE0" w14:textId="77777777" w:rsidR="007F6073" w:rsidRDefault="007F6073">
          <w:pPr>
            <w:spacing w:before="0" w:after="0" w:line="300" w:lineRule="atLeast"/>
            <w:rPr>
              <w:color w:val="auto"/>
              <w:szCs w:val="22"/>
              <w:lang w:val="en-GB"/>
            </w:rPr>
          </w:pPr>
        </w:p>
        <w:p w14:paraId="72F352CB" w14:textId="51461592" w:rsidR="007F6073" w:rsidRDefault="00000000">
          <w:pPr>
            <w:spacing w:before="0" w:after="0" w:line="300" w:lineRule="atLeast"/>
            <w:rPr>
              <w:color w:val="auto"/>
              <w:szCs w:val="22"/>
              <w:lang w:val="en-GB"/>
            </w:rPr>
          </w:pPr>
          <w:r>
            <w:rPr>
              <w:color w:val="auto"/>
              <w:szCs w:val="22"/>
              <w:lang w:val="en-GB"/>
            </w:rPr>
            <w:t>Any negotiated pricing changes automatically trigger an approval workflow. Approvals are managed through a dedicated Hansen CPQ approval portal that maintains approvers, skills, policies, routing rules, delegation capabilities, and escalation matrices enabling approvers to review quote information, provide comments and make informed approval decisions. Rejected requests are returned to the Hansen CPQ for adjustment and resubmission, supporting an iterative and fully governed negotiation process. Throughout the approval lifecycle, Hansen maintains a comprehensive audit trail of approval activities and commercial decisions, providing transparency, compliance and operational control.</w:t>
          </w:r>
        </w:p>
        <w:p w14:paraId="67239984" w14:textId="7A617385" w:rsidR="007F6073" w:rsidRDefault="00000000">
          <w:pPr>
            <w:spacing w:before="0" w:after="0" w:line="300" w:lineRule="atLeast"/>
            <w:rPr>
              <w:color w:val="auto"/>
              <w:szCs w:val="22"/>
              <w:lang w:val="en-GB"/>
            </w:rPr>
          </w:pPr>
          <w:r>
            <w:rPr>
              <w:color w:val="auto"/>
              <w:szCs w:val="22"/>
              <w:lang w:val="en-GB"/>
            </w:rPr>
            <w:t xml:space="preserve">Once all approvals are obtained, Hansen CPQ creates a structured Commercial Agreement containing the approved products, pricing, discounts, commitments, and commercial terms and approval details etc. This structured contract can then be passed to a third-party document generation service to produce customer-specific contract documents in the required business format. </w:t>
          </w:r>
        </w:p>
        <w:p w14:paraId="7AAB9A33" w14:textId="77777777" w:rsidR="007F6073" w:rsidRDefault="007F6073">
          <w:pPr>
            <w:spacing w:before="0" w:after="0" w:line="300" w:lineRule="atLeast"/>
            <w:rPr>
              <w:color w:val="auto"/>
              <w:szCs w:val="22"/>
              <w:lang w:val="en-GB"/>
            </w:rPr>
          </w:pPr>
        </w:p>
        <w:p w14:paraId="65E7BE49" w14:textId="77777777" w:rsidR="007F6073" w:rsidRDefault="00000000">
          <w:pPr>
            <w:spacing w:before="0" w:after="0" w:line="300" w:lineRule="atLeast"/>
            <w:rPr>
              <w:color w:val="auto"/>
              <w:szCs w:val="22"/>
              <w:lang w:val="en-GB"/>
            </w:rPr>
          </w:pPr>
          <w:r>
            <w:rPr>
              <w:color w:val="auto"/>
              <w:szCs w:val="22"/>
              <w:lang w:val="en-GB"/>
            </w:rPr>
            <w:t xml:space="preserve">Hansen provides flexibility to integrate with the customer's preferred document generation solution before it is stored in the Contract Lifecycle Management system (CLM), while a copy of the approved agreement is also stored within the Agreement store in the Catalog domain, enabling future call-off orders to reuse the negotiated pricing and commercial terms efficiently. </w:t>
          </w:r>
        </w:p>
        <w:p w14:paraId="5C224F79" w14:textId="77777777" w:rsidR="007F6073" w:rsidRDefault="007F6073">
          <w:pPr>
            <w:spacing w:before="0" w:after="0" w:line="300" w:lineRule="atLeast"/>
            <w:rPr>
              <w:color w:val="auto"/>
              <w:szCs w:val="22"/>
              <w:lang w:val="en-GB"/>
            </w:rPr>
          </w:pPr>
        </w:p>
        <w:p w14:paraId="1C36C74A" w14:textId="56EAEAFB" w:rsidR="007F6073" w:rsidRDefault="00000000">
          <w:pPr>
            <w:spacing w:before="0" w:after="0" w:line="300" w:lineRule="atLeast"/>
            <w:rPr>
              <w:rFonts w:eastAsia="Times New Roman" w:cs="Segoe UI"/>
              <w:color w:val="auto"/>
              <w:szCs w:val="22"/>
              <w:lang w:val="en-GB" w:eastAsia="en-GB"/>
            </w:rPr>
          </w:pPr>
          <w:r>
            <w:rPr>
              <w:color w:val="auto"/>
              <w:szCs w:val="22"/>
              <w:lang w:val="en-GB"/>
            </w:rPr>
            <w:t xml:space="preserve">These agreed and approved negotiated pricing becomes part of the finalized commercial agreement and can be referenced for future call-off orders and contract-based transactions. The approved commercial </w:t>
          </w:r>
          <w:r>
            <w:rPr>
              <w:color w:val="auto"/>
              <w:szCs w:val="22"/>
              <w:lang w:val="en-GB"/>
            </w:rPr>
            <w:lastRenderedPageBreak/>
            <w:t>terms are propagated through the contract-to-order process and shared with downstream fulfilment, billing, contract management and related systems as required, while maintaining full traceability between the original catalog-defined price and the negotiated commercial outcome.</w:t>
          </w:r>
        </w:p>
        <w:p w14:paraId="3317EEB6" w14:textId="77777777" w:rsidR="007F6073" w:rsidRDefault="007F6073">
          <w:pPr>
            <w:spacing w:before="0" w:after="0" w:line="300" w:lineRule="atLeast"/>
            <w:jc w:val="both"/>
            <w:rPr>
              <w:rFonts w:eastAsia="Times New Roman" w:cs="Segoe UI"/>
              <w:color w:val="auto"/>
              <w:szCs w:val="22"/>
              <w:lang w:val="en-GB" w:eastAsia="en-GB"/>
            </w:rPr>
          </w:pPr>
        </w:p>
        <w:p w14:paraId="531D7BDC" w14:textId="7075D052" w:rsidR="007F6073" w:rsidRDefault="00000000">
          <w:pPr>
            <w:pStyle w:val="Heading3"/>
          </w:pPr>
          <w:bookmarkStart w:id="12" w:name="_Toc239002157"/>
          <w:r>
            <w:t>Customer Contracts &amp; Commitments (Framework Contracts)</w:t>
          </w:r>
          <w:bookmarkEnd w:id="12"/>
        </w:p>
        <w:p w14:paraId="12CDBE42" w14:textId="607B4DA6" w:rsidR="007F6073" w:rsidRDefault="00000000">
          <w:pPr>
            <w:rPr>
              <w:rFonts w:eastAsiaTheme="majorEastAsia"/>
              <w:color w:val="auto"/>
              <w:szCs w:val="22"/>
            </w:rPr>
          </w:pPr>
          <w:r>
            <w:rPr>
              <w:rFonts w:eastAsiaTheme="majorEastAsia"/>
              <w:color w:val="auto"/>
              <w:szCs w:val="22"/>
            </w:rPr>
            <w:t xml:space="preserve">Hansen's solution supports the creation and management of Framework Agreements that capture negotiated products, commitments, pricing, discounts, term duration, and commercial obligations for complex B2B customers. Although the sales process originates in CRM, the framework agreement is authored and negotiated in its entirety within HansenCPQ, accessed through CPQ’s CRM client integration. Users negotiate customer-specific commercial terms including minimum spend commitments, shared-commit models, volume discounts, bandwidth-and-burst charging, hybrid recurring and usage-based pricing, future-dated pricing changes, and contractual penalties — all within a single, integrated experience. </w:t>
          </w:r>
        </w:p>
        <w:p w14:paraId="38DD8DAF" w14:textId="1AABCAC2" w:rsidR="007F6073" w:rsidRDefault="00000000">
          <w:pPr>
            <w:rPr>
              <w:rFonts w:eastAsiaTheme="majorEastAsia"/>
              <w:color w:val="auto"/>
              <w:szCs w:val="22"/>
              <w:lang w:val="en-GB"/>
            </w:rPr>
          </w:pPr>
          <w:r>
            <w:rPr>
              <w:rFonts w:eastAsiaTheme="majorEastAsia"/>
              <w:color w:val="auto"/>
              <w:szCs w:val="22"/>
            </w:rPr>
            <w:t xml:space="preserve">The solution supports hierarchical customer structures, Billing Commercial Groups, parent-child relationships, and </w:t>
          </w:r>
          <w:r>
            <w:rPr>
              <w:rFonts w:eastAsiaTheme="majorEastAsia"/>
              <w:color w:val="auto"/>
              <w:szCs w:val="22"/>
              <w:lang w:val="en-GB"/>
            </w:rPr>
            <w:t>multi-site enterprise agreements</w:t>
          </w:r>
          <w:r>
            <w:rPr>
              <w:rFonts w:eastAsiaTheme="majorEastAsia"/>
              <w:color w:val="auto"/>
              <w:szCs w:val="22"/>
            </w:rPr>
            <w:t xml:space="preserve">, enabling commitments, pricing, and discounts to be aggregated across multiple services, billing groups, and associated legal entities. </w:t>
          </w:r>
        </w:p>
        <w:p w14:paraId="2BDA7676" w14:textId="09339C0C" w:rsidR="007F6073" w:rsidRDefault="00000000">
          <w:pPr>
            <w:rPr>
              <w:rFonts w:eastAsiaTheme="majorEastAsia"/>
              <w:color w:val="auto"/>
              <w:szCs w:val="22"/>
            </w:rPr>
          </w:pPr>
          <w:r>
            <w:rPr>
              <w:rFonts w:eastAsiaTheme="majorEastAsia"/>
              <w:color w:val="auto"/>
              <w:szCs w:val="22"/>
            </w:rPr>
            <w:t>Following negotiation, Hansen's approval framework automatically routes pricing exceptions and commercial deviations through configurable approval workflows. Once approvals are complete, Hansen CPQ creates a structured Commercial Agreement containing the approved products, pricing, commitments, contractual discounts, and future commercial events. The agreement can then be passed to external document generation for e-signature, and/or CLM platforms for legal contract generation.</w:t>
          </w:r>
        </w:p>
        <w:p w14:paraId="10DAB5EE" w14:textId="1ADC28BC" w:rsidR="007F6073" w:rsidRDefault="00000000">
          <w:pPr>
            <w:rPr>
              <w:rFonts w:eastAsiaTheme="majorEastAsia"/>
              <w:color w:val="auto"/>
              <w:szCs w:val="22"/>
            </w:rPr>
          </w:pPr>
          <w:r>
            <w:rPr>
              <w:rFonts w:eastAsiaTheme="majorEastAsia"/>
              <w:color w:val="auto"/>
              <w:szCs w:val="22"/>
            </w:rPr>
            <w:t>Hansen maintains a clear separation between the legal contract and the operational commercial agreement. While the signed contract remains the system of record within CLM, the Hansen Commercial Agreement acts as the authoritative commercial record supporting renewals, MACD activities, commercial changes, dismantles, entitlement validation, and future call-off orders. A persistent relationship between Opportunity, Quote, Agreement, Order, and Asset ensures end-to-end traceability and synchronization of commercial terms throughout the customer lifecycle.</w:t>
          </w:r>
        </w:p>
        <w:p w14:paraId="58E48E56" w14:textId="77777777" w:rsidR="007F6073" w:rsidRDefault="00000000">
          <w:pPr>
            <w:rPr>
              <w:rFonts w:eastAsiaTheme="majorEastAsia"/>
              <w:color w:val="auto"/>
              <w:szCs w:val="22"/>
              <w:lang w:val="en-GB"/>
            </w:rPr>
          </w:pPr>
          <w:r>
            <w:rPr>
              <w:rFonts w:eastAsiaTheme="majorEastAsia"/>
              <w:color w:val="auto"/>
              <w:szCs w:val="22"/>
              <w:lang w:val="en-GB"/>
            </w:rPr>
            <w:t>This approach is particularly valuable for Vodaria Group's enterprise customers where commercial agreements often span multiple locations, services, commitments and ordering events over extended contract periods.</w:t>
          </w:r>
        </w:p>
        <w:p w14:paraId="28DEB2C1" w14:textId="77777777" w:rsidR="007F6073" w:rsidRDefault="007F6073">
          <w:pPr>
            <w:rPr>
              <w:rFonts w:eastAsiaTheme="majorEastAsia"/>
              <w:color w:val="auto"/>
              <w:szCs w:val="22"/>
            </w:rPr>
          </w:pPr>
        </w:p>
        <w:p w14:paraId="3A1EB247" w14:textId="59258E8E" w:rsidR="007F6073" w:rsidRDefault="00000000">
          <w:pPr>
            <w:rPr>
              <w:color w:val="auto"/>
              <w:szCs w:val="22"/>
            </w:rPr>
          </w:pPr>
          <w:r>
            <w:rPr>
              <w:i/>
              <w:color w:val="7F7F7F"/>
            </w:rPr>
            <w:t>Figure: Vodaria target lead-to-order architecture (Hansen Catalog, CPQ, Order Management integrated with Salesforce CRM).</w:t>
          </w:r>
        </w:p>
        <w:p w14:paraId="1B915303" w14:textId="77777777" w:rsidR="007F6073" w:rsidRDefault="007F6073">
          <w:pPr>
            <w:rPr>
              <w:color w:val="C00000"/>
              <w:szCs w:val="22"/>
            </w:rPr>
          </w:pPr>
        </w:p>
        <w:p w14:paraId="3A30C879" w14:textId="640D5A53" w:rsidR="007F6073" w:rsidRDefault="00000000">
          <w:pPr>
            <w:pStyle w:val="Heading3"/>
            <w:rPr>
              <w:rFonts w:cstheme="minorBidi"/>
              <w:kern w:val="2"/>
              <w:lang w:val="en-GB" w:eastAsia="en-GB"/>
              <w14:ligatures w14:val="standardContextual"/>
            </w:rPr>
          </w:pPr>
          <w:bookmarkStart w:id="13" w:name="_Toc239002158"/>
          <w:r>
            <w:t>Contract to order</w:t>
          </w:r>
          <w:bookmarkEnd w:id="13"/>
        </w:p>
        <w:p w14:paraId="73996C99" w14:textId="77777777" w:rsidR="007F6073" w:rsidRDefault="00000000">
          <w:pPr>
            <w:rPr>
              <w:color w:val="auto"/>
              <w:lang w:val="en-GB"/>
            </w:rPr>
          </w:pPr>
          <w:r>
            <w:rPr>
              <w:color w:val="auto"/>
              <w:lang w:val="en-GB"/>
            </w:rPr>
            <w:t xml:space="preserve">Once a customer contract or framework agreement is established, ordering against the agreed commercial terms should be simple, fast and predictable. This requires every ordering journey to apply three </w:t>
          </w:r>
          <w:r>
            <w:rPr>
              <w:color w:val="auto"/>
              <w:lang w:val="en-GB"/>
            </w:rPr>
            <w:lastRenderedPageBreak/>
            <w:t>fundamental controls consistently, irrespective of whether the order originates through Salesforce CRM, an assisted sales journey, a digital channel, a partner interface or an API:</w:t>
          </w:r>
        </w:p>
        <w:p w14:paraId="5FE831BA" w14:textId="77777777" w:rsidR="007F6073" w:rsidRDefault="00000000">
          <w:pPr>
            <w:numPr>
              <w:ilvl w:val="0"/>
              <w:numId w:val="34"/>
            </w:numPr>
            <w:rPr>
              <w:color w:val="auto"/>
              <w:lang w:val="en-GB"/>
            </w:rPr>
          </w:pPr>
          <w:r>
            <w:rPr>
              <w:b/>
              <w:color w:val="auto"/>
              <w:lang w:val="en-GB"/>
            </w:rPr>
            <w:t>Contract coverage:</w:t>
          </w:r>
          <w:r>
            <w:rPr>
              <w:color w:val="auto"/>
              <w:lang w:val="en-GB"/>
            </w:rPr>
            <w:t xml:space="preserve"> Is the requested product or service permitted under the applicable agreement?</w:t>
          </w:r>
        </w:p>
        <w:p w14:paraId="69C8880E" w14:textId="77777777" w:rsidR="007F6073" w:rsidRDefault="00000000">
          <w:pPr>
            <w:numPr>
              <w:ilvl w:val="0"/>
              <w:numId w:val="34"/>
            </w:numPr>
            <w:rPr>
              <w:color w:val="auto"/>
              <w:lang w:val="en-GB"/>
            </w:rPr>
          </w:pPr>
          <w:r>
            <w:rPr>
              <w:b/>
              <w:color w:val="auto"/>
              <w:lang w:val="en-GB"/>
            </w:rPr>
            <w:t>Commitment availability:</w:t>
          </w:r>
          <w:r>
            <w:rPr>
              <w:color w:val="auto"/>
              <w:lang w:val="en-GB"/>
            </w:rPr>
            <w:t xml:space="preserve"> Is sufficient contractual commitment or entitlement available to support the order?</w:t>
          </w:r>
        </w:p>
        <w:p w14:paraId="4D1878F9" w14:textId="77777777" w:rsidR="007F6073" w:rsidRDefault="00000000">
          <w:pPr>
            <w:numPr>
              <w:ilvl w:val="0"/>
              <w:numId w:val="34"/>
            </w:numPr>
            <w:rPr>
              <w:color w:val="auto"/>
              <w:lang w:val="en-GB"/>
            </w:rPr>
          </w:pPr>
          <w:r>
            <w:rPr>
              <w:b/>
              <w:color w:val="auto"/>
              <w:lang w:val="en-GB"/>
            </w:rPr>
            <w:t>Commercial accuracy:</w:t>
          </w:r>
          <w:r>
            <w:rPr>
              <w:color w:val="auto"/>
              <w:lang w:val="en-GB"/>
            </w:rPr>
            <w:t xml:space="preserve"> Will the order use the pricing, discounts and commercial terms agreed with the customer?</w:t>
          </w:r>
        </w:p>
        <w:p w14:paraId="3EE5B3E9" w14:textId="77777777" w:rsidR="007F6073" w:rsidRDefault="00000000">
          <w:pPr>
            <w:rPr>
              <w:color w:val="auto"/>
              <w:lang w:val="en-GB"/>
            </w:rPr>
          </w:pPr>
          <w:r>
            <w:rPr>
              <w:color w:val="auto"/>
              <w:lang w:val="en-GB"/>
            </w:rPr>
            <w:t>Failure to apply these controls consistently can result in valid orders being rejected, orders being accepted outside the scope of the agreement, contractual commitments being exceeded, or customers being charged incorrectly.</w:t>
          </w:r>
        </w:p>
        <w:p w14:paraId="0D33C81D" w14:textId="77777777" w:rsidR="007F6073" w:rsidRDefault="00000000">
          <w:pPr>
            <w:rPr>
              <w:color w:val="auto"/>
              <w:lang w:val="en-GB"/>
            </w:rPr>
          </w:pPr>
          <w:r>
            <w:rPr>
              <w:color w:val="auto"/>
              <w:lang w:val="en-GB"/>
            </w:rPr>
            <w:t>The proposed Hansen solution addresses this by maintaining a persistent relationship between the applicable Commercial Agreement and each resulting order. Contract eligibility, commitments, negotiated pricing and other applicable commercial terms are validated as part of the order capture journey, helping ensure that the same governed outcome is achieved regardless of the channel through which the order is submitted. This provides Vodaria Group with a consistent and traceable Contract-to-Order process while reducing manual interpretation, commercial leakage and downstream order fallout.</w:t>
          </w:r>
        </w:p>
        <w:p w14:paraId="6CFD8C1A" w14:textId="0ACE44C2" w:rsidR="007F6073" w:rsidRDefault="00000000">
          <w:r>
            <w:rPr>
              <w:i/>
              <w:color w:val="7F7F7F"/>
            </w:rPr>
            <w:t>Figure: Vodaria target lead-to-order architecture (Hansen Catalog, CPQ, Order Management integrated with Salesforce CRM).</w:t>
          </w:r>
        </w:p>
        <w:p w14:paraId="5CB8A160" w14:textId="77777777" w:rsidR="007F6073" w:rsidRDefault="007F6073"/>
        <w:p w14:paraId="410C0C85" w14:textId="2A315647" w:rsidR="007F6073" w:rsidRDefault="00000000">
          <w:pPr>
            <w:pStyle w:val="Heading3"/>
          </w:pPr>
          <w:bookmarkStart w:id="14" w:name="_Toc239002159"/>
          <w:r>
            <w:t>Order Capture &amp; Submission</w:t>
          </w:r>
          <w:bookmarkEnd w:id="14"/>
        </w:p>
        <w:p w14:paraId="3167A007" w14:textId="5EF58FCB" w:rsidR="007F6073" w:rsidRDefault="00000000">
          <w:pPr>
            <w:spacing w:before="0" w:after="0" w:line="300" w:lineRule="atLeast"/>
            <w:rPr>
              <w:color w:val="auto"/>
              <w:lang w:val="en-GB"/>
            </w:rPr>
          </w:pPr>
          <w:r>
            <w:rPr>
              <w:color w:val="auto"/>
              <w:lang w:val="en-GB"/>
            </w:rPr>
            <w:t>Once a Framework Agreement or Commercial Agreement is in place, Hansen CPQ provides the primary order capture experience for authorised sales users and customer channels. The solution enables customers to order against agreed contractual terms through a guided and controlled ordering journey, helping ensure commercial consistency and operational accuracy.</w:t>
          </w:r>
        </w:p>
        <w:p w14:paraId="7E4F071B" w14:textId="77777777" w:rsidR="007F6073" w:rsidRDefault="007F6073">
          <w:pPr>
            <w:spacing w:before="0" w:after="0" w:line="300" w:lineRule="atLeast"/>
            <w:rPr>
              <w:color w:val="auto"/>
              <w:lang w:val="en-GB"/>
            </w:rPr>
          </w:pPr>
        </w:p>
        <w:p w14:paraId="076D28F5" w14:textId="5132F5DB" w:rsidR="007F6073" w:rsidRDefault="00000000">
          <w:pPr>
            <w:spacing w:before="0" w:after="0" w:line="300" w:lineRule="atLeast"/>
            <w:rPr>
              <w:color w:val="auto"/>
              <w:lang w:val="en-GB"/>
            </w:rPr>
          </w:pPr>
          <w:r>
            <w:rPr>
              <w:color w:val="auto"/>
              <w:lang w:val="en-GB"/>
            </w:rPr>
            <w:t>Unlike the process used to establish a new commercial agreement, contract-based ordering does not require commercial negotiation or pricing approval. The applicable products, pricing, discounts and contractual terms have already been agreed and are referenced during order capture. As a result, Order Capture layer part of Hansen CPQ focuses on validating contract eligibility, applying agreed commercial terms and capturing fulfilment-ready order information.</w:t>
          </w:r>
        </w:p>
        <w:p w14:paraId="365D92E8" w14:textId="77777777" w:rsidR="007F6073" w:rsidRDefault="007F6073">
          <w:pPr>
            <w:spacing w:before="0" w:after="0" w:line="300" w:lineRule="atLeast"/>
            <w:rPr>
              <w:color w:val="auto"/>
              <w:lang w:val="en-GB"/>
            </w:rPr>
          </w:pPr>
        </w:p>
        <w:p w14:paraId="4A5623E3" w14:textId="77777777" w:rsidR="007F6073" w:rsidRDefault="00000000">
          <w:pPr>
            <w:spacing w:before="0" w:after="0" w:line="300" w:lineRule="atLeast"/>
            <w:rPr>
              <w:color w:val="auto"/>
              <w:lang w:val="en-GB"/>
            </w:rPr>
          </w:pPr>
          <w:r>
            <w:rPr>
              <w:color w:val="auto"/>
              <w:lang w:val="en-GB"/>
            </w:rPr>
            <w:t>During order capture, Hansen CPQ validates that the requested products and services are permitted under the applicable agreement, confirms that any contractual commitments or entitlements remain available, and applies the agreed contract pricing. The guided ordering experience presents only the products and configuration options available under the governing agreement, reducing complexity for users and helping prevent orders that fall outside contractual scope.</w:t>
          </w:r>
        </w:p>
        <w:p w14:paraId="3BC944D4" w14:textId="77777777" w:rsidR="007F6073" w:rsidRDefault="007F6073">
          <w:pPr>
            <w:spacing w:before="0" w:after="0" w:line="300" w:lineRule="atLeast"/>
            <w:rPr>
              <w:color w:val="auto"/>
              <w:lang w:val="en-GB"/>
            </w:rPr>
          </w:pPr>
        </w:p>
        <w:p w14:paraId="7C7F137B" w14:textId="3E0B22B8" w:rsidR="007F6073" w:rsidRDefault="00000000">
          <w:pPr>
            <w:spacing w:before="0" w:after="0" w:line="300" w:lineRule="atLeast"/>
            <w:rPr>
              <w:color w:val="auto"/>
              <w:lang w:val="en-GB"/>
            </w:rPr>
          </w:pPr>
          <w:r>
            <w:rPr>
              <w:color w:val="auto"/>
              <w:lang w:val="en-GB"/>
            </w:rPr>
            <w:lastRenderedPageBreak/>
            <w:t>Hansen CPQ operates as the order capture layer while leveraging governed commercial, catalog and agreement services to validate eligibility, retrieve pricing and enforce contractual rules. This approach helps ensure that consistent outcomes are achieved regardless of whether the order originates from an assisted sales process, customer portal or API channel.</w:t>
          </w:r>
        </w:p>
        <w:p w14:paraId="5AFAF0CB" w14:textId="77777777" w:rsidR="007F6073" w:rsidRDefault="007F6073">
          <w:pPr>
            <w:spacing w:before="0" w:after="0" w:line="300" w:lineRule="atLeast"/>
            <w:rPr>
              <w:color w:val="auto"/>
              <w:lang w:val="en-GB"/>
            </w:rPr>
          </w:pPr>
        </w:p>
        <w:p w14:paraId="36DA9074" w14:textId="77777777" w:rsidR="007F6073" w:rsidRDefault="00000000">
          <w:pPr>
            <w:spacing w:before="0" w:after="0" w:line="300" w:lineRule="atLeast"/>
            <w:rPr>
              <w:color w:val="auto"/>
              <w:lang w:val="en-GB"/>
            </w:rPr>
          </w:pPr>
          <w:r>
            <w:rPr>
              <w:color w:val="auto"/>
              <w:lang w:val="en-GB"/>
            </w:rPr>
            <w:t>Once validation is complete, Hansen CPQ creates a structured order containing the agreed products, pricing and contract references, and submits it to Hansen Order Management for orchestration and fulfilment. This provides Vodaria Group with a governed and scalable Contract-to-Order process while maintaining traceability between the Commercial Agreement, Order and downstream fulfilment activities.</w:t>
          </w:r>
        </w:p>
        <w:p w14:paraId="28389B44" w14:textId="77777777" w:rsidR="007F6073" w:rsidRDefault="007F6073">
          <w:pPr>
            <w:spacing w:before="0" w:after="0" w:line="300" w:lineRule="atLeast"/>
            <w:rPr>
              <w:lang w:val="en-GB"/>
            </w:rPr>
          </w:pPr>
        </w:p>
        <w:p w14:paraId="36906F57" w14:textId="2D21D38E" w:rsidR="007F6073" w:rsidRDefault="00000000">
          <w:pPr>
            <w:spacing w:before="0" w:after="0" w:line="300" w:lineRule="atLeast"/>
            <w:rPr>
              <w:lang w:val="en-GB"/>
            </w:rPr>
          </w:pPr>
          <w:r>
            <w:rPr>
              <w:i/>
              <w:color w:val="7F7F7F"/>
            </w:rPr>
            <w:t>Figure: Vodaria target lead-to-order architecture (Hansen Catalog, CPQ, Order Management integrated with Salesforce CRM).</w:t>
          </w:r>
        </w:p>
        <w:p w14:paraId="39DE494A" w14:textId="77777777" w:rsidR="007F6073" w:rsidRDefault="007F6073">
          <w:pPr>
            <w:spacing w:before="0" w:after="0" w:line="300" w:lineRule="atLeast"/>
            <w:rPr>
              <w:lang w:val="en-GB"/>
            </w:rPr>
          </w:pPr>
        </w:p>
        <w:p w14:paraId="7BECA338" w14:textId="7C6FA75F" w:rsidR="007F6073" w:rsidRDefault="00000000">
          <w:pPr>
            <w:spacing w:before="0" w:after="0" w:line="300" w:lineRule="atLeast"/>
            <w:rPr>
              <w:color w:val="auto"/>
              <w:lang w:val="en-GB"/>
            </w:rPr>
          </w:pPr>
          <w:r>
            <w:rPr>
              <w:color w:val="auto"/>
              <w:lang w:val="en-GB"/>
            </w:rPr>
            <w:t>For large enterprise opportunities, a single customer order often represents multiple delivery locations, services or implementation activities. In these scenarios, Hansen Order Management supports a master order and sub-order model that enables a single commercial transaction to be managed as multiple fulfilment workstreams. The master order represents the customer's commercial commitment and maintains the overall relationship to the governing contract, pricing and commercial obligations.</w:t>
          </w:r>
        </w:p>
        <w:p w14:paraId="2B5ACA1E" w14:textId="77777777" w:rsidR="007F6073" w:rsidRDefault="007F6073">
          <w:pPr>
            <w:spacing w:before="0" w:after="0" w:line="300" w:lineRule="atLeast"/>
            <w:rPr>
              <w:color w:val="auto"/>
              <w:lang w:val="en-GB"/>
            </w:rPr>
          </w:pPr>
        </w:p>
        <w:p w14:paraId="6C8421A1" w14:textId="256E6A00" w:rsidR="007F6073" w:rsidRDefault="00000000">
          <w:pPr>
            <w:spacing w:before="0" w:after="0" w:line="300" w:lineRule="atLeast"/>
            <w:rPr>
              <w:color w:val="auto"/>
              <w:lang w:val="en-GB"/>
            </w:rPr>
          </w:pPr>
          <w:r>
            <w:rPr>
              <w:color w:val="auto"/>
              <w:lang w:val="en-GB"/>
            </w:rPr>
            <w:t>Hansen CPQ supports the creation of a master order containing one or more site-level sub-orders. The master order represents the customer's commercial commitment and maintains the overall relationship to the governing contract, commercial agreement and pricing structure, while each sub-order represents an individual delivery unit that can be fulfilled independently.</w:t>
          </w:r>
        </w:p>
        <w:p w14:paraId="4A3B9E7B" w14:textId="77777777" w:rsidR="007F6073" w:rsidRDefault="007F6073">
          <w:pPr>
            <w:spacing w:before="0" w:after="0" w:line="300" w:lineRule="atLeast"/>
            <w:rPr>
              <w:color w:val="auto"/>
              <w:lang w:val="en-GB"/>
            </w:rPr>
          </w:pPr>
        </w:p>
        <w:p w14:paraId="00CF7EBA" w14:textId="29A07D47" w:rsidR="007F6073" w:rsidRDefault="00000000">
          <w:pPr>
            <w:spacing w:before="0" w:after="0" w:line="300" w:lineRule="atLeast"/>
            <w:rPr>
              <w:color w:val="auto"/>
              <w:lang w:val="en-GB"/>
            </w:rPr>
          </w:pPr>
          <w:r>
            <w:rPr>
              <w:color w:val="auto"/>
              <w:lang w:val="en-GB"/>
            </w:rPr>
            <w:t>The master order and associated sub-orders are submitted to Hansen Order Management, where each sub-order follows its own fulfilment journey with independent milestones, feasibility outcomes, dependencies, activation status and exception handling. This enables individual sites or services to progress at different rates while maintaining complete visibility and traceability back to the originating customer order and contractual agreement. Individual sub-order execution also provides flexibility to start the billing at individually activated site. This allow better control and also allow to meet customer commitment and avoid revenue leakage for e.g. when a single site is activated, customer can start getting billed for the services they are using. Or if customer wants to starts the billing process once group of the sites are completed, that can also be achieved.</w:t>
          </w:r>
        </w:p>
        <w:p w14:paraId="14FF393E" w14:textId="333D6689" w:rsidR="007F6073" w:rsidRDefault="007F6073">
          <w:pPr>
            <w:spacing w:before="0" w:after="0" w:line="300" w:lineRule="atLeast"/>
            <w:rPr>
              <w:color w:val="auto"/>
              <w:lang w:val="en-GB"/>
            </w:rPr>
          </w:pPr>
        </w:p>
        <w:p w14:paraId="650F0B55" w14:textId="77777777" w:rsidR="007F6073" w:rsidRDefault="00000000">
          <w:pPr>
            <w:spacing w:before="0" w:after="0" w:line="300" w:lineRule="atLeast"/>
            <w:rPr>
              <w:color w:val="auto"/>
              <w:lang w:val="en-GB"/>
            </w:rPr>
          </w:pPr>
          <w:r>
            <w:rPr>
              <w:color w:val="auto"/>
              <w:lang w:val="en-GB"/>
            </w:rPr>
            <w:t>This approach is particularly valuable for Vodaria Group's enterprise services, where multi-site customer deployments may involve different delivery schedules, supplier dependencies and fulfilment outcomes. By combining a single commercial order with independently managed fulfilment units, Vodaria Group gains improved operational visibility, greater control over complex deliveries and clear tracking of fulfilment progress across large-scale customer implementations.</w:t>
          </w:r>
        </w:p>
        <w:p w14:paraId="03ECAB94" w14:textId="77777777" w:rsidR="007F6073" w:rsidRDefault="007F6073">
          <w:pPr>
            <w:spacing w:before="0" w:after="0" w:line="300" w:lineRule="atLeast"/>
            <w:rPr>
              <w:lang w:val="en-GB"/>
            </w:rPr>
          </w:pPr>
        </w:p>
        <w:p w14:paraId="2F7EEA69" w14:textId="780CC600" w:rsidR="007F6073" w:rsidRDefault="00000000">
          <w:pPr>
            <w:pStyle w:val="Heading3"/>
          </w:pPr>
          <w:bookmarkStart w:id="15" w:name="_Toc239002160"/>
          <w:r>
            <w:t>Order Decomposition &amp; Fulfilment</w:t>
          </w:r>
          <w:bookmarkEnd w:id="15"/>
        </w:p>
        <w:p w14:paraId="79A44F30" w14:textId="7E59329B" w:rsidR="007F6073" w:rsidRDefault="00000000">
          <w:pPr>
            <w:rPr>
              <w:color w:val="auto"/>
              <w:szCs w:val="22"/>
            </w:rPr>
          </w:pPr>
          <w:r>
            <w:rPr>
              <w:color w:val="auto"/>
              <w:szCs w:val="22"/>
            </w:rPr>
            <w:t xml:space="preserve">Hansen Order Management provides the orchestration layer responsible for progressing customer orders from submission through fulfilment and service activation. The platform manages both the commercial view </w:t>
          </w:r>
          <w:r>
            <w:rPr>
              <w:color w:val="auto"/>
              <w:szCs w:val="22"/>
            </w:rPr>
            <w:lastRenderedPageBreak/>
            <w:t>of the order and the underlying service fulfilment activities required to deliver the purchased products and services. By leveraging the same catalog-driven product definitions used during configuration and order capture, Hansen Order Management ensures consistent application of commercial, service and fulfilment rules throughout the order lifecycle.</w:t>
          </w:r>
        </w:p>
        <w:p w14:paraId="0E33881D" w14:textId="45564816" w:rsidR="007F6073" w:rsidRDefault="00000000">
          <w:pPr>
            <w:rPr>
              <w:color w:val="auto"/>
              <w:szCs w:val="22"/>
            </w:rPr>
          </w:pPr>
          <w:r>
            <w:rPr>
              <w:color w:val="auto"/>
              <w:szCs w:val="22"/>
            </w:rPr>
            <w:t>Following order submission, Hansen Order Management performs validation, impact assessment and order decomposition to transform the commercial order into fulfilment-ready service and resource activities. Commercial products are expanded into the underlying services, resources and delivery instructions required by downstream systems, while fulfilment workflows are dynamically selected based on the products, services and delivery scenarios involved. For modifications to existing services, the solution can consider the customer's current service portfolio to ensure fulfilment activities are aligned with the installed service estate rather than treated as new service requests</w:t>
          </w:r>
        </w:p>
        <w:p w14:paraId="6E1D542D" w14:textId="77777777" w:rsidR="007F6073" w:rsidRDefault="00000000">
          <w:pPr>
            <w:spacing w:before="0" w:after="0" w:line="300" w:lineRule="atLeast"/>
            <w:rPr>
              <w:color w:val="auto"/>
              <w:lang w:val="en-GB"/>
            </w:rPr>
          </w:pPr>
          <w:r>
            <w:rPr>
              <w:color w:val="auto"/>
              <w:lang w:val="en-GB"/>
            </w:rPr>
            <w:t>Throughout fulfilment, Hansen Order Management provides end-to-end visibility of order progress, milestones, exceptions and fulfilment outcomes. Status updates can be exposed to upstream systems and customer channels, enabling sales, operations and customer-facing teams to track delivery progress, monitor dependencies and proactively manage fulfilment exceptions. This provides Vodaria Group with a scalable and controlled fulfilment model that improves operational transparency, supports high-volume order processing and reduces manual coordination across the lead-to-order lifecycle.</w:t>
          </w:r>
        </w:p>
        <w:p w14:paraId="2958C34C" w14:textId="77777777" w:rsidR="007F6073" w:rsidRDefault="007F6073">
          <w:pPr>
            <w:rPr>
              <w:color w:val="auto"/>
              <w:szCs w:val="22"/>
            </w:rPr>
          </w:pPr>
        </w:p>
        <w:p w14:paraId="04453FCF" w14:textId="09461CCA" w:rsidR="007F6073" w:rsidRDefault="00000000">
          <w:pPr>
            <w:pStyle w:val="Heading3"/>
          </w:pPr>
          <w:bookmarkStart w:id="16" w:name="_Toc239002161"/>
          <w:r>
            <w:t>Network Planning &amp; Inventory</w:t>
          </w:r>
          <w:bookmarkEnd w:id="16"/>
        </w:p>
        <w:p w14:paraId="0015B353" w14:textId="696BF42D" w:rsidR="007F6073" w:rsidRDefault="00000000">
          <w:pPr>
            <w:rPr>
              <w:color w:val="auto"/>
            </w:rPr>
          </w:pPr>
          <w:r>
            <w:rPr>
              <w:color w:val="auto"/>
            </w:rPr>
            <w:t>The Hansen suite can integrate with Vodaria Group and third-party interfaces, enabling accurate quoting and order fulfillment, fetching/posting data and enriching the sales and order journeys.</w:t>
          </w:r>
        </w:p>
        <w:p w14:paraId="4DF3E293" w14:textId="38AF829D" w:rsidR="007F6073" w:rsidRDefault="00000000">
          <w:pPr>
            <w:rPr>
              <w:color w:val="auto"/>
            </w:rPr>
          </w:pPr>
          <w:r>
            <w:rPr>
              <w:color w:val="auto"/>
            </w:rPr>
            <w:t>After a quote is approved and converted to an order, Hansen Order Management will begin executing fulfillment processes. Example for Order Journey:</w:t>
          </w:r>
        </w:p>
        <w:p w14:paraId="4129D5CD" w14:textId="118F4AA7" w:rsidR="007F6073" w:rsidRDefault="00000000">
          <w:pPr>
            <w:pStyle w:val="ListParagraph"/>
            <w:numPr>
              <w:ilvl w:val="0"/>
              <w:numId w:val="31"/>
            </w:numPr>
            <w:rPr>
              <w:color w:val="auto"/>
            </w:rPr>
          </w:pPr>
          <w:r>
            <w:rPr>
              <w:color w:val="auto"/>
            </w:rPr>
            <w:t>Integrate with Vodaria Group Resource Planning to confirm resource reservations, and trigger follow-up handling if there are any availability issues</w:t>
          </w:r>
        </w:p>
        <w:p w14:paraId="12A1D27D" w14:textId="412FA2E3" w:rsidR="007F6073" w:rsidRDefault="00000000">
          <w:pPr>
            <w:pStyle w:val="ListParagraph"/>
            <w:numPr>
              <w:ilvl w:val="1"/>
              <w:numId w:val="31"/>
            </w:numPr>
            <w:rPr>
              <w:color w:val="auto"/>
            </w:rPr>
          </w:pPr>
          <w:r>
            <w:rPr>
              <w:color w:val="auto"/>
            </w:rPr>
            <w:t>supplemental and canceled orders can also automatically change or release any reserved resources automatically;</w:t>
          </w:r>
        </w:p>
        <w:p w14:paraId="1294A7ED" w14:textId="119E1F8A" w:rsidR="007F6073" w:rsidRDefault="00000000">
          <w:pPr>
            <w:pStyle w:val="ListParagraph"/>
            <w:numPr>
              <w:ilvl w:val="0"/>
              <w:numId w:val="31"/>
            </w:numPr>
            <w:rPr>
              <w:color w:val="auto"/>
            </w:rPr>
          </w:pPr>
          <w:r>
            <w:rPr>
              <w:color w:val="auto"/>
            </w:rPr>
            <w:t>Send service details to Vodaria Group Network Planning and Service Activation APIs to ensure that customer services are built and configured to match what was quoted;</w:t>
          </w:r>
        </w:p>
        <w:p w14:paraId="4D18EB1E" w14:textId="7A2C9B17" w:rsidR="007F6073" w:rsidRDefault="00000000">
          <w:pPr>
            <w:pStyle w:val="ListParagraph"/>
            <w:numPr>
              <w:ilvl w:val="0"/>
              <w:numId w:val="31"/>
            </w:numPr>
            <w:rPr>
              <w:color w:val="auto"/>
            </w:rPr>
          </w:pPr>
          <w:r>
            <w:rPr>
              <w:color w:val="auto"/>
            </w:rPr>
            <w:t>Send detailed order confirmations to partners for any last-mile or external services, and maintain an open channel to receive updates;</w:t>
          </w:r>
        </w:p>
        <w:p w14:paraId="0CADC10A" w14:textId="1C46B6C5" w:rsidR="007F6073" w:rsidRDefault="00000000">
          <w:pPr>
            <w:pStyle w:val="ListParagraph"/>
            <w:numPr>
              <w:ilvl w:val="0"/>
              <w:numId w:val="31"/>
            </w:numPr>
            <w:rPr>
              <w:color w:val="auto"/>
            </w:rPr>
          </w:pPr>
          <w:r>
            <w:rPr>
              <w:color w:val="auto"/>
            </w:rPr>
            <w:t>Generate manual tasks for any fulfillment steps that are not automated, and assign them to designated user groups according to configurable rules;</w:t>
          </w:r>
        </w:p>
        <w:p w14:paraId="41BA8F4E" w14:textId="5FDE6F51" w:rsidR="007F6073" w:rsidRDefault="00000000">
          <w:pPr>
            <w:pStyle w:val="ListParagraph"/>
            <w:numPr>
              <w:ilvl w:val="0"/>
              <w:numId w:val="31"/>
            </w:numPr>
            <w:rPr>
              <w:color w:val="auto"/>
            </w:rPr>
          </w:pPr>
          <w:r>
            <w:rPr>
              <w:color w:val="auto"/>
            </w:rPr>
            <w:t>Integrate with Vodaria Group Network Services to request network diagrams and circuit layouts.</w:t>
          </w:r>
        </w:p>
        <w:p w14:paraId="230FAAD2" w14:textId="62CE6E7A" w:rsidR="007F6073" w:rsidRDefault="00000000">
          <w:pPr>
            <w:pStyle w:val="Heading3"/>
          </w:pPr>
          <w:bookmarkStart w:id="17" w:name="_Toc239002162"/>
          <w:r>
            <w:lastRenderedPageBreak/>
            <w:t>Operational Visibility &amp; Exception Management</w:t>
          </w:r>
          <w:bookmarkEnd w:id="17"/>
        </w:p>
        <w:p w14:paraId="0E44729E" w14:textId="4D8974B8" w:rsidR="007F6073" w:rsidRDefault="00000000">
          <w:pPr>
            <w:rPr>
              <w:color w:val="auto"/>
              <w:szCs w:val="22"/>
            </w:rPr>
          </w:pPr>
          <w:r>
            <w:rPr>
              <w:b/>
              <w:bCs/>
              <w:color w:val="auto"/>
              <w:szCs w:val="22"/>
              <w:u w:val="single"/>
            </w:rPr>
            <w:t>Products and Service Visibility</w:t>
          </w:r>
          <w:r>
            <w:rPr>
              <w:color w:val="auto"/>
              <w:szCs w:val="22"/>
            </w:rPr>
            <w:t xml:space="preserve"> : Hansen Product Inventory (PI) provides the operational view of the services and products that customers actually own. While Catalog defines what can be sold and CPQ manages what is being quoted and ordered, PI maintains the record of active customer services and their relationships after fulfilment.</w:t>
          </w:r>
        </w:p>
        <w:p w14:paraId="285BBBBD" w14:textId="3CBE2F69" w:rsidR="007F6073" w:rsidRDefault="00000000">
          <w:pPr>
            <w:rPr>
              <w:color w:val="auto"/>
              <w:szCs w:val="22"/>
            </w:rPr>
          </w:pPr>
          <w:r>
            <w:rPr>
              <w:color w:val="auto"/>
              <w:szCs w:val="22"/>
            </w:rPr>
            <w:t>Hansen PI integrates closely with Hansen OM, providing the installed service context needed to support new orders, modifications, upgrades and disconnects. During fulfilment, OM updates PI as services are delivered, ensuring that inventory remains synchronized with the customer's operational estate. This enables Order Management to make fulfilment decisions based on existing services, dependencies and resource relationships rather than treating every request as a new installation.</w:t>
          </w:r>
        </w:p>
        <w:p w14:paraId="3A9D5956" w14:textId="095B37CE" w:rsidR="007F6073" w:rsidRDefault="00000000">
          <w:pPr>
            <w:rPr>
              <w:color w:val="auto"/>
              <w:szCs w:val="22"/>
            </w:rPr>
          </w:pPr>
          <w:r>
            <w:rPr>
              <w:color w:val="auto"/>
              <w:szCs w:val="22"/>
            </w:rPr>
            <w:t>Examples of how PI can support Vodaria Group:</w:t>
          </w:r>
        </w:p>
        <w:p w14:paraId="2856C451" w14:textId="767DA1D9" w:rsidR="007F6073" w:rsidRDefault="00000000">
          <w:pPr>
            <w:pStyle w:val="ListParagraph"/>
            <w:numPr>
              <w:ilvl w:val="0"/>
              <w:numId w:val="37"/>
            </w:numPr>
            <w:rPr>
              <w:color w:val="auto"/>
              <w:szCs w:val="22"/>
            </w:rPr>
          </w:pPr>
          <w:r>
            <w:rPr>
              <w:color w:val="auto"/>
              <w:szCs w:val="22"/>
            </w:rPr>
            <w:t>Provide a consolidated view of all active services delivered to a customer across enterprise sites and locations;</w:t>
          </w:r>
        </w:p>
        <w:p w14:paraId="40992C53" w14:textId="1FAB74EC" w:rsidR="007F6073" w:rsidRDefault="00000000">
          <w:pPr>
            <w:pStyle w:val="ListParagraph"/>
            <w:numPr>
              <w:ilvl w:val="0"/>
              <w:numId w:val="37"/>
            </w:numPr>
            <w:rPr>
              <w:color w:val="auto"/>
              <w:szCs w:val="22"/>
            </w:rPr>
          </w:pPr>
          <w:r>
            <w:rPr>
              <w:color w:val="auto"/>
              <w:szCs w:val="22"/>
            </w:rPr>
            <w:t>Allow OM to determine whether an order is for a new service, an upgrade, a bandwidth change, a relocation or a disconnect;</w:t>
          </w:r>
        </w:p>
        <w:p w14:paraId="212A128D" w14:textId="628C7946" w:rsidR="007F6073" w:rsidRDefault="00000000">
          <w:pPr>
            <w:pStyle w:val="ListParagraph"/>
            <w:numPr>
              <w:ilvl w:val="0"/>
              <w:numId w:val="37"/>
            </w:numPr>
            <w:rPr>
              <w:color w:val="auto"/>
              <w:szCs w:val="22"/>
            </w:rPr>
          </w:pPr>
          <w:r>
            <w:rPr>
              <w:color w:val="auto"/>
              <w:szCs w:val="22"/>
            </w:rPr>
            <w:t>Validate existing customer services before processing MACD requests, reducing fulfilment errors and manual analysis;</w:t>
          </w:r>
        </w:p>
        <w:p w14:paraId="46C83CFB" w14:textId="051D85A9" w:rsidR="007F6073" w:rsidRDefault="00000000">
          <w:pPr>
            <w:pStyle w:val="ListParagraph"/>
            <w:numPr>
              <w:ilvl w:val="0"/>
              <w:numId w:val="37"/>
            </w:numPr>
            <w:rPr>
              <w:color w:val="auto"/>
              <w:szCs w:val="22"/>
            </w:rPr>
          </w:pPr>
          <w:r>
            <w:rPr>
              <w:color w:val="auto"/>
              <w:szCs w:val="22"/>
            </w:rPr>
            <w:t>Maintain relationships between commercial products, service instances and underlying resources to support fulfilment and operational visibility;</w:t>
          </w:r>
        </w:p>
        <w:p w14:paraId="27AB32E6" w14:textId="458C6973" w:rsidR="007F6073" w:rsidRDefault="00000000">
          <w:pPr>
            <w:pStyle w:val="ListParagraph"/>
            <w:numPr>
              <w:ilvl w:val="0"/>
              <w:numId w:val="37"/>
            </w:numPr>
            <w:rPr>
              <w:color w:val="auto"/>
              <w:szCs w:val="22"/>
            </w:rPr>
          </w:pPr>
          <w:r>
            <w:rPr>
              <w:color w:val="auto"/>
              <w:szCs w:val="22"/>
            </w:rPr>
            <w:t>Provide OM with inventory context to perform impact analysis before service changes are executed;</w:t>
          </w:r>
        </w:p>
        <w:p w14:paraId="6C4E7F34" w14:textId="37B88D9A" w:rsidR="007F6073" w:rsidRDefault="00000000">
          <w:pPr>
            <w:pStyle w:val="ListParagraph"/>
            <w:numPr>
              <w:ilvl w:val="0"/>
              <w:numId w:val="37"/>
            </w:numPr>
            <w:rPr>
              <w:color w:val="auto"/>
              <w:szCs w:val="22"/>
            </w:rPr>
          </w:pPr>
          <w:r>
            <w:rPr>
              <w:color w:val="auto"/>
              <w:szCs w:val="22"/>
            </w:rPr>
            <w:t>Can support framework agreement and contract-based ordering by validating existing customer entitlements and installed services.</w:t>
          </w:r>
        </w:p>
        <w:p w14:paraId="5524633C" w14:textId="38F26DA8" w:rsidR="007F6073" w:rsidRDefault="00000000">
          <w:pPr>
            <w:ind w:left="360"/>
            <w:rPr>
              <w:szCs w:val="22"/>
              <w:lang w:val="en-GB"/>
            </w:rPr>
          </w:pPr>
          <w:r>
            <w:rPr>
              <w:b/>
              <w:bCs/>
              <w:color w:val="auto"/>
              <w:szCs w:val="22"/>
              <w:u w:val="single"/>
            </w:rPr>
            <w:t>Orders Visibility , Ownership &amp; Exception Management</w:t>
          </w:r>
          <w:r>
            <w:rPr>
              <w:color w:val="auto"/>
              <w:szCs w:val="22"/>
            </w:rPr>
            <w:t xml:space="preserve">: </w:t>
          </w:r>
          <w:r>
            <w:rPr>
              <w:szCs w:val="22"/>
              <w:lang w:val="en-GB"/>
            </w:rPr>
            <w:t>In addition to inventory visibility, Hansen Order Management provides operational visibility throughout the order delivery lifecycle through role-based workspaces, order ownership, milestone tracking and proactive exception management. Users can view and manage the orders they own, monitor progress and SLA objectives, and quickly identify orders requiring intervention. Configurable dashboards provide visibility of order status, pending tasks requiring actions, SLA’s and operational KPIs, enabling teams to actively manage customer commitments and delivery performance</w:t>
          </w:r>
        </w:p>
        <w:p w14:paraId="6FFFD407" w14:textId="77777777" w:rsidR="007F6073" w:rsidRDefault="00000000">
          <w:pPr>
            <w:ind w:left="360"/>
            <w:rPr>
              <w:color w:val="auto"/>
              <w:szCs w:val="22"/>
              <w:lang w:val="en-GB"/>
            </w:rPr>
          </w:pPr>
          <w:r>
            <w:rPr>
              <w:b/>
              <w:bCs/>
              <w:color w:val="auto"/>
              <w:szCs w:val="22"/>
              <w:lang w:val="en-GB"/>
            </w:rPr>
            <w:t>Examples of how OM can support Vodaria Group:</w:t>
          </w:r>
        </w:p>
        <w:p w14:paraId="44760B93" w14:textId="77777777" w:rsidR="007F6073" w:rsidRDefault="00000000">
          <w:pPr>
            <w:numPr>
              <w:ilvl w:val="0"/>
              <w:numId w:val="38"/>
            </w:numPr>
            <w:rPr>
              <w:color w:val="auto"/>
              <w:szCs w:val="22"/>
              <w:lang w:val="en-GB"/>
            </w:rPr>
          </w:pPr>
          <w:r>
            <w:rPr>
              <w:color w:val="auto"/>
              <w:szCs w:val="22"/>
              <w:lang w:val="en-GB"/>
            </w:rPr>
            <w:t>Provide role-based visibility of assigned orders, operational work queues and user responsibilities</w:t>
          </w:r>
        </w:p>
        <w:p w14:paraId="7FA6EA21" w14:textId="77777777" w:rsidR="007F6073" w:rsidRDefault="00000000">
          <w:pPr>
            <w:numPr>
              <w:ilvl w:val="0"/>
              <w:numId w:val="38"/>
            </w:numPr>
            <w:rPr>
              <w:color w:val="auto"/>
              <w:szCs w:val="22"/>
              <w:lang w:val="en-GB"/>
            </w:rPr>
          </w:pPr>
          <w:r>
            <w:rPr>
              <w:color w:val="auto"/>
              <w:szCs w:val="22"/>
              <w:lang w:val="en-GB"/>
            </w:rPr>
            <w:t xml:space="preserve">Track order progress, committed delivery dates and SLA objectives. </w:t>
          </w:r>
        </w:p>
        <w:p w14:paraId="4170EB20" w14:textId="77777777" w:rsidR="007F6073" w:rsidRDefault="00000000">
          <w:pPr>
            <w:numPr>
              <w:ilvl w:val="0"/>
              <w:numId w:val="38"/>
            </w:numPr>
            <w:rPr>
              <w:color w:val="auto"/>
              <w:szCs w:val="22"/>
              <w:lang w:val="en-GB"/>
            </w:rPr>
          </w:pPr>
          <w:r>
            <w:rPr>
              <w:color w:val="auto"/>
              <w:szCs w:val="22"/>
              <w:lang w:val="en-GB"/>
            </w:rPr>
            <w:t>Surface fulfilment fallouts, and orders at risk through configurable dashboards and exception views</w:t>
          </w:r>
        </w:p>
        <w:p w14:paraId="23F8FD46" w14:textId="77777777" w:rsidR="007F6073" w:rsidRDefault="00000000">
          <w:pPr>
            <w:numPr>
              <w:ilvl w:val="0"/>
              <w:numId w:val="38"/>
            </w:numPr>
            <w:rPr>
              <w:color w:val="auto"/>
              <w:szCs w:val="22"/>
              <w:lang w:val="en-GB"/>
            </w:rPr>
          </w:pPr>
          <w:r>
            <w:rPr>
              <w:color w:val="auto"/>
              <w:szCs w:val="22"/>
              <w:lang w:val="en-GB"/>
            </w:rPr>
            <w:t xml:space="preserve">Generate proactive notifications for status changes, SLA risks, pending actions and fulfilment exceptions, ensuring order owners remain informed without manual monitoring. </w:t>
          </w:r>
        </w:p>
        <w:p w14:paraId="22192752" w14:textId="77777777" w:rsidR="007F6073" w:rsidRDefault="00000000">
          <w:pPr>
            <w:numPr>
              <w:ilvl w:val="0"/>
              <w:numId w:val="38"/>
            </w:numPr>
            <w:rPr>
              <w:color w:val="auto"/>
              <w:szCs w:val="22"/>
              <w:lang w:val="en-GB"/>
            </w:rPr>
          </w:pPr>
          <w:r>
            <w:rPr>
              <w:color w:val="auto"/>
              <w:szCs w:val="22"/>
              <w:lang w:val="en-GB"/>
            </w:rPr>
            <w:lastRenderedPageBreak/>
            <w:t xml:space="preserve">Integrate fallout and exception events with external ITSM and ticket management platforms, allowing incidents or work tickets to be automatically created, tracked and managed within Vodaria Group's existing operational support processes. </w:t>
          </w:r>
        </w:p>
        <w:p w14:paraId="39B7F40C" w14:textId="20B33648" w:rsidR="007F6073" w:rsidRDefault="00000000">
          <w:pPr>
            <w:numPr>
              <w:ilvl w:val="0"/>
              <w:numId w:val="38"/>
            </w:numPr>
            <w:rPr>
              <w:color w:val="auto"/>
              <w:szCs w:val="22"/>
              <w:lang w:val="en-GB"/>
            </w:rPr>
          </w:pPr>
          <w:r>
            <w:rPr>
              <w:color w:val="auto"/>
              <w:szCs w:val="22"/>
              <w:lang w:val="en-GB"/>
            </w:rPr>
            <w:t>Provide end-to-end traceability between customer orders, fulfilment activities, operational tickets and resolution outcomes</w:t>
          </w:r>
        </w:p>
        <w:p w14:paraId="4815887A" w14:textId="2BD5BBA2" w:rsidR="007F6073" w:rsidRDefault="00000000">
          <w:pPr>
            <w:pStyle w:val="Heading3"/>
            <w:rPr>
              <w:rFonts w:cstheme="minorBidi"/>
              <w:kern w:val="2"/>
              <w:lang w:val="en-GB" w:eastAsia="en-GB"/>
              <w14:ligatures w14:val="standardContextual"/>
            </w:rPr>
          </w:pPr>
          <w:bookmarkStart w:id="18" w:name="_Toc239002163"/>
          <w:r>
            <w:t>MCP Interface for AI Agents</w:t>
          </w:r>
          <w:bookmarkEnd w:id="18"/>
        </w:p>
        <w:p w14:paraId="4F81CBA8" w14:textId="77777777" w:rsidR="007F6073" w:rsidRDefault="00000000">
          <w:pPr>
            <w:spacing w:before="100" w:beforeAutospacing="1" w:after="100" w:afterAutospacing="1" w:line="300" w:lineRule="atLeast"/>
            <w:rPr>
              <w:rFonts w:eastAsia="Times New Roman" w:cs="Segoe UI"/>
              <w:color w:val="auto"/>
              <w:szCs w:val="22"/>
              <w:lang w:val="en-GB" w:eastAsia="en-GB"/>
            </w:rPr>
          </w:pPr>
          <w:r>
            <w:rPr>
              <w:rFonts w:eastAsia="Times New Roman" w:cs="Segoe UI"/>
              <w:color w:val="auto"/>
              <w:szCs w:val="22"/>
              <w:lang w:val="en-GB" w:eastAsia="en-GB"/>
            </w:rPr>
            <w:t>Hansen is actively investing in AI-enabled capabilities and has established a foundation for agent-based interactions through standards-based interfaces and MCP-aligned integration patterns. Hansen already has multiple AI-powered agents that interact with business capabilities across the CSF suite, providing practical examples of how AI can improve productivity, operational efficiency and user experience across the Lead-to-Order lifecycle.</w:t>
          </w:r>
        </w:p>
        <w:p w14:paraId="416ECA11" w14:textId="77777777" w:rsidR="007F6073" w:rsidRDefault="00000000">
          <w:pPr>
            <w:spacing w:before="100" w:beforeAutospacing="1" w:after="100" w:afterAutospacing="1" w:line="300" w:lineRule="atLeast"/>
            <w:rPr>
              <w:rFonts w:eastAsia="Times New Roman" w:cs="Segoe UI"/>
              <w:color w:val="auto"/>
              <w:szCs w:val="22"/>
              <w:lang w:val="en-GB" w:eastAsia="en-GB"/>
            </w:rPr>
          </w:pPr>
          <w:r>
            <w:rPr>
              <w:rFonts w:eastAsia="Times New Roman" w:cs="Segoe UI"/>
              <w:color w:val="auto"/>
              <w:szCs w:val="22"/>
              <w:lang w:val="en-GB" w:eastAsia="en-GB"/>
            </w:rPr>
            <w:t xml:space="preserve">For example, the </w:t>
          </w:r>
          <w:r>
            <w:rPr>
              <w:rFonts w:eastAsia="Times New Roman" w:cs="Segoe UI"/>
              <w:b/>
              <w:color w:val="auto"/>
              <w:szCs w:val="22"/>
              <w:lang w:val="en-GB" w:eastAsia="en-GB"/>
            </w:rPr>
            <w:t>Hansen Catalog AI Agent</w:t>
          </w:r>
          <w:r>
            <w:rPr>
              <w:rFonts w:eastAsia="Times New Roman" w:cs="Segoe UI"/>
              <w:color w:val="auto"/>
              <w:szCs w:val="22"/>
              <w:lang w:val="en-GB" w:eastAsia="en-GB"/>
            </w:rPr>
            <w:t xml:space="preserve"> assists product managers with catalog and offer lifecycle activities, helping users create, update and maintain commercial and technical product definitions more efficiently. By leveraging catalog knowledge, relationships and business rules, the agent can guide users through catalog configuration and governance processes, reducing manual effort and accelerating product introduction.</w:t>
          </w:r>
        </w:p>
        <w:p w14:paraId="524AC671" w14:textId="77777777" w:rsidR="007F6073" w:rsidRDefault="00000000">
          <w:pPr>
            <w:spacing w:before="100" w:beforeAutospacing="1" w:after="100" w:afterAutospacing="1" w:line="300" w:lineRule="atLeast"/>
            <w:rPr>
              <w:rFonts w:eastAsia="Times New Roman" w:cs="Segoe UI"/>
              <w:color w:val="auto"/>
              <w:szCs w:val="22"/>
              <w:lang w:val="en-GB" w:eastAsia="en-GB"/>
            </w:rPr>
          </w:pPr>
          <w:r>
            <w:rPr>
              <w:rFonts w:eastAsia="Times New Roman" w:cs="Segoe UI"/>
              <w:color w:val="auto"/>
              <w:szCs w:val="22"/>
              <w:lang w:val="en-GB" w:eastAsia="en-GB"/>
            </w:rPr>
            <w:t xml:space="preserve">Hansen is also investing in </w:t>
          </w:r>
          <w:r>
            <w:rPr>
              <w:rFonts w:eastAsia="Times New Roman" w:cs="Segoe UI"/>
              <w:b/>
              <w:color w:val="auto"/>
              <w:szCs w:val="22"/>
              <w:lang w:val="en-GB" w:eastAsia="en-GB"/>
            </w:rPr>
            <w:t>AI-powered Operational Assistants</w:t>
          </w:r>
          <w:r>
            <w:rPr>
              <w:rFonts w:eastAsia="Times New Roman" w:cs="Segoe UI"/>
              <w:color w:val="auto"/>
              <w:szCs w:val="22"/>
              <w:lang w:val="en-GB" w:eastAsia="en-GB"/>
            </w:rPr>
            <w:t xml:space="preserve"> that support operational teams in monitoring, troubleshooting and resolving fulfilment issues. These assistants can help users investigate order fallout events, identify likely causes, surface relevant operational knowledge and recommend corrective actions, while maintaining human oversight and approval. This enables faster issue diagnosis, more efficient exception handling and improved operational resilience.</w:t>
          </w:r>
        </w:p>
        <w:p w14:paraId="19ABB5D8" w14:textId="77777777" w:rsidR="007F6073" w:rsidRDefault="00000000">
          <w:pPr>
            <w:spacing w:before="100" w:beforeAutospacing="1" w:after="100" w:afterAutospacing="1" w:line="300" w:lineRule="atLeast"/>
            <w:rPr>
              <w:rFonts w:eastAsia="Times New Roman" w:cs="Segoe UI"/>
              <w:color w:val="auto"/>
              <w:szCs w:val="22"/>
              <w:lang w:val="en-GB" w:eastAsia="en-GB"/>
            </w:rPr>
          </w:pPr>
          <w:r>
            <w:rPr>
              <w:rFonts w:eastAsia="Times New Roman" w:cs="Segoe UI"/>
              <w:color w:val="auto"/>
              <w:szCs w:val="22"/>
              <w:lang w:val="en-GB" w:eastAsia="en-GB"/>
            </w:rPr>
            <w:t>As Vodaria Group's automation and innovation strategy evolves, Hansen's vision is to support a standardized ecosystem of AI agents capable of securely interacting with CRM, CPQ, Catalog, Contract Management, Order Management, Product Inventory and network domains through MCP-aligned integration patterns. This foundation enables future use cases such as customer intent-to-solution generation, automated service qualification and feasibility assessment, intelligent commercial recommendations, contract renewal assistance, proactive order assurance, service impact analysis and AI-assisted operational support.</w:t>
          </w:r>
        </w:p>
        <w:p w14:paraId="104917EF" w14:textId="12BFB4A9" w:rsidR="007F6073" w:rsidRDefault="00000000">
          <w:pPr>
            <w:spacing w:before="100" w:beforeAutospacing="1" w:after="100" w:afterAutospacing="1" w:line="300" w:lineRule="atLeast"/>
            <w:rPr>
              <w:rFonts w:eastAsia="Times New Roman" w:cs="Segoe UI"/>
              <w:color w:val="auto"/>
              <w:szCs w:val="22"/>
              <w:lang w:val="en-GB" w:eastAsia="en-GB"/>
            </w:rPr>
          </w:pPr>
          <w:r>
            <w:rPr>
              <w:rFonts w:eastAsia="Times New Roman" w:cs="Segoe UI"/>
              <w:color w:val="auto"/>
              <w:szCs w:val="22"/>
              <w:lang w:val="en-GB" w:eastAsia="en-GB"/>
            </w:rPr>
            <w:t>By leveraging open interfaces, governed access to business capabilities and human-in-the-loop controls, Vodaria Group can progressively introduce AI-driven automation while maintaining appropriate security, transparency, auditability and alignment with enterprise governance requirements. Hansen's API-first architecture and ongoing AI investment provide a flexible foundation for adopting both Hansen-delivered and third-party AI agents as business requirements continue to evolve.</w:t>
          </w:r>
        </w:p>
        <w:p w14:paraId="2CE2954D" w14:textId="77777777" w:rsidR="007F6073" w:rsidRDefault="007F6073">
          <w:pPr>
            <w:spacing w:before="100" w:beforeAutospacing="1" w:after="100" w:afterAutospacing="1" w:line="300" w:lineRule="atLeast"/>
            <w:rPr>
              <w:rFonts w:eastAsia="Times New Roman" w:cs="Segoe UI"/>
              <w:color w:val="auto"/>
              <w:szCs w:val="22"/>
              <w:lang w:val="en-GB" w:eastAsia="en-GB"/>
            </w:rPr>
          </w:pPr>
        </w:p>
        <w:p w14:paraId="5F42D5A0" w14:textId="0E6CDF9A" w:rsidR="007F6073" w:rsidRDefault="00000000">
          <w:pPr>
            <w:pStyle w:val="Heading2"/>
            <w:rPr>
              <w:rFonts w:cstheme="minorBidi"/>
              <w:kern w:val="2"/>
              <w:szCs w:val="32"/>
              <w:lang w:val="en-GB" w:eastAsia="en-GB"/>
              <w14:ligatures w14:val="standardContextual"/>
            </w:rPr>
          </w:pPr>
          <w:bookmarkStart w:id="19" w:name="_Toc239002164"/>
          <w:r>
            <w:rPr>
              <w:rFonts w:cstheme="minorBidi"/>
            </w:rPr>
            <w:lastRenderedPageBreak/>
            <w:t>Integration &amp; Open Architecture</w:t>
          </w:r>
          <w:bookmarkEnd w:id="19"/>
        </w:p>
        <w:tbl>
          <w:tblPr>
            <w:tblStyle w:val="ListTable3-Accent1"/>
            <w:tblW w:w="0" w:type="auto"/>
            <w:tblLook w:val="04A0" w:firstRow="1" w:lastRow="0" w:firstColumn="1" w:lastColumn="0" w:noHBand="0" w:noVBand="1"/>
          </w:tblPr>
          <w:tblGrid>
            <w:gridCol w:w="2792"/>
            <w:gridCol w:w="7278"/>
          </w:tblGrid>
          <w:tr w:rsidR="007F6073" w14:paraId="37011E4B" w14:textId="77777777" w:rsidTr="007F6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19A6E30" w14:textId="77777777" w:rsidR="007F6073" w:rsidRDefault="00000000">
                <w:pPr>
                  <w:jc w:val="center"/>
                  <w:rPr>
                    <w:sz w:val="28"/>
                    <w:szCs w:val="24"/>
                  </w:rPr>
                </w:pPr>
                <w:r>
                  <w:rPr>
                    <w:color w:val="FFFFFF"/>
                    <w:sz w:val="28"/>
                    <w:szCs w:val="24"/>
                  </w:rPr>
                  <w:t>Integration area</w:t>
                </w:r>
              </w:p>
            </w:tc>
            <w:tc>
              <w:tcPr>
                <w:tcW w:w="7632" w:type="dxa"/>
              </w:tcPr>
              <w:p w14:paraId="4C821F8C" w14:textId="77777777" w:rsidR="007F6073" w:rsidRDefault="00000000">
                <w:pPr>
                  <w:jc w:val="center"/>
                  <w:cnfStyle w:val="100000000000" w:firstRow="1" w:lastRow="0" w:firstColumn="0" w:lastColumn="0" w:oddVBand="0" w:evenVBand="0" w:oddHBand="0" w:evenHBand="0" w:firstRowFirstColumn="0" w:firstRowLastColumn="0" w:lastRowFirstColumn="0" w:lastRowLastColumn="0"/>
                  <w:rPr>
                    <w:sz w:val="28"/>
                    <w:szCs w:val="24"/>
                  </w:rPr>
                </w:pPr>
                <w:r>
                  <w:rPr>
                    <w:color w:val="FFFFFF"/>
                    <w:sz w:val="28"/>
                    <w:szCs w:val="24"/>
                  </w:rPr>
                  <w:t>Recommended response</w:t>
                </w:r>
              </w:p>
            </w:tc>
          </w:tr>
          <w:tr w:rsidR="007F6073" w14:paraId="527B1BF0"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0F3F452" w14:textId="77777777" w:rsidR="007F6073" w:rsidRDefault="00000000">
                <w:pPr>
                  <w:rPr>
                    <w:color w:val="333333" w:themeColor="text1"/>
                  </w:rPr>
                </w:pPr>
                <w:r>
                  <w:rPr>
                    <w:color w:val="333333" w:themeColor="text1"/>
                  </w:rPr>
                  <w:t>Salesforce CRM CRM integration</w:t>
                </w:r>
              </w:p>
            </w:tc>
            <w:tc>
              <w:tcPr>
                <w:tcW w:w="7632" w:type="dxa"/>
                <w:vAlign w:val="center"/>
              </w:tcPr>
              <w:p w14:paraId="69F0B5CB" w14:textId="12612E76" w:rsidR="007F6073" w:rsidRDefault="00000000">
                <w:pPr>
                  <w:cnfStyle w:val="000000100000" w:firstRow="0" w:lastRow="0" w:firstColumn="0" w:lastColumn="0" w:oddVBand="0" w:evenVBand="0" w:oddHBand="1" w:evenHBand="0" w:firstRowFirstColumn="0" w:firstRowLastColumn="0" w:lastRowFirstColumn="0" w:lastRowLastColumn="0"/>
                  <w:rPr>
                    <w:color w:val="333333" w:themeColor="text1"/>
                    <w:lang w:val="en-GB"/>
                  </w:rPr>
                </w:pPr>
                <w:r>
                  <w:rPr>
                    <w:color w:val="333333" w:themeColor="text1"/>
                    <w:lang w:val="en-GB"/>
                  </w:rPr>
                  <w:t>Salesforce CRM remains the system of record for customer and opportunity management while Hansen delivers specialist Lead-to-Order capabilities through API-led integration.</w:t>
                </w:r>
              </w:p>
            </w:tc>
          </w:tr>
          <w:tr w:rsidR="007F6073" w14:paraId="3150D652" w14:textId="77777777" w:rsidTr="007F6073">
            <w:tc>
              <w:tcPr>
                <w:cnfStyle w:val="001000000000" w:firstRow="0" w:lastRow="0" w:firstColumn="1" w:lastColumn="0" w:oddVBand="0" w:evenVBand="0" w:oddHBand="0" w:evenHBand="0" w:firstRowFirstColumn="0" w:firstRowLastColumn="0" w:lastRowFirstColumn="0" w:lastRowLastColumn="0"/>
                <w:tcW w:w="2880" w:type="dxa"/>
                <w:vAlign w:val="center"/>
              </w:tcPr>
              <w:p w14:paraId="57EBB54E" w14:textId="77777777" w:rsidR="007F6073" w:rsidRDefault="00000000">
                <w:pPr>
                  <w:rPr>
                    <w:color w:val="333333" w:themeColor="text1"/>
                  </w:rPr>
                </w:pPr>
                <w:r>
                  <w:rPr>
                    <w:color w:val="333333" w:themeColor="text1"/>
                  </w:rPr>
                  <w:t>Northbound channel/API integration</w:t>
                </w:r>
              </w:p>
            </w:tc>
            <w:tc>
              <w:tcPr>
                <w:tcW w:w="7632" w:type="dxa"/>
                <w:vAlign w:val="center"/>
              </w:tcPr>
              <w:p w14:paraId="0897597D" w14:textId="36253E98" w:rsidR="007F6073" w:rsidRDefault="00000000">
                <w:pPr>
                  <w:cnfStyle w:val="000000000000" w:firstRow="0" w:lastRow="0" w:firstColumn="0" w:lastColumn="0" w:oddVBand="0" w:evenVBand="0" w:oddHBand="0" w:evenHBand="0" w:firstRowFirstColumn="0" w:firstRowLastColumn="0" w:lastRowFirstColumn="0" w:lastRowLastColumn="0"/>
                  <w:rPr>
                    <w:color w:val="333333" w:themeColor="text1"/>
                  </w:rPr>
                </w:pPr>
                <w:r>
                  <w:rPr>
                    <w:color w:val="333333" w:themeColor="text1"/>
                  </w:rPr>
                  <w:t>The solution supports both assisted and digital engagement models through a common set of CPQ and Catalog services. Whether accessed through Salesforce CRM, customer portals, partner channels or API-driven applications, the same product definitions, commercial rules, technical validations and pricing logic are consistently applied, ensuring a unified customer experience across all channels.</w:t>
                </w:r>
              </w:p>
            </w:tc>
          </w:tr>
          <w:tr w:rsidR="007F6073" w14:paraId="293878EA"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53ACD54" w14:textId="77777777" w:rsidR="007F6073" w:rsidRDefault="00000000">
                <w:pPr>
                  <w:rPr>
                    <w:color w:val="333333" w:themeColor="text1"/>
                  </w:rPr>
                </w:pPr>
                <w:r>
                  <w:rPr>
                    <w:color w:val="333333" w:themeColor="text1"/>
                  </w:rPr>
                  <w:t>Southbound fulfilment integration</w:t>
                </w:r>
              </w:p>
            </w:tc>
            <w:tc>
              <w:tcPr>
                <w:tcW w:w="7632" w:type="dxa"/>
                <w:vAlign w:val="center"/>
              </w:tcPr>
              <w:p w14:paraId="3BE3B235" w14:textId="4F229A65" w:rsidR="007F6073" w:rsidRDefault="00000000">
                <w:pPr>
                  <w:cnfStyle w:val="000000100000" w:firstRow="0" w:lastRow="0" w:firstColumn="0" w:lastColumn="0" w:oddVBand="0" w:evenVBand="0" w:oddHBand="1" w:evenHBand="0" w:firstRowFirstColumn="0" w:firstRowLastColumn="0" w:lastRowFirstColumn="0" w:lastRowLastColumn="0"/>
                  <w:rPr>
                    <w:color w:val="333333" w:themeColor="text1"/>
                  </w:rPr>
                </w:pPr>
                <w:r>
                  <w:rPr>
                    <w:color w:val="333333" w:themeColor="text1"/>
                  </w:rPr>
                  <w:t>Hansen Order Management provides the orchestration layer between customer orders and downstream fulfilment systems. Through open APIs, integration adapters and alignment with Vodaria Group's integration architecture, the solution enables connectivity to inventory, service fulfilment, network orchestration, billing, workforce management and partner platforms, supporting end-to-end service delivery automation.</w:t>
                </w:r>
              </w:p>
            </w:tc>
          </w:tr>
          <w:tr w:rsidR="007F6073" w14:paraId="0ABE3F6A" w14:textId="77777777" w:rsidTr="007F6073">
            <w:tc>
              <w:tcPr>
                <w:cnfStyle w:val="001000000000" w:firstRow="0" w:lastRow="0" w:firstColumn="1" w:lastColumn="0" w:oddVBand="0" w:evenVBand="0" w:oddHBand="0" w:evenHBand="0" w:firstRowFirstColumn="0" w:firstRowLastColumn="0" w:lastRowFirstColumn="0" w:lastRowLastColumn="0"/>
                <w:tcW w:w="2880" w:type="dxa"/>
                <w:vAlign w:val="center"/>
              </w:tcPr>
              <w:p w14:paraId="768384CB" w14:textId="3250CDD1" w:rsidR="007F6073" w:rsidRDefault="00000000">
                <w:pPr>
                  <w:rPr>
                    <w:color w:val="333333" w:themeColor="text1"/>
                  </w:rPr>
                </w:pPr>
                <w:r>
                  <w:rPr>
                    <w:color w:val="333333" w:themeColor="text1"/>
                  </w:rPr>
                  <w:t>Event-Driven Architecture &amp; Operational Visibility</w:t>
                </w:r>
              </w:p>
            </w:tc>
            <w:tc>
              <w:tcPr>
                <w:tcW w:w="7632" w:type="dxa"/>
                <w:vAlign w:val="center"/>
              </w:tcPr>
              <w:p w14:paraId="2E8A4D25" w14:textId="1B965057" w:rsidR="007F6073" w:rsidRDefault="00000000">
                <w:pPr>
                  <w:cnfStyle w:val="000000000000" w:firstRow="0" w:lastRow="0" w:firstColumn="0" w:lastColumn="0" w:oddVBand="0" w:evenVBand="0" w:oddHBand="0" w:evenHBand="0" w:firstRowFirstColumn="0" w:firstRowLastColumn="0" w:lastRowFirstColumn="0" w:lastRowLastColumn="0"/>
                  <w:rPr>
                    <w:color w:val="333333" w:themeColor="text1"/>
                  </w:rPr>
                </w:pPr>
                <w:r>
                  <w:rPr>
                    <w:color w:val="333333" w:themeColor="text1"/>
                  </w:rPr>
                  <w:t>The solution supports both synchronous API interactions and event-driven integration patterns, enabling the real-time exchange of quote, order and fulfilment status information across the ecosystem. This approach improves operational transparency, supports proactive exception management and aligns with modern observability and monitoring practices.</w:t>
                </w:r>
              </w:p>
            </w:tc>
          </w:tr>
          <w:tr w:rsidR="007F6073" w14:paraId="0C143F78"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F93771C" w14:textId="5EDF111C" w:rsidR="007F6073" w:rsidRDefault="00000000">
                <w:pPr>
                  <w:rPr>
                    <w:color w:val="333333" w:themeColor="text1"/>
                  </w:rPr>
                </w:pPr>
                <w:r>
                  <w:rPr>
                    <w:color w:val="333333" w:themeColor="text1"/>
                  </w:rPr>
                  <w:t>Open Architecture &amp; Extensibility</w:t>
                </w:r>
              </w:p>
            </w:tc>
            <w:tc>
              <w:tcPr>
                <w:tcW w:w="7632" w:type="dxa"/>
                <w:vAlign w:val="center"/>
              </w:tcPr>
              <w:p w14:paraId="174D5074" w14:textId="6760E3C8" w:rsidR="007F6073" w:rsidRDefault="00000000">
                <w:pPr>
                  <w:cnfStyle w:val="000000100000" w:firstRow="0" w:lastRow="0" w:firstColumn="0" w:lastColumn="0" w:oddVBand="0" w:evenVBand="0" w:oddHBand="1" w:evenHBand="0" w:firstRowFirstColumn="0" w:firstRowLastColumn="0" w:lastRowFirstColumn="0" w:lastRowLastColumn="0"/>
                  <w:rPr>
                    <w:color w:val="333333" w:themeColor="text1"/>
                  </w:rPr>
                </w:pPr>
                <w:r>
                  <w:rPr>
                    <w:color w:val="333333" w:themeColor="text1"/>
                  </w:rPr>
                  <w:t>The Hansen platform is designed around open, standards-based integration principles, allowing Vodaria Group to evolve its application landscape without introducing unnecessary dependency on bespoke customizations. Productized APIs, configuration-driven capabilities and controlled extension points provide flexibility for future business requirements while maintaining a sustainable and upgradeable solution architecture.</w:t>
                </w:r>
              </w:p>
            </w:tc>
          </w:tr>
        </w:tbl>
        <w:p w14:paraId="7FD3A373" w14:textId="77777777" w:rsidR="007F6073" w:rsidRDefault="007F6073">
          <w:pPr>
            <w:rPr>
              <w:color w:val="C00000"/>
            </w:rPr>
          </w:pPr>
        </w:p>
        <w:p w14:paraId="48081AE3" w14:textId="01CABF30" w:rsidR="007F6073" w:rsidRDefault="00000000">
          <w:pPr>
            <w:pStyle w:val="Heading1"/>
            <w:rPr>
              <w:rFonts w:cstheme="minorBidi"/>
              <w:kern w:val="36"/>
              <w:lang w:val="en-GB" w:eastAsia="en-GB"/>
              <w14:ligatures w14:val="standardContextual"/>
            </w:rPr>
          </w:pPr>
          <w:bookmarkStart w:id="20" w:name="_Toc239002165"/>
          <w:r>
            <w:t>Future Growth, Automation and Innovation</w:t>
          </w:r>
          <w:bookmarkEnd w:id="20"/>
        </w:p>
        <w:p w14:paraId="20A8A646" w14:textId="4FB8D183" w:rsidR="007F6073" w:rsidRDefault="00000000">
          <w:pPr>
            <w:spacing w:before="0" w:after="0" w:line="300" w:lineRule="atLeast"/>
            <w:rPr>
              <w:rFonts w:eastAsia="Times New Roman" w:cs="Segoe UI"/>
              <w:color w:val="auto"/>
              <w:szCs w:val="22"/>
              <w:lang w:val="en-GB" w:eastAsia="en-GB"/>
            </w:rPr>
          </w:pPr>
          <w:r>
            <w:rPr>
              <w:rFonts w:eastAsia="Times New Roman" w:cs="Segoe UI"/>
              <w:color w:val="auto"/>
              <w:szCs w:val="22"/>
              <w:lang w:val="en-GB" w:eastAsia="en-GB"/>
            </w:rPr>
            <w:t>The primary objective of Converged BSS Transformation is to establish a governed, scalable and data-driven Lead-to-Order operating model. Once this foundation is established, Vodaria Group will be positioned to introduce higher levels of automation, analytics and AI-driven assistance across sales, delivery and operational processes.</w:t>
          </w:r>
        </w:p>
        <w:p w14:paraId="20D4FA6C" w14:textId="31802E38" w:rsidR="007F6073" w:rsidRDefault="00000000">
          <w:pPr>
            <w:rPr>
              <w:color w:val="auto"/>
              <w:szCs w:val="22"/>
            </w:rPr>
          </w:pPr>
          <w:r>
            <w:rPr>
              <w:color w:val="auto"/>
              <w:szCs w:val="22"/>
            </w:rPr>
            <w:lastRenderedPageBreak/>
            <w:t>The proposed Hansen solution provides a scalable, catalog-driven foundation that enables Vodaria Group to progressively automate processes, simplify operations and accelerate service innovation without requiring major architectural change.</w:t>
          </w:r>
        </w:p>
        <w:p w14:paraId="5E7FE3AD" w14:textId="77777777" w:rsidR="007F6073" w:rsidRDefault="00000000">
          <w:pPr>
            <w:rPr>
              <w:b/>
              <w:color w:val="auto"/>
              <w:szCs w:val="22"/>
            </w:rPr>
          </w:pPr>
          <w:r>
            <w:rPr>
              <w:b/>
              <w:color w:val="auto"/>
              <w:szCs w:val="22"/>
            </w:rPr>
            <w:t>Progressive Process Automation</w:t>
          </w:r>
        </w:p>
        <w:p w14:paraId="36AF376F" w14:textId="4B050A8B" w:rsidR="007F6073" w:rsidRDefault="00000000">
          <w:pPr>
            <w:rPr>
              <w:color w:val="auto"/>
              <w:szCs w:val="22"/>
            </w:rPr>
          </w:pPr>
          <w:r>
            <w:rPr>
              <w:color w:val="auto"/>
              <w:szCs w:val="22"/>
            </w:rPr>
            <w:t>The shared Catalog, CPQ and Order Management architecture creates a foundation for increasing levels of automation across the lead-to-order lifecycle. Potential future automation opportunities include:</w:t>
          </w:r>
        </w:p>
        <w:p w14:paraId="7AEE6E78" w14:textId="77777777" w:rsidR="007F6073" w:rsidRDefault="00000000">
          <w:pPr>
            <w:pStyle w:val="ListParagraph"/>
            <w:numPr>
              <w:ilvl w:val="0"/>
              <w:numId w:val="17"/>
            </w:numPr>
            <w:rPr>
              <w:color w:val="auto"/>
              <w:szCs w:val="22"/>
            </w:rPr>
          </w:pPr>
          <w:r>
            <w:rPr>
              <w:color w:val="auto"/>
              <w:szCs w:val="22"/>
            </w:rPr>
            <w:t>Automated product, pricing and technical validation during quote creation.</w:t>
          </w:r>
        </w:p>
        <w:p w14:paraId="2810E6EF" w14:textId="77777777" w:rsidR="007F6073" w:rsidRDefault="00000000">
          <w:pPr>
            <w:pStyle w:val="ListParagraph"/>
            <w:numPr>
              <w:ilvl w:val="0"/>
              <w:numId w:val="17"/>
            </w:numPr>
            <w:rPr>
              <w:color w:val="auto"/>
              <w:szCs w:val="22"/>
            </w:rPr>
          </w:pPr>
          <w:r>
            <w:rPr>
              <w:color w:val="auto"/>
              <w:szCs w:val="22"/>
            </w:rPr>
            <w:t>Automated service feasibility and availability verification for standard service requests.</w:t>
          </w:r>
        </w:p>
        <w:p w14:paraId="2B7823AF" w14:textId="77777777" w:rsidR="007F6073" w:rsidRDefault="00000000">
          <w:pPr>
            <w:pStyle w:val="ListParagraph"/>
            <w:numPr>
              <w:ilvl w:val="0"/>
              <w:numId w:val="17"/>
            </w:numPr>
            <w:rPr>
              <w:color w:val="auto"/>
              <w:szCs w:val="22"/>
            </w:rPr>
          </w:pPr>
          <w:r>
            <w:rPr>
              <w:color w:val="auto"/>
              <w:szCs w:val="22"/>
            </w:rPr>
            <w:t>Automatic quote generation and approval routing based on commercial thresholds, customer characteristics and business policies.</w:t>
          </w:r>
        </w:p>
        <w:p w14:paraId="3AFDC7A4" w14:textId="77777777" w:rsidR="007F6073" w:rsidRDefault="00000000">
          <w:pPr>
            <w:pStyle w:val="ListParagraph"/>
            <w:numPr>
              <w:ilvl w:val="0"/>
              <w:numId w:val="17"/>
            </w:numPr>
            <w:rPr>
              <w:color w:val="auto"/>
              <w:szCs w:val="22"/>
            </w:rPr>
          </w:pPr>
          <w:r>
            <w:rPr>
              <w:color w:val="auto"/>
              <w:szCs w:val="22"/>
            </w:rPr>
            <w:t>Automated order decomposition from commercial products into fulfilment-ready service and resource activities.</w:t>
          </w:r>
        </w:p>
        <w:p w14:paraId="34E0BAF7" w14:textId="77777777" w:rsidR="007F6073" w:rsidRDefault="00000000">
          <w:pPr>
            <w:pStyle w:val="ListParagraph"/>
            <w:numPr>
              <w:ilvl w:val="0"/>
              <w:numId w:val="17"/>
            </w:numPr>
            <w:rPr>
              <w:color w:val="auto"/>
              <w:szCs w:val="22"/>
            </w:rPr>
          </w:pPr>
          <w:r>
            <w:rPr>
              <w:color w:val="auto"/>
              <w:szCs w:val="22"/>
            </w:rPr>
            <w:t>Intelligent exception management and automated routing of fulfilment fallouts.</w:t>
          </w:r>
        </w:p>
        <w:p w14:paraId="2C716E26" w14:textId="77777777" w:rsidR="007F6073" w:rsidRDefault="00000000">
          <w:pPr>
            <w:pStyle w:val="ListParagraph"/>
            <w:numPr>
              <w:ilvl w:val="0"/>
              <w:numId w:val="17"/>
            </w:numPr>
            <w:rPr>
              <w:color w:val="auto"/>
              <w:szCs w:val="22"/>
            </w:rPr>
          </w:pPr>
          <w:r>
            <w:rPr>
              <w:color w:val="auto"/>
              <w:szCs w:val="22"/>
            </w:rPr>
            <w:t>Automated orchestration of inventory, network, provisioning, workforce and partner fulfilment activities.</w:t>
          </w:r>
        </w:p>
        <w:p w14:paraId="169B682C" w14:textId="77777777" w:rsidR="007F6073" w:rsidRDefault="00000000">
          <w:pPr>
            <w:pStyle w:val="ListParagraph"/>
            <w:numPr>
              <w:ilvl w:val="0"/>
              <w:numId w:val="17"/>
            </w:numPr>
            <w:rPr>
              <w:color w:val="auto"/>
              <w:szCs w:val="22"/>
            </w:rPr>
          </w:pPr>
          <w:r>
            <w:rPr>
              <w:color w:val="auto"/>
              <w:szCs w:val="22"/>
            </w:rPr>
            <w:t>Proactive customer and partner notifications throughout the order lifecycle.</w:t>
          </w:r>
        </w:p>
        <w:p w14:paraId="4D01BF69" w14:textId="00257CBF" w:rsidR="007F6073" w:rsidRDefault="00000000">
          <w:pPr>
            <w:pStyle w:val="ListParagraph"/>
            <w:numPr>
              <w:ilvl w:val="0"/>
              <w:numId w:val="17"/>
            </w:numPr>
            <w:rPr>
              <w:color w:val="auto"/>
              <w:szCs w:val="22"/>
            </w:rPr>
          </w:pPr>
          <w:r>
            <w:rPr>
              <w:color w:val="auto"/>
              <w:szCs w:val="22"/>
            </w:rPr>
            <w:t>Automated order status tracking and operational reporting across fulfilment domains.</w:t>
          </w:r>
        </w:p>
        <w:p w14:paraId="60E7AF10" w14:textId="77777777" w:rsidR="007F6073" w:rsidRDefault="007F6073">
          <w:pPr>
            <w:rPr>
              <w:color w:val="auto"/>
              <w:szCs w:val="22"/>
            </w:rPr>
          </w:pPr>
        </w:p>
        <w:p w14:paraId="460A3B8B" w14:textId="77777777" w:rsidR="007F6073" w:rsidRDefault="00000000">
          <w:pPr>
            <w:rPr>
              <w:b/>
              <w:color w:val="auto"/>
              <w:szCs w:val="22"/>
            </w:rPr>
          </w:pPr>
          <w:r>
            <w:rPr>
              <w:b/>
              <w:color w:val="auto"/>
              <w:szCs w:val="22"/>
            </w:rPr>
            <w:t>AI and Decision Intelligence Readiness</w:t>
          </w:r>
        </w:p>
        <w:p w14:paraId="119B1EB0" w14:textId="77777777" w:rsidR="007F6073" w:rsidRDefault="00000000">
          <w:pPr>
            <w:rPr>
              <w:color w:val="auto"/>
              <w:szCs w:val="22"/>
            </w:rPr>
          </w:pPr>
          <w:r>
            <w:rPr>
              <w:color w:val="auto"/>
              <w:szCs w:val="22"/>
            </w:rPr>
            <w:t>Hansen views AI as an accelerator for productivity, decision support and operational efficiency rather than a dependency for core business processes. The proposed solution creates a governed foundation of product, pricing, configuration and order data that can support future AI-enabled capabilities as Vodaria Group's innovation strategy evolves.</w:t>
          </w:r>
        </w:p>
        <w:p w14:paraId="7F64856D" w14:textId="2DEEC392" w:rsidR="007F6073" w:rsidRDefault="00000000">
          <w:pPr>
            <w:rPr>
              <w:color w:val="auto"/>
              <w:szCs w:val="22"/>
            </w:rPr>
          </w:pPr>
          <w:r>
            <w:rPr>
              <w:color w:val="auto"/>
              <w:szCs w:val="22"/>
            </w:rPr>
            <w:t>Potential future use cases may include:</w:t>
          </w:r>
        </w:p>
        <w:p w14:paraId="4E5FA1EE" w14:textId="77777777" w:rsidR="007F6073" w:rsidRDefault="00000000">
          <w:pPr>
            <w:pStyle w:val="ListParagraph"/>
            <w:numPr>
              <w:ilvl w:val="0"/>
              <w:numId w:val="18"/>
            </w:numPr>
            <w:rPr>
              <w:color w:val="auto"/>
              <w:szCs w:val="22"/>
            </w:rPr>
          </w:pPr>
          <w:r>
            <w:rPr>
              <w:color w:val="auto"/>
              <w:szCs w:val="22"/>
            </w:rPr>
            <w:t>Intelligent configuration recommendations based on historical quotation patterns.</w:t>
          </w:r>
        </w:p>
        <w:p w14:paraId="45D400B3" w14:textId="1B706740" w:rsidR="007F6073" w:rsidRDefault="00000000">
          <w:pPr>
            <w:pStyle w:val="ListParagraph"/>
            <w:numPr>
              <w:ilvl w:val="0"/>
              <w:numId w:val="18"/>
            </w:numPr>
            <w:rPr>
              <w:color w:val="auto"/>
              <w:szCs w:val="22"/>
            </w:rPr>
          </w:pPr>
          <w:r>
            <w:rPr>
              <w:color w:val="auto"/>
              <w:szCs w:val="22"/>
            </w:rPr>
            <w:t>Pricing guidance and margin optimization recommendations for sales teams.</w:t>
          </w:r>
        </w:p>
        <w:p w14:paraId="712BB9AD" w14:textId="77777777" w:rsidR="007F6073" w:rsidRDefault="00000000">
          <w:pPr>
            <w:pStyle w:val="ListParagraph"/>
            <w:numPr>
              <w:ilvl w:val="0"/>
              <w:numId w:val="18"/>
            </w:numPr>
            <w:rPr>
              <w:color w:val="auto"/>
              <w:szCs w:val="22"/>
            </w:rPr>
          </w:pPr>
          <w:r>
            <w:rPr>
              <w:color w:val="auto"/>
              <w:szCs w:val="22"/>
            </w:rPr>
            <w:t>Assisted quote and proposal generation to accelerate sales cycles.</w:t>
          </w:r>
        </w:p>
        <w:p w14:paraId="357F1C35" w14:textId="77777777" w:rsidR="007F6073" w:rsidRDefault="00000000">
          <w:pPr>
            <w:pStyle w:val="ListParagraph"/>
            <w:numPr>
              <w:ilvl w:val="0"/>
              <w:numId w:val="18"/>
            </w:numPr>
            <w:rPr>
              <w:color w:val="auto"/>
              <w:szCs w:val="22"/>
            </w:rPr>
          </w:pPr>
          <w:r>
            <w:rPr>
              <w:color w:val="auto"/>
              <w:szCs w:val="22"/>
            </w:rPr>
            <w:t>Predictive identification of fulfilment risks and delivery delays.</w:t>
          </w:r>
        </w:p>
        <w:p w14:paraId="6869E88E" w14:textId="77777777" w:rsidR="007F6073" w:rsidRDefault="00000000">
          <w:pPr>
            <w:pStyle w:val="ListParagraph"/>
            <w:numPr>
              <w:ilvl w:val="0"/>
              <w:numId w:val="18"/>
            </w:numPr>
            <w:rPr>
              <w:color w:val="auto"/>
              <w:szCs w:val="22"/>
            </w:rPr>
          </w:pPr>
          <w:r>
            <w:rPr>
              <w:color w:val="auto"/>
              <w:szCs w:val="22"/>
            </w:rPr>
            <w:t>Automated detection of operational bottlenecks and process improvement opportunities.</w:t>
          </w:r>
        </w:p>
        <w:p w14:paraId="420B7E7B" w14:textId="77777777" w:rsidR="007F6073" w:rsidRDefault="00000000">
          <w:pPr>
            <w:pStyle w:val="ListParagraph"/>
            <w:numPr>
              <w:ilvl w:val="0"/>
              <w:numId w:val="18"/>
            </w:numPr>
            <w:rPr>
              <w:color w:val="auto"/>
              <w:szCs w:val="22"/>
            </w:rPr>
          </w:pPr>
          <w:r>
            <w:rPr>
              <w:color w:val="auto"/>
              <w:szCs w:val="22"/>
            </w:rPr>
            <w:t>AI-assisted identification of cross-sell and upsell opportunities within the customer base.</w:t>
          </w:r>
        </w:p>
        <w:p w14:paraId="4E0007EE" w14:textId="77777777" w:rsidR="007F6073" w:rsidRDefault="00000000">
          <w:pPr>
            <w:pStyle w:val="ListParagraph"/>
            <w:numPr>
              <w:ilvl w:val="0"/>
              <w:numId w:val="18"/>
            </w:numPr>
            <w:rPr>
              <w:color w:val="auto"/>
              <w:szCs w:val="22"/>
            </w:rPr>
          </w:pPr>
          <w:r>
            <w:rPr>
              <w:color w:val="auto"/>
              <w:szCs w:val="22"/>
            </w:rPr>
            <w:t>Intelligent operational insights derived from quote, order and fulfilment trends.</w:t>
          </w:r>
        </w:p>
        <w:p w14:paraId="18DDDB7C" w14:textId="2D4CDBB1" w:rsidR="007F6073" w:rsidRDefault="00000000">
          <w:pPr>
            <w:rPr>
              <w:color w:val="auto"/>
              <w:szCs w:val="22"/>
            </w:rPr>
          </w:pPr>
          <w:r>
            <w:rPr>
              <w:color w:val="auto"/>
              <w:szCs w:val="22"/>
            </w:rPr>
            <w:t>Any future AI-enabled capabilities would operate within Vodaria Group's approved data governance, security and compliance framework, incorporating role-based access controls, auditability and appropriate human oversight. The use of customer, ordering or operational data for AI training, analytics or optimization activities would be subject to Vodaria Group's policies, permissions and approval processes.</w:t>
          </w:r>
        </w:p>
        <w:p w14:paraId="4865F1EC" w14:textId="338D4967" w:rsidR="007F6073" w:rsidRDefault="00000000">
          <w:pPr>
            <w:rPr>
              <w:b/>
              <w:color w:val="auto"/>
              <w:szCs w:val="22"/>
            </w:rPr>
          </w:pPr>
          <w:r>
            <w:rPr>
              <w:b/>
              <w:color w:val="auto"/>
              <w:szCs w:val="22"/>
            </w:rPr>
            <w:t xml:space="preserve">Open Innovation </w:t>
          </w:r>
          <w:r>
            <w:rPr>
              <w:b/>
              <w:bCs/>
              <w:color w:val="auto"/>
              <w:szCs w:val="22"/>
            </w:rPr>
            <w:t>Foundation</w:t>
          </w:r>
        </w:p>
        <w:p w14:paraId="389BA6F2" w14:textId="77777777" w:rsidR="007F6073" w:rsidRDefault="00000000">
          <w:pPr>
            <w:rPr>
              <w:color w:val="auto"/>
              <w:szCs w:val="22"/>
              <w:lang w:val="en-GB"/>
            </w:rPr>
          </w:pPr>
          <w:r>
            <w:rPr>
              <w:color w:val="auto"/>
              <w:szCs w:val="22"/>
              <w:lang w:val="en-GB"/>
            </w:rPr>
            <w:lastRenderedPageBreak/>
            <w:t>Hansen's open, standards-aligned architecture provides a foundation for continuous innovation across the Converged BSS Transformation ecosystem. Through governed APIs, event-driven integration and reusable platform capabilities, Vodaria Group can evolve its technology landscape by introducing new digital channels, partner ecosystems, orchestration platforms, automation technologies and future AI-driven capabilities without requiring fundamental architectural change. This approach protects existing investments while providing the flexibility to adopt emerging technologies, industry standards and future innovation initiatives as business needs evolve.</w:t>
          </w:r>
        </w:p>
        <w:p w14:paraId="65D5F1B1" w14:textId="77777777" w:rsidR="007F6073" w:rsidRDefault="00000000">
          <w:pPr>
            <w:rPr>
              <w:b/>
              <w:color w:val="auto"/>
              <w:szCs w:val="22"/>
            </w:rPr>
          </w:pPr>
          <w:r>
            <w:rPr>
              <w:b/>
              <w:color w:val="auto"/>
              <w:szCs w:val="22"/>
            </w:rPr>
            <w:t>Business Benefits</w:t>
          </w:r>
        </w:p>
        <w:p w14:paraId="0D2A4ED5" w14:textId="37B67233" w:rsidR="007F6073" w:rsidRDefault="00000000">
          <w:pPr>
            <w:rPr>
              <w:color w:val="auto"/>
              <w:szCs w:val="22"/>
            </w:rPr>
          </w:pPr>
          <w:r>
            <w:rPr>
              <w:color w:val="auto"/>
              <w:szCs w:val="22"/>
            </w:rPr>
            <w:t>By progressively increasing automation across the lead-to-order lifecycle, Vodaria Group can achieve significant business benefits, including:</w:t>
          </w:r>
        </w:p>
        <w:p w14:paraId="2B1EF741" w14:textId="77777777" w:rsidR="007F6073" w:rsidRDefault="00000000">
          <w:pPr>
            <w:pStyle w:val="ListParagraph"/>
            <w:numPr>
              <w:ilvl w:val="0"/>
              <w:numId w:val="19"/>
            </w:numPr>
            <w:rPr>
              <w:color w:val="auto"/>
              <w:szCs w:val="22"/>
            </w:rPr>
          </w:pPr>
          <w:r>
            <w:rPr>
              <w:color w:val="auto"/>
              <w:szCs w:val="22"/>
            </w:rPr>
            <w:t>Faster quote-to-order and order-to-delivery execution.</w:t>
          </w:r>
        </w:p>
        <w:p w14:paraId="5E004317" w14:textId="77777777" w:rsidR="007F6073" w:rsidRDefault="00000000">
          <w:pPr>
            <w:pStyle w:val="ListParagraph"/>
            <w:numPr>
              <w:ilvl w:val="0"/>
              <w:numId w:val="19"/>
            </w:numPr>
            <w:rPr>
              <w:color w:val="auto"/>
              <w:szCs w:val="22"/>
            </w:rPr>
          </w:pPr>
          <w:r>
            <w:rPr>
              <w:color w:val="auto"/>
              <w:szCs w:val="22"/>
            </w:rPr>
            <w:t>Improved sales productivity and reduced administrative effort.</w:t>
          </w:r>
        </w:p>
        <w:p w14:paraId="4B1AB853" w14:textId="77777777" w:rsidR="007F6073" w:rsidRDefault="00000000">
          <w:pPr>
            <w:pStyle w:val="ListParagraph"/>
            <w:numPr>
              <w:ilvl w:val="0"/>
              <w:numId w:val="19"/>
            </w:numPr>
            <w:rPr>
              <w:color w:val="auto"/>
              <w:szCs w:val="22"/>
            </w:rPr>
          </w:pPr>
          <w:r>
            <w:rPr>
              <w:color w:val="auto"/>
              <w:szCs w:val="22"/>
            </w:rPr>
            <w:t>Reduced operational complexity and manual handoffs.</w:t>
          </w:r>
        </w:p>
        <w:p w14:paraId="5B1E225D" w14:textId="77777777" w:rsidR="007F6073" w:rsidRDefault="00000000">
          <w:pPr>
            <w:pStyle w:val="ListParagraph"/>
            <w:numPr>
              <w:ilvl w:val="0"/>
              <w:numId w:val="19"/>
            </w:numPr>
            <w:rPr>
              <w:color w:val="auto"/>
              <w:szCs w:val="22"/>
            </w:rPr>
          </w:pPr>
          <w:r>
            <w:rPr>
              <w:color w:val="auto"/>
              <w:szCs w:val="22"/>
            </w:rPr>
            <w:t>Higher order quality and reduced fulfilment fallout.</w:t>
          </w:r>
        </w:p>
        <w:p w14:paraId="2E193E4D" w14:textId="77777777" w:rsidR="007F6073" w:rsidRDefault="00000000">
          <w:pPr>
            <w:pStyle w:val="ListParagraph"/>
            <w:numPr>
              <w:ilvl w:val="0"/>
              <w:numId w:val="19"/>
            </w:numPr>
            <w:rPr>
              <w:color w:val="auto"/>
              <w:szCs w:val="22"/>
            </w:rPr>
          </w:pPr>
          <w:r>
            <w:rPr>
              <w:color w:val="auto"/>
              <w:szCs w:val="22"/>
            </w:rPr>
            <w:t>More consistent customer and partner experiences.</w:t>
          </w:r>
        </w:p>
        <w:p w14:paraId="1977D4C2" w14:textId="77777777" w:rsidR="007F6073" w:rsidRDefault="00000000">
          <w:pPr>
            <w:pStyle w:val="ListParagraph"/>
            <w:numPr>
              <w:ilvl w:val="0"/>
              <w:numId w:val="19"/>
            </w:numPr>
            <w:rPr>
              <w:color w:val="auto"/>
              <w:szCs w:val="22"/>
            </w:rPr>
          </w:pPr>
          <w:r>
            <w:rPr>
              <w:color w:val="auto"/>
              <w:szCs w:val="22"/>
            </w:rPr>
            <w:t>Improved scalability without proportional growth in operational cost.</w:t>
          </w:r>
        </w:p>
        <w:p w14:paraId="2529E694" w14:textId="77777777" w:rsidR="007F6073" w:rsidRDefault="00000000">
          <w:pPr>
            <w:pStyle w:val="ListParagraph"/>
            <w:numPr>
              <w:ilvl w:val="0"/>
              <w:numId w:val="19"/>
            </w:numPr>
            <w:rPr>
              <w:color w:val="auto"/>
              <w:szCs w:val="22"/>
            </w:rPr>
          </w:pPr>
          <w:r>
            <w:rPr>
              <w:color w:val="auto"/>
              <w:szCs w:val="22"/>
            </w:rPr>
            <w:t>Faster introduction of new services and commercial offerings.</w:t>
          </w:r>
        </w:p>
        <w:p w14:paraId="537F75E9" w14:textId="77777777" w:rsidR="007F6073" w:rsidRDefault="00000000">
          <w:pPr>
            <w:pStyle w:val="ListParagraph"/>
            <w:numPr>
              <w:ilvl w:val="0"/>
              <w:numId w:val="19"/>
            </w:numPr>
            <w:rPr>
              <w:color w:val="auto"/>
              <w:szCs w:val="22"/>
            </w:rPr>
          </w:pPr>
          <w:r>
            <w:rPr>
              <w:color w:val="auto"/>
              <w:szCs w:val="22"/>
            </w:rPr>
            <w:t>Increased operational visibility and governance.</w:t>
          </w:r>
        </w:p>
        <w:p w14:paraId="609EB05A" w14:textId="412BF816" w:rsidR="007F6073" w:rsidRDefault="00000000">
          <w:pPr>
            <w:pStyle w:val="ListParagraph"/>
            <w:numPr>
              <w:ilvl w:val="0"/>
              <w:numId w:val="19"/>
            </w:numPr>
            <w:rPr>
              <w:color w:val="auto"/>
              <w:szCs w:val="22"/>
            </w:rPr>
          </w:pPr>
          <w:r>
            <w:rPr>
              <w:color w:val="auto"/>
              <w:szCs w:val="22"/>
            </w:rPr>
            <w:t>A foundation for future AI-enabled innovation and intelligent operations.</w:t>
          </w:r>
        </w:p>
        <w:p w14:paraId="2FE9DE3F" w14:textId="77777777" w:rsidR="007F6073" w:rsidRDefault="00000000">
          <w:pPr>
            <w:rPr>
              <w:b/>
              <w:color w:val="auto"/>
              <w:szCs w:val="22"/>
            </w:rPr>
          </w:pPr>
          <w:r>
            <w:rPr>
              <w:b/>
              <w:color w:val="auto"/>
              <w:szCs w:val="22"/>
            </w:rPr>
            <w:t>Outcome</w:t>
          </w:r>
        </w:p>
        <w:p w14:paraId="3A93F9AE" w14:textId="1733C802" w:rsidR="007F6073" w:rsidRDefault="00000000">
          <w:pPr>
            <w:rPr>
              <w:color w:val="auto"/>
              <w:szCs w:val="22"/>
            </w:rPr>
          </w:pPr>
          <w:r>
            <w:rPr>
              <w:color w:val="auto"/>
              <w:szCs w:val="22"/>
            </w:rPr>
            <w:t>The proposed solution delivers more than a modern CPQ and Order Management platform. It establishes a future-ready, catalog-driven operating foundation that enables Vodaria Group to scale enterprise and wholesale operations, accelerate service innovation, increase automation over time and adopt emerging technologies while maintaining governance, flexibility and architectural control.</w:t>
          </w:r>
        </w:p>
        <w:p w14:paraId="64E10EDA" w14:textId="5A15364E" w:rsidR="007F6073" w:rsidRDefault="00000000">
          <w:pPr>
            <w:pStyle w:val="Heading1"/>
          </w:pPr>
          <w:bookmarkStart w:id="21" w:name="_Toc239002166"/>
          <w:r>
            <w:t>Security, Compliance &amp; Assurance</w:t>
          </w:r>
          <w:bookmarkEnd w:id="21"/>
        </w:p>
        <w:p w14:paraId="27038AC0" w14:textId="583EAA2C" w:rsidR="007F6073" w:rsidRDefault="00000000">
          <w:pPr>
            <w:rPr>
              <w:color w:val="auto"/>
              <w:lang w:val="en-GB"/>
            </w:rPr>
          </w:pPr>
          <w:r>
            <w:rPr>
              <w:color w:val="auto"/>
            </w:rPr>
            <w:t xml:space="preserve">Hansen has reviewed Vodaria Group's “Annex 2 – Security Directives.pdf”. </w:t>
          </w:r>
          <w:r>
            <w:rPr>
              <w:color w:val="auto"/>
              <w:lang w:val="en-GB"/>
            </w:rPr>
            <w:t xml:space="preserve">Hansen maintains an Information Security Handbook that defines the governance, policies, controls and operational practices used across Hansen-hosted and managed environments. The handbook can be provided separately as part of Vodaria Group's security and compliance evaluation and is closely aligned with Vodaria Group's security directive. </w:t>
          </w:r>
          <w:r>
            <w:rPr>
              <w:color w:val="auto"/>
            </w:rPr>
            <w:t>Hansen agrees to address security alignment with Vodaria Group in the contracting stage including alignment on a Data Processing Agreement</w:t>
          </w:r>
        </w:p>
        <w:p w14:paraId="22A045B3" w14:textId="6FA03690" w:rsidR="007F6073" w:rsidRDefault="00000000">
          <w:pPr>
            <w:rPr>
              <w:color w:val="auto"/>
            </w:rPr>
          </w:pPr>
          <w:r>
            <w:rPr>
              <w:color w:val="auto"/>
            </w:rPr>
            <w:t xml:space="preserve">A sampling of the standards and certifications achieved and maintained by Hansen are available on our public website at the following locations: </w:t>
          </w:r>
          <w:hyperlink r:id="rId24" w:anchor="standards-and-certifications" w:history="1">
            <w:r>
              <w:rPr>
                <w:rStyle w:val="Hyperlink"/>
                <w:rFonts w:asciiTheme="minorHAnsi" w:hAnsiTheme="minorHAnsi"/>
                <w:color w:val="auto"/>
              </w:rPr>
              <w:t>About Hansen — Hansen Technologies</w:t>
            </w:r>
          </w:hyperlink>
        </w:p>
        <w:p w14:paraId="04A2BC14" w14:textId="7AD12C12" w:rsidR="007F6073" w:rsidRDefault="00000000">
          <w:pPr>
            <w:pStyle w:val="Heading1"/>
          </w:pPr>
          <w:bookmarkStart w:id="22" w:name="_Toc239002167"/>
          <w:r>
            <w:lastRenderedPageBreak/>
            <w:t>Customer Success &amp; Support</w:t>
          </w:r>
          <w:bookmarkEnd w:id="22"/>
        </w:p>
        <w:p w14:paraId="235EF00A" w14:textId="77777777" w:rsidR="007F6073" w:rsidRDefault="00000000">
          <w:pPr>
            <w:spacing w:before="0" w:after="0" w:line="300" w:lineRule="atLeast"/>
            <w:rPr>
              <w:rFonts w:eastAsia="Times New Roman" w:cs="Segoe UI"/>
              <w:color w:val="auto"/>
              <w:szCs w:val="22"/>
              <w:lang w:val="en-GB" w:eastAsia="en-GB"/>
            </w:rPr>
          </w:pPr>
          <w:r>
            <w:rPr>
              <w:rFonts w:eastAsia="Times New Roman" w:cs="Segoe UI"/>
              <w:color w:val="auto"/>
              <w:szCs w:val="22"/>
              <w:lang w:val="en-GB" w:eastAsia="en-GB"/>
            </w:rPr>
            <w:t>Hansen's objective is not merely to resolve incidents but to support continuous evolution of the Converged BSS Transformation platform as Vodaria Group's Lead-to-Order operating model matures.</w:t>
          </w:r>
        </w:p>
        <w:p w14:paraId="74C463C2" w14:textId="77777777" w:rsidR="007F6073" w:rsidRDefault="007F6073">
          <w:pPr>
            <w:pStyle w:val="ListBullet"/>
            <w:numPr>
              <w:ilvl w:val="0"/>
              <w:numId w:val="0"/>
            </w:numPr>
            <w:spacing w:after="60"/>
            <w:rPr>
              <w:rFonts w:asciiTheme="minorHAnsi" w:hAnsiTheme="minorHAnsi"/>
              <w:sz w:val="22"/>
              <w:lang w:val="en-GB"/>
            </w:rPr>
          </w:pPr>
        </w:p>
        <w:p w14:paraId="1C0CD206" w14:textId="62677EE5" w:rsidR="007F6073" w:rsidRDefault="00000000">
          <w:pPr>
            <w:pStyle w:val="ListBullet"/>
            <w:numPr>
              <w:ilvl w:val="0"/>
              <w:numId w:val="0"/>
            </w:numPr>
            <w:spacing w:after="60"/>
            <w:rPr>
              <w:rFonts w:asciiTheme="minorHAnsi" w:hAnsiTheme="minorHAnsi"/>
              <w:sz w:val="22"/>
              <w:lang w:val="en-GB"/>
            </w:rPr>
          </w:pPr>
          <w:r>
            <w:rPr>
              <w:rFonts w:asciiTheme="minorHAnsi" w:hAnsiTheme="minorHAnsi"/>
              <w:b/>
              <w:sz w:val="22"/>
              <w:lang w:val="en-GB"/>
            </w:rPr>
            <w:t>Hansen Approach</w:t>
          </w:r>
        </w:p>
        <w:p w14:paraId="02AB9C35" w14:textId="77777777" w:rsidR="007F6073" w:rsidRDefault="007F6073">
          <w:pPr>
            <w:pStyle w:val="ListBullet"/>
            <w:numPr>
              <w:ilvl w:val="0"/>
              <w:numId w:val="0"/>
            </w:numPr>
            <w:spacing w:after="60"/>
            <w:rPr>
              <w:lang w:val="en-GB"/>
            </w:rPr>
          </w:pPr>
        </w:p>
        <w:p w14:paraId="7C649D73" w14:textId="10B40B93" w:rsidR="007F6073" w:rsidRDefault="00000000">
          <w:pPr>
            <w:pStyle w:val="ListBullet"/>
            <w:numPr>
              <w:ilvl w:val="0"/>
              <w:numId w:val="0"/>
            </w:numPr>
            <w:spacing w:after="60"/>
            <w:rPr>
              <w:b/>
              <w:bCs/>
              <w:lang w:val="en-GB"/>
            </w:rPr>
          </w:pPr>
          <w:r>
            <w:rPr>
              <w:i/>
              <w:color w:val="7F7F7F"/>
            </w:rPr>
            <w:t>Figure: Vodaria target lead-to-order architecture (Hansen Catalog, CPQ, Order Management integrated with Salesforce CRM).</w:t>
          </w:r>
        </w:p>
        <w:p w14:paraId="44F59E64" w14:textId="57FB653B" w:rsidR="007F6073" w:rsidRDefault="007F6073">
          <w:pPr>
            <w:pStyle w:val="ListBullet"/>
            <w:numPr>
              <w:ilvl w:val="0"/>
              <w:numId w:val="0"/>
            </w:numPr>
            <w:spacing w:after="60"/>
            <w:rPr>
              <w:b/>
              <w:bCs/>
              <w:lang w:val="en-GB"/>
            </w:rPr>
          </w:pPr>
        </w:p>
        <w:p w14:paraId="5261E973" w14:textId="77777777" w:rsidR="007F6073" w:rsidRDefault="00000000">
          <w:pPr>
            <w:numPr>
              <w:ilvl w:val="0"/>
              <w:numId w:val="10"/>
            </w:numPr>
            <w:rPr>
              <w:color w:val="auto"/>
              <w:szCs w:val="22"/>
              <w:lang w:val="en-GB"/>
            </w:rPr>
          </w:pPr>
          <w:r>
            <w:rPr>
              <w:color w:val="auto"/>
              <w:szCs w:val="22"/>
              <w:lang w:val="en-GB"/>
            </w:rPr>
            <w:t>Hansen helpdesk is the first point of contact for Support services. The SLAs outlined in the table below represent an improvement on those defined in the current license agreement and are aligned with prevailing industry standards.</w:t>
          </w:r>
        </w:p>
        <w:p w14:paraId="41DEA128" w14:textId="77777777" w:rsidR="007F6073" w:rsidRDefault="007F6073">
          <w:pPr>
            <w:rPr>
              <w:color w:val="auto"/>
              <w:szCs w:val="22"/>
              <w:lang w:val="en-GB"/>
            </w:rPr>
          </w:pPr>
        </w:p>
        <w:tbl>
          <w:tblPr>
            <w:tblStyle w:val="ListTable3-Accent1"/>
            <w:tblW w:w="0" w:type="auto"/>
            <w:tblLook w:val="04A0" w:firstRow="1" w:lastRow="0" w:firstColumn="1" w:lastColumn="0" w:noHBand="0" w:noVBand="1"/>
          </w:tblPr>
          <w:tblGrid>
            <w:gridCol w:w="2014"/>
            <w:gridCol w:w="1671"/>
            <w:gridCol w:w="2070"/>
            <w:gridCol w:w="1800"/>
            <w:gridCol w:w="2515"/>
          </w:tblGrid>
          <w:tr w:rsidR="007F6073" w14:paraId="78C80A32" w14:textId="77777777" w:rsidTr="007F6073">
            <w:trPr>
              <w:cnfStyle w:val="100000000000" w:firstRow="1" w:lastRow="0" w:firstColumn="0" w:lastColumn="0" w:oddVBand="0" w:evenVBand="0" w:oddHBand="0" w:evenHBand="0" w:firstRowFirstColumn="0" w:firstRowLastColumn="0" w:lastRowFirstColumn="0" w:lastRowLastColumn="0"/>
              <w:trHeight w:val="512"/>
            </w:trPr>
            <w:tc>
              <w:tcPr>
                <w:cnfStyle w:val="001000000100" w:firstRow="0" w:lastRow="0" w:firstColumn="1" w:lastColumn="0" w:oddVBand="0" w:evenVBand="0" w:oddHBand="0" w:evenHBand="0" w:firstRowFirstColumn="1" w:firstRowLastColumn="0" w:lastRowFirstColumn="0" w:lastRowLastColumn="0"/>
                <w:tcW w:w="10070" w:type="dxa"/>
                <w:gridSpan w:val="5"/>
                <w:vAlign w:val="center"/>
              </w:tcPr>
              <w:p w14:paraId="572D1D40" w14:textId="16DA3D8D" w:rsidR="007F6073" w:rsidRDefault="00000000">
                <w:pPr>
                  <w:spacing w:before="0"/>
                  <w:jc w:val="center"/>
                  <w:rPr>
                    <w:color w:val="FFFFFF" w:themeColor="background1"/>
                    <w:sz w:val="28"/>
                    <w:szCs w:val="28"/>
                    <w:lang w:val="en-GB"/>
                  </w:rPr>
                </w:pPr>
                <w:r>
                  <w:rPr>
                    <w:color w:val="FFFFFF" w:themeColor="background1"/>
                    <w:sz w:val="28"/>
                    <w:szCs w:val="28"/>
                    <w:lang w:val="en-GB"/>
                  </w:rPr>
                  <w:t>Production SLAs</w:t>
                </w:r>
              </w:p>
            </w:tc>
          </w:tr>
          <w:tr w:rsidR="007F6073" w14:paraId="198E5D12" w14:textId="77777777" w:rsidTr="007F6073">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014" w:type="dxa"/>
                <w:shd w:val="clear" w:color="auto" w:fill="FCCBCC" w:themeFill="accent1" w:themeFillTint="33"/>
                <w:vAlign w:val="center"/>
              </w:tcPr>
              <w:p w14:paraId="2D3C1A39" w14:textId="07BEA7ED" w:rsidR="007F6073" w:rsidRDefault="00000000">
                <w:pPr>
                  <w:spacing w:before="0"/>
                  <w:jc w:val="center"/>
                  <w:rPr>
                    <w:color w:val="auto"/>
                    <w:szCs w:val="22"/>
                    <w:lang w:val="en-GB"/>
                  </w:rPr>
                </w:pPr>
                <w:r>
                  <w:rPr>
                    <w:color w:val="auto"/>
                    <w:szCs w:val="22"/>
                    <w:lang w:val="en-GB"/>
                  </w:rPr>
                  <w:t>Priority</w:t>
                </w:r>
              </w:p>
            </w:tc>
            <w:tc>
              <w:tcPr>
                <w:tcW w:w="1671" w:type="dxa"/>
                <w:shd w:val="clear" w:color="auto" w:fill="FCCBCC" w:themeFill="accent1" w:themeFillTint="33"/>
                <w:vAlign w:val="center"/>
              </w:tcPr>
              <w:p w14:paraId="75C6D27F" w14:textId="4685B6A8"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b/>
                    <w:bCs/>
                    <w:color w:val="auto"/>
                    <w:szCs w:val="22"/>
                    <w:lang w:val="en-GB"/>
                  </w:rPr>
                </w:pPr>
                <w:r>
                  <w:rPr>
                    <w:b/>
                    <w:bCs/>
                    <w:color w:val="auto"/>
                    <w:szCs w:val="22"/>
                    <w:lang w:val="en-GB"/>
                  </w:rPr>
                  <w:t>Response Time</w:t>
                </w:r>
              </w:p>
            </w:tc>
            <w:tc>
              <w:tcPr>
                <w:tcW w:w="2070" w:type="dxa"/>
                <w:shd w:val="clear" w:color="auto" w:fill="FCCBCC" w:themeFill="accent1" w:themeFillTint="33"/>
                <w:vAlign w:val="center"/>
              </w:tcPr>
              <w:p w14:paraId="67865183" w14:textId="7CB7F71E"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b/>
                    <w:bCs/>
                    <w:color w:val="auto"/>
                    <w:szCs w:val="22"/>
                    <w:lang w:val="en-GB"/>
                  </w:rPr>
                </w:pPr>
                <w:r>
                  <w:rPr>
                    <w:b/>
                    <w:bCs/>
                    <w:color w:val="auto"/>
                    <w:szCs w:val="22"/>
                    <w:lang w:val="en-GB"/>
                  </w:rPr>
                  <w:t>Update Every</w:t>
                </w:r>
              </w:p>
            </w:tc>
            <w:tc>
              <w:tcPr>
                <w:tcW w:w="1800" w:type="dxa"/>
                <w:shd w:val="clear" w:color="auto" w:fill="FCCBCC" w:themeFill="accent1" w:themeFillTint="33"/>
                <w:vAlign w:val="center"/>
              </w:tcPr>
              <w:p w14:paraId="26F206B4" w14:textId="5ECC88DA"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b/>
                    <w:bCs/>
                    <w:color w:val="auto"/>
                    <w:szCs w:val="22"/>
                    <w:lang w:val="en-GB"/>
                  </w:rPr>
                </w:pPr>
                <w:r>
                  <w:rPr>
                    <w:b/>
                    <w:bCs/>
                    <w:color w:val="auto"/>
                    <w:szCs w:val="22"/>
                    <w:lang w:val="en-GB"/>
                  </w:rPr>
                  <w:t>*Remedy Time</w:t>
                </w:r>
              </w:p>
            </w:tc>
            <w:tc>
              <w:tcPr>
                <w:tcW w:w="2515" w:type="dxa"/>
                <w:shd w:val="clear" w:color="auto" w:fill="FCCBCC" w:themeFill="accent1" w:themeFillTint="33"/>
                <w:vAlign w:val="center"/>
              </w:tcPr>
              <w:p w14:paraId="2DF7E163" w14:textId="6F5AAA7A" w:rsidR="007F6073" w:rsidRDefault="00000000">
                <w:pPr>
                  <w:spacing w:before="0"/>
                  <w:jc w:val="center"/>
                  <w:cnfStyle w:val="000000100000" w:firstRow="0" w:lastRow="0" w:firstColumn="0" w:lastColumn="0" w:oddVBand="0" w:evenVBand="0" w:oddHBand="1" w:evenHBand="0" w:firstRowFirstColumn="0" w:firstRowLastColumn="0" w:lastRowFirstColumn="0" w:lastRowLastColumn="0"/>
                  <w:rPr>
                    <w:b/>
                    <w:bCs/>
                    <w:color w:val="auto"/>
                    <w:szCs w:val="22"/>
                    <w:lang w:val="en-GB"/>
                  </w:rPr>
                </w:pPr>
                <w:r>
                  <w:rPr>
                    <w:b/>
                    <w:bCs/>
                    <w:color w:val="auto"/>
                    <w:szCs w:val="22"/>
                    <w:lang w:val="en-GB"/>
                  </w:rPr>
                  <w:t>24/7 or Business Hours</w:t>
                </w:r>
              </w:p>
            </w:tc>
          </w:tr>
          <w:tr w:rsidR="007F6073" w14:paraId="1B2367EE" w14:textId="77777777" w:rsidTr="007F6073">
            <w:trPr>
              <w:trHeight w:val="1250"/>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059547AC" w14:textId="1020958E" w:rsidR="007F6073" w:rsidRDefault="00000000">
                <w:pPr>
                  <w:jc w:val="center"/>
                  <w:rPr>
                    <w:color w:val="auto"/>
                    <w:szCs w:val="22"/>
                    <w:lang w:val="en-GB"/>
                  </w:rPr>
                </w:pPr>
                <w:r>
                  <w:rPr>
                    <w:color w:val="auto"/>
                    <w:szCs w:val="22"/>
                    <w:lang w:val="en-GB"/>
                  </w:rPr>
                  <w:t>Sev-1 - Service Down (Production Environment)</w:t>
                </w:r>
              </w:p>
            </w:tc>
            <w:tc>
              <w:tcPr>
                <w:tcW w:w="1671" w:type="dxa"/>
                <w:vAlign w:val="center"/>
              </w:tcPr>
              <w:p w14:paraId="4AEB3394" w14:textId="04A3A880" w:rsidR="007F6073" w:rsidRDefault="00000000">
                <w:pPr>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15 minutes</w:t>
                </w:r>
              </w:p>
            </w:tc>
            <w:tc>
              <w:tcPr>
                <w:tcW w:w="2070" w:type="dxa"/>
                <w:vAlign w:val="center"/>
              </w:tcPr>
              <w:p w14:paraId="3C26810B" w14:textId="3CC25B59" w:rsidR="007F6073" w:rsidRDefault="00000000">
                <w:pPr>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1 hour</w:t>
                </w:r>
              </w:p>
            </w:tc>
            <w:tc>
              <w:tcPr>
                <w:tcW w:w="1800" w:type="dxa"/>
                <w:vAlign w:val="center"/>
              </w:tcPr>
              <w:p w14:paraId="2C315964" w14:textId="20479940" w:rsidR="007F6073" w:rsidRDefault="00000000">
                <w:pPr>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4 hours</w:t>
                </w:r>
              </w:p>
            </w:tc>
            <w:tc>
              <w:tcPr>
                <w:tcW w:w="2515" w:type="dxa"/>
                <w:vAlign w:val="center"/>
              </w:tcPr>
              <w:p w14:paraId="7C3F155C" w14:textId="49106005" w:rsidR="007F6073" w:rsidRDefault="00000000">
                <w:pPr>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24/7</w:t>
                </w:r>
              </w:p>
            </w:tc>
          </w:tr>
          <w:tr w:rsidR="007F6073" w14:paraId="65CC191B" w14:textId="77777777" w:rsidTr="007F6073">
            <w:trPr>
              <w:cnfStyle w:val="000000100000" w:firstRow="0" w:lastRow="0" w:firstColumn="0" w:lastColumn="0" w:oddVBand="0" w:evenVBand="0" w:oddHBand="1" w:evenHBand="0" w:firstRowFirstColumn="0" w:firstRowLastColumn="0" w:lastRowFirstColumn="0" w:lastRowLastColumn="0"/>
              <w:trHeight w:val="1700"/>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3856D287" w14:textId="6EFE94F0" w:rsidR="007F6073" w:rsidRDefault="00000000">
                <w:pPr>
                  <w:jc w:val="center"/>
                  <w:rPr>
                    <w:color w:val="auto"/>
                    <w:szCs w:val="22"/>
                    <w:lang w:val="en-GB"/>
                  </w:rPr>
                </w:pPr>
                <w:r>
                  <w:rPr>
                    <w:color w:val="auto"/>
                    <w:szCs w:val="22"/>
                    <w:lang w:val="en-GB"/>
                  </w:rPr>
                  <w:t>Sev-2 - Service Degrade (Production Environment)</w:t>
                </w:r>
              </w:p>
            </w:tc>
            <w:tc>
              <w:tcPr>
                <w:tcW w:w="1671" w:type="dxa"/>
                <w:vAlign w:val="center"/>
              </w:tcPr>
              <w:p w14:paraId="75D7604D" w14:textId="33E03DC4" w:rsidR="007F6073" w:rsidRDefault="00000000">
                <w:pPr>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1 hour</w:t>
                </w:r>
              </w:p>
            </w:tc>
            <w:tc>
              <w:tcPr>
                <w:tcW w:w="2070" w:type="dxa"/>
                <w:vAlign w:val="center"/>
              </w:tcPr>
              <w:p w14:paraId="62967350" w14:textId="1AA85F66" w:rsidR="007F6073" w:rsidRDefault="00000000">
                <w:pPr>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2 hours</w:t>
                </w:r>
              </w:p>
            </w:tc>
            <w:tc>
              <w:tcPr>
                <w:tcW w:w="1800" w:type="dxa"/>
                <w:vAlign w:val="center"/>
              </w:tcPr>
              <w:p w14:paraId="40D2C251" w14:textId="11CFF26F" w:rsidR="007F6073" w:rsidRDefault="00000000">
                <w:pPr>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8 hours</w:t>
                </w:r>
              </w:p>
            </w:tc>
            <w:tc>
              <w:tcPr>
                <w:tcW w:w="2515" w:type="dxa"/>
                <w:vAlign w:val="center"/>
              </w:tcPr>
              <w:p w14:paraId="707579BC" w14:textId="17215443" w:rsidR="007F6073" w:rsidRDefault="00000000">
                <w:pPr>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Business hours</w:t>
                </w:r>
              </w:p>
            </w:tc>
          </w:tr>
          <w:tr w:rsidR="007F6073" w14:paraId="4ECC7F5A" w14:textId="77777777" w:rsidTr="007F6073">
            <w:trPr>
              <w:trHeight w:val="1070"/>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61EC0BBB" w14:textId="4C9DDF41" w:rsidR="007F6073" w:rsidRDefault="00000000">
                <w:pPr>
                  <w:jc w:val="center"/>
                  <w:rPr>
                    <w:color w:val="auto"/>
                    <w:szCs w:val="22"/>
                    <w:lang w:val="en-GB"/>
                  </w:rPr>
                </w:pPr>
                <w:r>
                  <w:rPr>
                    <w:color w:val="auto"/>
                    <w:szCs w:val="22"/>
                    <w:lang w:val="en-GB"/>
                  </w:rPr>
                  <w:t>Sev-3 - Feature Failure</w:t>
                </w:r>
              </w:p>
            </w:tc>
            <w:tc>
              <w:tcPr>
                <w:tcW w:w="1671" w:type="dxa"/>
                <w:vAlign w:val="center"/>
              </w:tcPr>
              <w:p w14:paraId="378AE67E" w14:textId="4F516E38" w:rsidR="007F6073" w:rsidRDefault="00000000">
                <w:pPr>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1 business day</w:t>
                </w:r>
              </w:p>
            </w:tc>
            <w:tc>
              <w:tcPr>
                <w:tcW w:w="2070" w:type="dxa"/>
                <w:vAlign w:val="center"/>
              </w:tcPr>
              <w:p w14:paraId="66B93647" w14:textId="67BADC2E" w:rsidR="007F6073" w:rsidRDefault="00000000">
                <w:pPr>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1 day</w:t>
                </w:r>
              </w:p>
            </w:tc>
            <w:tc>
              <w:tcPr>
                <w:tcW w:w="1800" w:type="dxa"/>
                <w:vAlign w:val="center"/>
              </w:tcPr>
              <w:p w14:paraId="6A643F12" w14:textId="0F638D98" w:rsidR="007F6073" w:rsidRDefault="00000000">
                <w:pPr>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10 Business days</w:t>
                </w:r>
              </w:p>
            </w:tc>
            <w:tc>
              <w:tcPr>
                <w:tcW w:w="2515" w:type="dxa"/>
                <w:vAlign w:val="center"/>
              </w:tcPr>
              <w:p w14:paraId="22D48A5B" w14:textId="11DF2868" w:rsidR="007F6073" w:rsidRDefault="00000000">
                <w:pPr>
                  <w:jc w:val="center"/>
                  <w:cnfStyle w:val="000000000000" w:firstRow="0" w:lastRow="0" w:firstColumn="0" w:lastColumn="0" w:oddVBand="0" w:evenVBand="0" w:oddHBand="0" w:evenHBand="0" w:firstRowFirstColumn="0" w:firstRowLastColumn="0" w:lastRowFirstColumn="0" w:lastRowLastColumn="0"/>
                  <w:rPr>
                    <w:color w:val="auto"/>
                    <w:szCs w:val="22"/>
                    <w:lang w:val="en-GB"/>
                  </w:rPr>
                </w:pPr>
                <w:r>
                  <w:rPr>
                    <w:color w:val="auto"/>
                    <w:szCs w:val="22"/>
                    <w:lang w:val="en-GB"/>
                  </w:rPr>
                  <w:t>Business hours</w:t>
                </w:r>
              </w:p>
            </w:tc>
          </w:tr>
          <w:tr w:rsidR="007F6073" w14:paraId="798DD591" w14:textId="77777777" w:rsidTr="007F6073">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2014" w:type="dxa"/>
                <w:vAlign w:val="center"/>
              </w:tcPr>
              <w:p w14:paraId="163E85AD" w14:textId="6206B4D0" w:rsidR="007F6073" w:rsidRDefault="00000000">
                <w:pPr>
                  <w:jc w:val="center"/>
                  <w:rPr>
                    <w:color w:val="auto"/>
                    <w:szCs w:val="22"/>
                    <w:lang w:val="en-GB"/>
                  </w:rPr>
                </w:pPr>
                <w:r>
                  <w:rPr>
                    <w:color w:val="auto"/>
                    <w:szCs w:val="22"/>
                    <w:lang w:val="en-GB"/>
                  </w:rPr>
                  <w:t>Inquiry</w:t>
                </w:r>
              </w:p>
            </w:tc>
            <w:tc>
              <w:tcPr>
                <w:tcW w:w="1671" w:type="dxa"/>
                <w:vAlign w:val="center"/>
              </w:tcPr>
              <w:p w14:paraId="779AF97D" w14:textId="575CBD6F" w:rsidR="007F6073" w:rsidRDefault="00000000">
                <w:pPr>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N/A</w:t>
                </w:r>
              </w:p>
            </w:tc>
            <w:tc>
              <w:tcPr>
                <w:tcW w:w="2070" w:type="dxa"/>
                <w:vAlign w:val="center"/>
              </w:tcPr>
              <w:p w14:paraId="0F6220BB" w14:textId="44E92F01" w:rsidR="007F6073" w:rsidRDefault="00000000">
                <w:pPr>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N/A</w:t>
                </w:r>
              </w:p>
            </w:tc>
            <w:tc>
              <w:tcPr>
                <w:tcW w:w="1800" w:type="dxa"/>
                <w:vAlign w:val="center"/>
              </w:tcPr>
              <w:p w14:paraId="428E6433" w14:textId="3181AB21" w:rsidR="007F6073" w:rsidRDefault="00000000">
                <w:pPr>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12 business days</w:t>
                </w:r>
              </w:p>
            </w:tc>
            <w:tc>
              <w:tcPr>
                <w:tcW w:w="2515" w:type="dxa"/>
                <w:vAlign w:val="center"/>
              </w:tcPr>
              <w:p w14:paraId="6BA6D031" w14:textId="391DE8DC" w:rsidR="007F6073" w:rsidRDefault="00000000">
                <w:pPr>
                  <w:jc w:val="center"/>
                  <w:cnfStyle w:val="000000100000" w:firstRow="0" w:lastRow="0" w:firstColumn="0" w:lastColumn="0" w:oddVBand="0" w:evenVBand="0" w:oddHBand="1" w:evenHBand="0" w:firstRowFirstColumn="0" w:firstRowLastColumn="0" w:lastRowFirstColumn="0" w:lastRowLastColumn="0"/>
                  <w:rPr>
                    <w:color w:val="auto"/>
                    <w:szCs w:val="22"/>
                    <w:lang w:val="en-GB"/>
                  </w:rPr>
                </w:pPr>
                <w:r>
                  <w:rPr>
                    <w:color w:val="auto"/>
                    <w:szCs w:val="22"/>
                    <w:lang w:val="en-GB"/>
                  </w:rPr>
                  <w:t>Business hours</w:t>
                </w:r>
              </w:p>
            </w:tc>
          </w:tr>
        </w:tbl>
        <w:p w14:paraId="7A68AE4D" w14:textId="5E930BB9" w:rsidR="007F6073" w:rsidRDefault="00000000">
          <w:pPr>
            <w:rPr>
              <w:color w:val="auto"/>
              <w:szCs w:val="22"/>
              <w:lang w:val="en-GB"/>
            </w:rPr>
          </w:pPr>
          <w:r>
            <w:rPr>
              <w:color w:val="auto"/>
              <w:szCs w:val="22"/>
              <w:lang w:val="en-GB"/>
            </w:rPr>
            <w:t>* Remedy is defined as the provisioning of either a reasonable workaround, hotfix, data correction script, patch, or a specification plan for how Hansen will address the Incident and an estimate of how long it will take to resolve the Incident. For the purposes of calculating the applicable Remedy timeframes under the Support SLAs, time shall only count during periods in which the Incident is under Hansen’s responsibility and Hansen is able to actively progress the Remedy.</w:t>
          </w:r>
        </w:p>
        <w:p w14:paraId="472119D3" w14:textId="77777777" w:rsidR="007F6073" w:rsidRDefault="007F6073">
          <w:pPr>
            <w:rPr>
              <w:color w:val="auto"/>
              <w:szCs w:val="22"/>
              <w:lang w:val="en-GB"/>
            </w:rPr>
          </w:pPr>
        </w:p>
        <w:p w14:paraId="1CF3B011" w14:textId="24EA1ADB" w:rsidR="007F6073" w:rsidRDefault="00000000">
          <w:pPr>
            <w:pStyle w:val="ListBullet"/>
            <w:numPr>
              <w:ilvl w:val="0"/>
              <w:numId w:val="0"/>
            </w:numPr>
            <w:spacing w:after="60"/>
            <w:rPr>
              <w:rFonts w:asciiTheme="minorHAnsi" w:hAnsiTheme="minorHAnsi"/>
              <w:b/>
              <w:sz w:val="22"/>
              <w:lang w:val="en-GB"/>
            </w:rPr>
          </w:pPr>
          <w:r>
            <w:rPr>
              <w:rFonts w:asciiTheme="minorHAnsi" w:hAnsiTheme="minorHAnsi"/>
              <w:b/>
              <w:sz w:val="22"/>
              <w:lang w:val="en-GB"/>
            </w:rPr>
            <w:t>KPIs</w:t>
          </w:r>
        </w:p>
        <w:p w14:paraId="4BB64BD3" w14:textId="61B428AF" w:rsidR="007F6073" w:rsidRDefault="00000000">
          <w:pPr>
            <w:pStyle w:val="ListBullet"/>
            <w:tabs>
              <w:tab w:val="num" w:pos="360"/>
            </w:tabs>
            <w:spacing w:after="60"/>
            <w:ind w:left="360" w:hanging="360"/>
            <w:rPr>
              <w:rFonts w:asciiTheme="minorHAnsi" w:hAnsiTheme="minorHAnsi"/>
              <w:sz w:val="22"/>
              <w:lang w:val="en-GB"/>
            </w:rPr>
          </w:pPr>
          <w:r>
            <w:rPr>
              <w:rFonts w:asciiTheme="minorHAnsi" w:hAnsiTheme="minorHAnsi"/>
              <w:sz w:val="22"/>
              <w:lang w:val="en-GB"/>
            </w:rPr>
            <w:lastRenderedPageBreak/>
            <w:t>FTR “First time right” success rate of orders where failure is not caused by non-Hansen systems is greater than or equal to 99.7%.</w:t>
          </w:r>
        </w:p>
        <w:p w14:paraId="00280ABA" w14:textId="0C83FD5F" w:rsidR="007F6073" w:rsidRDefault="00000000">
          <w:pPr>
            <w:pStyle w:val="ListBullet"/>
            <w:tabs>
              <w:tab w:val="num" w:pos="360"/>
            </w:tabs>
            <w:spacing w:after="60"/>
            <w:ind w:left="360" w:hanging="360"/>
            <w:rPr>
              <w:rFonts w:asciiTheme="minorHAnsi" w:hAnsiTheme="minorHAnsi"/>
              <w:sz w:val="22"/>
              <w:lang w:val="en-GB"/>
            </w:rPr>
          </w:pPr>
          <w:r>
            <w:rPr>
              <w:rFonts w:asciiTheme="minorHAnsi" w:hAnsiTheme="minorHAnsi"/>
              <w:sz w:val="22"/>
              <w:lang w:val="en-GB"/>
            </w:rPr>
            <w:t>Zero core product defect fixes causing a P1, P2 or rollback.</w:t>
          </w:r>
        </w:p>
        <w:p w14:paraId="02C8551D" w14:textId="77777777" w:rsidR="007F6073" w:rsidRDefault="007F6073">
          <w:pPr>
            <w:pStyle w:val="ListBullet"/>
            <w:numPr>
              <w:ilvl w:val="0"/>
              <w:numId w:val="0"/>
            </w:numPr>
            <w:tabs>
              <w:tab w:val="num" w:pos="360"/>
            </w:tabs>
            <w:spacing w:after="60"/>
            <w:rPr>
              <w:rFonts w:asciiTheme="minorHAnsi" w:hAnsiTheme="minorHAnsi"/>
              <w:sz w:val="22"/>
              <w:lang w:val="en-GB"/>
            </w:rPr>
          </w:pPr>
        </w:p>
        <w:p w14:paraId="7A23717A" w14:textId="535B9236" w:rsidR="007F6073" w:rsidRDefault="00000000">
          <w:pPr>
            <w:spacing w:before="0" w:line="312" w:lineRule="auto"/>
            <w:rPr>
              <w:color w:val="auto"/>
              <w:szCs w:val="22"/>
              <w:lang w:val="en-GB"/>
            </w:rPr>
          </w:pPr>
          <w:r>
            <w:rPr>
              <w:lang w:val="en-GB"/>
            </w:rPr>
            <w:br w:type="page"/>
          </w:r>
        </w:p>
        <w:p w14:paraId="7B04F72F" w14:textId="77777777" w:rsidR="007F6073" w:rsidRDefault="007F6073">
          <w:pPr>
            <w:pStyle w:val="ListBullet"/>
            <w:numPr>
              <w:ilvl w:val="0"/>
              <w:numId w:val="0"/>
            </w:numPr>
            <w:tabs>
              <w:tab w:val="num" w:pos="360"/>
            </w:tabs>
            <w:spacing w:after="60"/>
            <w:rPr>
              <w:rFonts w:asciiTheme="minorHAnsi" w:hAnsiTheme="minorHAnsi"/>
              <w:sz w:val="22"/>
              <w:lang w:val="en-GB"/>
            </w:rPr>
          </w:pPr>
        </w:p>
        <w:p w14:paraId="0B157EB3" w14:textId="77777777" w:rsidR="007F6073" w:rsidRDefault="00000000">
          <w:pPr>
            <w:pStyle w:val="Title"/>
          </w:pPr>
          <w:bookmarkStart w:id="23" w:name="_Toc239002168"/>
          <w:r>
            <w:t>Volume 2 - Transformation &amp; Delivery Proposal</w:t>
          </w:r>
          <w:bookmarkEnd w:id="23"/>
          <w:r>
            <w:tab/>
          </w:r>
        </w:p>
        <w:p w14:paraId="73E3640D" w14:textId="4594A84C" w:rsidR="007F6073" w:rsidRDefault="00000000">
          <w:pPr>
            <w:pStyle w:val="Heading1"/>
            <w:rPr>
              <w:rFonts w:cstheme="minorBidi"/>
              <w:kern w:val="36"/>
              <w:lang w:val="en-GB" w:eastAsia="en-GB"/>
              <w14:ligatures w14:val="standardContextual"/>
            </w:rPr>
          </w:pPr>
          <w:bookmarkStart w:id="24" w:name="_Toc239002169"/>
          <w:r>
            <w:t>Transformation Roadmap &amp; Phasing</w:t>
          </w:r>
          <w:bookmarkEnd w:id="24"/>
        </w:p>
        <w:p w14:paraId="67232A11" w14:textId="73094BE4" w:rsidR="007F6073" w:rsidRDefault="00000000">
          <w:pPr>
            <w:pStyle w:val="Heading2"/>
          </w:pPr>
          <w:bookmarkStart w:id="25" w:name="_Toc239002170"/>
          <w:r>
            <w:t>Business Outcome</w:t>
          </w:r>
          <w:bookmarkEnd w:id="25"/>
        </w:p>
        <w:p w14:paraId="52CAFBB5" w14:textId="7DC9440F" w:rsidR="007F6073" w:rsidRDefault="00000000">
          <w:pPr>
            <w:rPr>
              <w:color w:val="auto"/>
              <w:lang w:val="en-GB"/>
            </w:rPr>
          </w:pPr>
          <w:r>
            <w:rPr>
              <w:color w:val="auto"/>
              <w:lang w:val="en-GB"/>
            </w:rPr>
            <w:t>Establish a controlled and measurable transformation journey that delivers business value incrementally while reducing implementation risk and operational disruption.</w:t>
          </w:r>
        </w:p>
        <w:p w14:paraId="5EEF3F9A" w14:textId="0D658D17" w:rsidR="007F6073" w:rsidRDefault="00000000">
          <w:pPr>
            <w:rPr>
              <w:color w:val="auto"/>
              <w:lang w:val="en-GB"/>
            </w:rPr>
          </w:pPr>
          <w:r>
            <w:rPr>
              <w:color w:val="auto"/>
              <w:lang w:val="en-GB"/>
            </w:rPr>
            <w:t>Hansen Phasing approach ensure that or allows for:</w:t>
          </w:r>
        </w:p>
        <w:p w14:paraId="1B67D79B" w14:textId="77777777" w:rsidR="007F6073" w:rsidRDefault="00000000">
          <w:pPr>
            <w:pStyle w:val="ListParagraph"/>
            <w:numPr>
              <w:ilvl w:val="0"/>
              <w:numId w:val="21"/>
            </w:numPr>
            <w:rPr>
              <w:color w:val="auto"/>
            </w:rPr>
          </w:pPr>
          <w:r>
            <w:rPr>
              <w:color w:val="auto"/>
            </w:rPr>
            <w:t>Protect customer experience and brand integrity by avoiding fragmented journeys, ensuring each phase delivers a complete, usable proposition.</w:t>
          </w:r>
        </w:p>
        <w:p w14:paraId="79C714EB" w14:textId="77777777" w:rsidR="007F6073" w:rsidRDefault="00000000">
          <w:pPr>
            <w:pStyle w:val="ListParagraph"/>
            <w:numPr>
              <w:ilvl w:val="0"/>
              <w:numId w:val="21"/>
            </w:numPr>
            <w:rPr>
              <w:color w:val="auto"/>
            </w:rPr>
          </w:pPr>
          <w:r>
            <w:rPr>
              <w:color w:val="auto"/>
            </w:rPr>
            <w:t>Manage complexity pragmatically, deferring the highest</w:t>
          </w:r>
          <w:r>
            <w:rPr>
              <w:color w:val="auto"/>
            </w:rPr>
            <w:noBreakHyphen/>
            <w:t>risk capabilities (e.g. device pricing, terminal wall, complex bundling) until foundational capabilities are stable.</w:t>
          </w:r>
        </w:p>
        <w:p w14:paraId="657A83BD" w14:textId="77777777" w:rsidR="007F6073" w:rsidRDefault="00000000">
          <w:pPr>
            <w:pStyle w:val="ListParagraph"/>
            <w:numPr>
              <w:ilvl w:val="0"/>
              <w:numId w:val="21"/>
            </w:numPr>
            <w:rPr>
              <w:color w:val="auto"/>
            </w:rPr>
          </w:pPr>
          <w:r>
            <w:rPr>
              <w:color w:val="auto"/>
            </w:rPr>
            <w:t>Accelerate time</w:t>
          </w:r>
          <w:r>
            <w:rPr>
              <w:color w:val="auto"/>
            </w:rPr>
            <w:noBreakHyphen/>
            <w:t>to</w:t>
          </w:r>
          <w:r>
            <w:rPr>
              <w:color w:val="auto"/>
            </w:rPr>
            <w:noBreakHyphen/>
            <w:t>value by enabling earlier market release of simpler propositions while more complex capabilities are developed in parallel.</w:t>
          </w:r>
        </w:p>
        <w:p w14:paraId="281CD9FB" w14:textId="77777777" w:rsidR="007F6073" w:rsidRDefault="00000000">
          <w:pPr>
            <w:pStyle w:val="ListParagraph"/>
            <w:numPr>
              <w:ilvl w:val="0"/>
              <w:numId w:val="21"/>
            </w:numPr>
            <w:rPr>
              <w:color w:val="auto"/>
              <w:lang w:val="en-GB"/>
            </w:rPr>
          </w:pPr>
          <w:r>
            <w:rPr>
              <w:color w:val="auto"/>
              <w:lang w:val="en-GB"/>
            </w:rPr>
            <w:t>Align investment with proven outcomes, allowing decisions on later phases to be informed by real delivery progress, customer behaviour, and operational learnings.</w:t>
          </w:r>
        </w:p>
        <w:p w14:paraId="75E3305F" w14:textId="77777777" w:rsidR="007F6073" w:rsidRDefault="00000000">
          <w:pPr>
            <w:pStyle w:val="ListParagraph"/>
            <w:numPr>
              <w:ilvl w:val="0"/>
              <w:numId w:val="21"/>
            </w:numPr>
            <w:rPr>
              <w:color w:val="auto"/>
              <w:lang w:val="en-GB"/>
            </w:rPr>
          </w:pPr>
          <w:r>
            <w:rPr>
              <w:color w:val="auto"/>
            </w:rPr>
            <w:t>Reduce delivery and commercial risk by starting with a contained, lower</w:t>
          </w:r>
          <w:r>
            <w:rPr>
              <w:color w:val="auto"/>
            </w:rPr>
            <w:noBreakHyphen/>
            <w:t>volume scope before scaling to core revenue</w:t>
          </w:r>
          <w:r>
            <w:rPr>
              <w:color w:val="auto"/>
            </w:rPr>
            <w:noBreakHyphen/>
            <w:t>generating brands and channels.</w:t>
          </w:r>
        </w:p>
        <w:p w14:paraId="0BABF554" w14:textId="27C3A393" w:rsidR="007F6073" w:rsidRDefault="00000000">
          <w:pPr>
            <w:pStyle w:val="ListParagraph"/>
            <w:numPr>
              <w:ilvl w:val="0"/>
              <w:numId w:val="21"/>
            </w:numPr>
            <w:rPr>
              <w:color w:val="auto"/>
              <w:lang w:val="en-GB"/>
            </w:rPr>
          </w:pPr>
          <w:r>
            <w:rPr>
              <w:color w:val="auto"/>
            </w:rPr>
            <w:t>Provide flexibility against commercial uncertainty, particularly around brand strategy, upgrade paths, and channel prioritization, without blocking early progress.</w:t>
          </w:r>
        </w:p>
        <w:p w14:paraId="4BE6B5E0" w14:textId="73A2D009" w:rsidR="007F6073" w:rsidRDefault="00000000">
          <w:pPr>
            <w:rPr>
              <w:b/>
              <w:bCs/>
              <w:color w:val="333333" w:themeColor="text2"/>
              <w:sz w:val="18"/>
              <w:u w:val="single"/>
            </w:rPr>
          </w:pPr>
          <w:r>
            <w:rPr>
              <w:b/>
              <w:bCs/>
              <w:u w:val="single"/>
              <w:lang w:val="en-GB"/>
            </w:rPr>
            <w:t>Why This Matters to Vodaria Group.</w:t>
          </w:r>
        </w:p>
        <w:p w14:paraId="16E1998C" w14:textId="77777777" w:rsidR="007F6073" w:rsidRDefault="00000000">
          <w:pPr>
            <w:rPr>
              <w:color w:val="auto"/>
              <w:lang w:val="en-GB"/>
            </w:rPr>
          </w:pPr>
          <w:r>
            <w:rPr>
              <w:color w:val="auto"/>
              <w:lang w:val="en-GB"/>
            </w:rPr>
            <w:t>Converged BSS Transformation represents a significant business transformation. Phasing the programme allows Vodaria Group to prove business value incrementally, reduce programme risk and incorporate lessons learned before expanding into broader enterprise use cases.</w:t>
          </w:r>
        </w:p>
        <w:p w14:paraId="1FEA0EDA" w14:textId="77777777" w:rsidR="007F6073" w:rsidRDefault="00000000">
          <w:pPr>
            <w:spacing w:before="0" w:line="312" w:lineRule="auto"/>
            <w:rPr>
              <w:color w:val="auto"/>
              <w:lang w:val="en-GB"/>
            </w:rPr>
          </w:pPr>
          <w:r>
            <w:rPr>
              <w:color w:val="auto"/>
              <w:lang w:val="en-GB"/>
            </w:rPr>
            <w:br w:type="page"/>
          </w:r>
        </w:p>
        <w:p w14:paraId="61DFC32D" w14:textId="46B15354" w:rsidR="007F6073" w:rsidRDefault="00000000">
          <w:pPr>
            <w:pStyle w:val="Heading2"/>
            <w:rPr>
              <w:color w:val="333333" w:themeColor="text2"/>
              <w:sz w:val="18"/>
            </w:rPr>
          </w:pPr>
          <w:bookmarkStart w:id="26" w:name="_Toc239002171"/>
          <w:r>
            <w:rPr>
              <w:lang w:val="en-GB"/>
            </w:rPr>
            <w:lastRenderedPageBreak/>
            <w:t>Hansen Approach</w:t>
          </w:r>
          <w:bookmarkEnd w:id="26"/>
        </w:p>
        <w:p w14:paraId="49CA00F7" w14:textId="05B09977" w:rsidR="007F6073" w:rsidRDefault="00000000">
          <w:pPr>
            <w:rPr>
              <w:color w:val="auto"/>
              <w:lang w:val="en-GB"/>
            </w:rPr>
          </w:pPr>
          <w:r>
            <w:rPr>
              <w:color w:val="auto"/>
              <w:lang w:val="en-GB"/>
            </w:rPr>
            <w:t>Hansen proposes a phased implementation covering mobilisation, design, platform foundation, integration, migration, testing, deployment and run/evolve. Each phase delivers business capability while progressively establishing the future Converged BSS Transformation Lead-to-Order operating model.</w:t>
          </w:r>
        </w:p>
        <w:p w14:paraId="554E05E8" w14:textId="1A446C1F" w:rsidR="007F6073" w:rsidRDefault="00000000">
          <w:pPr>
            <w:rPr>
              <w:lang w:val="en-GB"/>
            </w:rPr>
          </w:pPr>
          <w:r>
            <w:rPr>
              <w:i/>
              <w:color w:val="7F7F7F"/>
            </w:rPr>
            <w:t>Figure: Vodaria target lead-to-order architecture (Hansen Catalog, CPQ, Order Management integrated with Salesforce CRM).</w:t>
          </w:r>
        </w:p>
        <w:p w14:paraId="4D388536" w14:textId="1BD68DC4" w:rsidR="007F6073" w:rsidRDefault="00000000">
          <w:pPr>
            <w:pStyle w:val="Heading2"/>
            <w:rPr>
              <w:color w:val="333333" w:themeColor="text2"/>
              <w:sz w:val="18"/>
            </w:rPr>
          </w:pPr>
          <w:bookmarkStart w:id="27" w:name="_Toc239002172"/>
          <w:r>
            <w:rPr>
              <w:lang w:val="en-GB"/>
            </w:rPr>
            <w:t>Key Deliverables</w:t>
          </w:r>
          <w:bookmarkEnd w:id="27"/>
        </w:p>
        <w:p w14:paraId="64C9B8BA" w14:textId="10BED260" w:rsidR="007F6073" w:rsidRDefault="00000000">
          <w:pPr>
            <w:rPr>
              <w:color w:val="auto"/>
              <w:lang w:val="en-GB"/>
            </w:rPr>
          </w:pPr>
          <w:r>
            <w:rPr>
              <w:color w:val="auto"/>
              <w:lang w:val="en-GB"/>
            </w:rPr>
            <w:t>Discovery (Pre-foundation) Phase</w:t>
          </w:r>
        </w:p>
        <w:p w14:paraId="0486D3D9" w14:textId="3D9BB561" w:rsidR="007F6073" w:rsidRDefault="00000000">
          <w:pPr>
            <w:numPr>
              <w:ilvl w:val="0"/>
              <w:numId w:val="14"/>
            </w:numPr>
            <w:rPr>
              <w:color w:val="auto"/>
              <w:lang w:val="en-GB"/>
            </w:rPr>
          </w:pPr>
          <w:r>
            <w:rPr>
              <w:color w:val="auto"/>
              <w:lang w:val="en-GB"/>
            </w:rPr>
            <w:t>Architecture design with integration points and protocols</w:t>
          </w:r>
        </w:p>
        <w:p w14:paraId="644EDCA9" w14:textId="52EE3767" w:rsidR="007F6073" w:rsidRDefault="00000000">
          <w:pPr>
            <w:numPr>
              <w:ilvl w:val="0"/>
              <w:numId w:val="14"/>
            </w:numPr>
            <w:rPr>
              <w:color w:val="auto"/>
              <w:lang w:val="en-GB"/>
            </w:rPr>
          </w:pPr>
          <w:r>
            <w:rPr>
              <w:color w:val="auto"/>
              <w:lang w:val="en-GB"/>
            </w:rPr>
            <w:t>High level business requirements document</w:t>
          </w:r>
        </w:p>
        <w:p w14:paraId="1C896F8F" w14:textId="7ED4D309" w:rsidR="007F6073" w:rsidRDefault="00000000">
          <w:pPr>
            <w:numPr>
              <w:ilvl w:val="0"/>
              <w:numId w:val="14"/>
            </w:numPr>
            <w:rPr>
              <w:color w:val="auto"/>
              <w:lang w:val="en-GB"/>
            </w:rPr>
          </w:pPr>
          <w:r>
            <w:rPr>
              <w:color w:val="auto"/>
              <w:lang w:val="en-GB"/>
            </w:rPr>
            <w:t>High level delivery schedule, test &amp; migration strategy</w:t>
          </w:r>
        </w:p>
        <w:p w14:paraId="51F69700" w14:textId="77777777" w:rsidR="007F6073" w:rsidRDefault="007F6073">
          <w:pPr>
            <w:rPr>
              <w:lang w:val="en-GB"/>
            </w:rPr>
          </w:pPr>
        </w:p>
        <w:p w14:paraId="75C76EC6" w14:textId="4DE80E95" w:rsidR="007F6073" w:rsidRDefault="00000000">
          <w:pPr>
            <w:rPr>
              <w:color w:val="auto"/>
              <w:lang w:val="en-GB"/>
            </w:rPr>
          </w:pPr>
          <w:r>
            <w:rPr>
              <w:color w:val="auto"/>
              <w:lang w:val="en-GB"/>
            </w:rPr>
            <w:t>Foundation phase</w:t>
          </w:r>
        </w:p>
        <w:p w14:paraId="7EF1AB92" w14:textId="23268C67" w:rsidR="007F6073" w:rsidRDefault="00000000">
          <w:pPr>
            <w:numPr>
              <w:ilvl w:val="0"/>
              <w:numId w:val="14"/>
            </w:numPr>
            <w:rPr>
              <w:color w:val="auto"/>
              <w:lang w:val="en-GB"/>
            </w:rPr>
          </w:pPr>
          <w:r>
            <w:rPr>
              <w:color w:val="auto"/>
              <w:lang w:val="en-GB"/>
            </w:rPr>
            <w:t>AWS environments with Hansen applications deployed and integrated as per architecture design</w:t>
          </w:r>
        </w:p>
        <w:p w14:paraId="184FF3CE" w14:textId="76BAAFF6" w:rsidR="007F6073" w:rsidRDefault="00000000">
          <w:pPr>
            <w:numPr>
              <w:ilvl w:val="0"/>
              <w:numId w:val="14"/>
            </w:numPr>
            <w:rPr>
              <w:color w:val="auto"/>
              <w:lang w:val="en-GB"/>
            </w:rPr>
          </w:pPr>
          <w:r>
            <w:rPr>
              <w:color w:val="auto"/>
              <w:lang w:val="en-GB"/>
            </w:rPr>
            <w:t>CI/CD pipeline</w:t>
          </w:r>
        </w:p>
        <w:p w14:paraId="4E48F1BD" w14:textId="31ABFEC8" w:rsidR="007F6073" w:rsidRDefault="00000000">
          <w:pPr>
            <w:numPr>
              <w:ilvl w:val="0"/>
              <w:numId w:val="14"/>
            </w:numPr>
            <w:rPr>
              <w:color w:val="auto"/>
              <w:lang w:val="en-GB"/>
            </w:rPr>
          </w:pPr>
          <w:r>
            <w:rPr>
              <w:color w:val="auto"/>
              <w:lang w:val="en-GB"/>
            </w:rPr>
            <w:t xml:space="preserve">Demo of end to end simplified user journey </w:t>
          </w:r>
        </w:p>
        <w:p w14:paraId="5F6EB993" w14:textId="77777777" w:rsidR="007F6073" w:rsidRDefault="00000000">
          <w:pPr>
            <w:numPr>
              <w:ilvl w:val="0"/>
              <w:numId w:val="14"/>
            </w:numPr>
            <w:rPr>
              <w:color w:val="auto"/>
              <w:lang w:val="en-GB"/>
            </w:rPr>
          </w:pPr>
          <w:r>
            <w:rPr>
              <w:color w:val="auto"/>
              <w:lang w:val="en-GB"/>
            </w:rPr>
            <w:t>Release strategy</w:t>
          </w:r>
        </w:p>
        <w:p w14:paraId="5011A154" w14:textId="77777777" w:rsidR="007F6073" w:rsidRDefault="007F6073">
          <w:pPr>
            <w:rPr>
              <w:lang w:val="en-GB"/>
            </w:rPr>
          </w:pPr>
        </w:p>
        <w:p w14:paraId="52D4707B" w14:textId="3306621C" w:rsidR="007F6073" w:rsidRDefault="00000000">
          <w:pPr>
            <w:rPr>
              <w:color w:val="auto"/>
              <w:lang w:val="en-GB"/>
            </w:rPr>
          </w:pPr>
          <w:r>
            <w:rPr>
              <w:color w:val="auto"/>
              <w:lang w:val="en-GB"/>
            </w:rPr>
            <w:t>MVP1 (Wholesale)</w:t>
          </w:r>
        </w:p>
        <w:p w14:paraId="1D64D41B" w14:textId="612A24E4" w:rsidR="007F6073" w:rsidRDefault="00000000">
          <w:pPr>
            <w:numPr>
              <w:ilvl w:val="0"/>
              <w:numId w:val="14"/>
            </w:numPr>
            <w:rPr>
              <w:color w:val="auto"/>
              <w:lang w:val="en-GB"/>
            </w:rPr>
          </w:pPr>
          <w:r>
            <w:rPr>
              <w:color w:val="auto"/>
              <w:lang w:val="en-GB"/>
            </w:rPr>
            <w:t>Set up of Vodaria Group's Wholesale products in Hansen Catalog, CPQ &amp; Order Manager</w:t>
          </w:r>
        </w:p>
        <w:p w14:paraId="4029CDC6" w14:textId="47A71DD4" w:rsidR="007F6073" w:rsidRDefault="00000000">
          <w:pPr>
            <w:numPr>
              <w:ilvl w:val="0"/>
              <w:numId w:val="14"/>
            </w:numPr>
            <w:rPr>
              <w:color w:val="auto"/>
              <w:lang w:val="en-GB"/>
            </w:rPr>
          </w:pPr>
          <w:r>
            <w:rPr>
              <w:color w:val="auto"/>
              <w:lang w:val="en-GB"/>
            </w:rPr>
            <w:t>Data migration</w:t>
          </w:r>
        </w:p>
        <w:p w14:paraId="5F369113" w14:textId="21678408" w:rsidR="007F6073" w:rsidRDefault="00000000">
          <w:pPr>
            <w:numPr>
              <w:ilvl w:val="0"/>
              <w:numId w:val="14"/>
            </w:numPr>
            <w:rPr>
              <w:color w:val="auto"/>
              <w:lang w:val="en-GB"/>
            </w:rPr>
          </w:pPr>
          <w:r>
            <w:rPr>
              <w:color w:val="auto"/>
              <w:lang w:val="en-GB"/>
            </w:rPr>
            <w:t>Unit &amp; QA test results with risk assessment</w:t>
          </w:r>
        </w:p>
        <w:p w14:paraId="52DB6CEF" w14:textId="1476D4E9" w:rsidR="007F6073" w:rsidRDefault="00000000">
          <w:pPr>
            <w:numPr>
              <w:ilvl w:val="0"/>
              <w:numId w:val="14"/>
            </w:numPr>
            <w:rPr>
              <w:color w:val="auto"/>
              <w:lang w:val="en-GB"/>
            </w:rPr>
          </w:pPr>
          <w:r>
            <w:rPr>
              <w:color w:val="auto"/>
              <w:lang w:val="en-GB"/>
            </w:rPr>
            <w:t>Release strategy</w:t>
          </w:r>
        </w:p>
        <w:p w14:paraId="5D94450D" w14:textId="77777777" w:rsidR="007F6073" w:rsidRDefault="007F6073">
          <w:pPr>
            <w:rPr>
              <w:lang w:val="en-GB"/>
            </w:rPr>
          </w:pPr>
        </w:p>
        <w:p w14:paraId="2CD975A8" w14:textId="133D78A3" w:rsidR="007F6073" w:rsidRDefault="00000000">
          <w:pPr>
            <w:rPr>
              <w:color w:val="auto"/>
              <w:lang w:val="en-GB"/>
            </w:rPr>
          </w:pPr>
          <w:r>
            <w:rPr>
              <w:color w:val="auto"/>
              <w:lang w:val="en-GB"/>
            </w:rPr>
            <w:t>MVP2 (Enterprise)</w:t>
          </w:r>
        </w:p>
        <w:p w14:paraId="2D838241" w14:textId="2D49898C" w:rsidR="007F6073" w:rsidRDefault="00000000">
          <w:pPr>
            <w:numPr>
              <w:ilvl w:val="0"/>
              <w:numId w:val="14"/>
            </w:numPr>
            <w:rPr>
              <w:color w:val="auto"/>
              <w:lang w:val="en-GB"/>
            </w:rPr>
          </w:pPr>
          <w:r>
            <w:rPr>
              <w:color w:val="auto"/>
              <w:lang w:val="en-GB"/>
            </w:rPr>
            <w:t>Set up of Vodaria Group's Enterprise products in Hansen Catalog, CPQ &amp; Order Manager</w:t>
          </w:r>
        </w:p>
        <w:p w14:paraId="2928B162" w14:textId="77777777" w:rsidR="007F6073" w:rsidRDefault="00000000">
          <w:pPr>
            <w:numPr>
              <w:ilvl w:val="0"/>
              <w:numId w:val="14"/>
            </w:numPr>
            <w:rPr>
              <w:color w:val="auto"/>
              <w:lang w:val="en-GB"/>
            </w:rPr>
          </w:pPr>
          <w:r>
            <w:rPr>
              <w:color w:val="auto"/>
              <w:lang w:val="en-GB"/>
            </w:rPr>
            <w:t>Data migration</w:t>
          </w:r>
        </w:p>
        <w:p w14:paraId="74FBB1C0" w14:textId="1B5350FF" w:rsidR="007F6073" w:rsidRDefault="00000000">
          <w:pPr>
            <w:numPr>
              <w:ilvl w:val="0"/>
              <w:numId w:val="14"/>
            </w:numPr>
            <w:rPr>
              <w:color w:val="auto"/>
              <w:lang w:val="en-GB"/>
            </w:rPr>
          </w:pPr>
          <w:r>
            <w:rPr>
              <w:color w:val="auto"/>
              <w:lang w:val="en-GB"/>
            </w:rPr>
            <w:t>Unit &amp; QA test results with risk assessment</w:t>
          </w:r>
        </w:p>
        <w:p w14:paraId="0C978BC3" w14:textId="11EE1080" w:rsidR="007F6073" w:rsidRDefault="00000000">
          <w:pPr>
            <w:numPr>
              <w:ilvl w:val="0"/>
              <w:numId w:val="14"/>
            </w:numPr>
            <w:rPr>
              <w:color w:val="auto"/>
              <w:lang w:val="en-GB"/>
            </w:rPr>
          </w:pPr>
          <w:r>
            <w:rPr>
              <w:color w:val="auto"/>
              <w:lang w:val="en-GB"/>
            </w:rPr>
            <w:t>Release strategy</w:t>
          </w:r>
        </w:p>
        <w:p w14:paraId="628B9E90" w14:textId="7E472E95" w:rsidR="007F6073" w:rsidRDefault="00000000">
          <w:pPr>
            <w:numPr>
              <w:ilvl w:val="0"/>
              <w:numId w:val="14"/>
            </w:numPr>
            <w:rPr>
              <w:color w:val="auto"/>
              <w:lang w:val="en-GB"/>
            </w:rPr>
          </w:pPr>
          <w:r>
            <w:rPr>
              <w:color w:val="auto"/>
              <w:lang w:val="en-GB"/>
            </w:rPr>
            <w:lastRenderedPageBreak/>
            <w:t>Post launch support</w:t>
          </w:r>
        </w:p>
        <w:p w14:paraId="3597503D" w14:textId="77777777" w:rsidR="007F6073" w:rsidRDefault="007F6073">
          <w:pPr>
            <w:rPr>
              <w:color w:val="auto"/>
              <w:lang w:val="en-GB"/>
            </w:rPr>
          </w:pPr>
        </w:p>
        <w:p w14:paraId="2FC9E545" w14:textId="1109604A" w:rsidR="007F6073" w:rsidRDefault="00000000">
          <w:pPr>
            <w:pStyle w:val="Heading2"/>
            <w:rPr>
              <w:color w:val="333333" w:themeColor="text2"/>
              <w:sz w:val="18"/>
            </w:rPr>
          </w:pPr>
          <w:bookmarkStart w:id="28" w:name="_Toc239002173"/>
          <w:r>
            <w:t>Success Criteria</w:t>
          </w:r>
          <w:bookmarkEnd w:id="28"/>
        </w:p>
        <w:p w14:paraId="5863AB74" w14:textId="77777777" w:rsidR="007F6073" w:rsidRDefault="00000000">
          <w:pPr>
            <w:rPr>
              <w:color w:val="auto"/>
              <w:lang w:val="en-GB"/>
            </w:rPr>
          </w:pPr>
          <w:r>
            <w:rPr>
              <w:color w:val="auto"/>
              <w:lang w:val="en-GB"/>
            </w:rPr>
            <w:t>The project will be deemed successful when the agreed scope is delivered on time and within budget, all acceptance criteria are achieved, stakeholders formally approve the solution, and the expected business benefits and operational outcomes are demonstrably realised.</w:t>
          </w:r>
        </w:p>
        <w:p w14:paraId="577E1C43" w14:textId="73FEDE45" w:rsidR="007F6073" w:rsidRDefault="00000000">
          <w:pPr>
            <w:numPr>
              <w:ilvl w:val="0"/>
              <w:numId w:val="15"/>
            </w:numPr>
            <w:rPr>
              <w:color w:val="auto"/>
              <w:lang w:val="en-GB"/>
            </w:rPr>
          </w:pPr>
          <w:r>
            <w:rPr>
              <w:color w:val="auto"/>
              <w:lang w:val="en-GB"/>
            </w:rPr>
            <w:t>Schedule performance – on time delivery of key milestones.</w:t>
          </w:r>
        </w:p>
        <w:p w14:paraId="1C0F2B4E" w14:textId="13A1F089" w:rsidR="007F6073" w:rsidRDefault="00000000">
          <w:pPr>
            <w:numPr>
              <w:ilvl w:val="0"/>
              <w:numId w:val="15"/>
            </w:numPr>
            <w:rPr>
              <w:color w:val="auto"/>
              <w:lang w:val="en-GB"/>
            </w:rPr>
          </w:pPr>
          <w:r>
            <w:rPr>
              <w:color w:val="auto"/>
              <w:lang w:val="en-GB"/>
            </w:rPr>
            <w:t>Budget performance – delivered within approved forecasted budget.</w:t>
          </w:r>
        </w:p>
        <w:p w14:paraId="0CFD1792" w14:textId="469567CC" w:rsidR="007F6073" w:rsidRDefault="00000000">
          <w:pPr>
            <w:numPr>
              <w:ilvl w:val="0"/>
              <w:numId w:val="15"/>
            </w:numPr>
            <w:rPr>
              <w:color w:val="auto"/>
              <w:lang w:val="en-GB"/>
            </w:rPr>
          </w:pPr>
          <w:r>
            <w:rPr>
              <w:color w:val="auto"/>
              <w:lang w:val="en-GB"/>
            </w:rPr>
            <w:t>Scope delivery – delivery meets SOW and any agreed changes.</w:t>
          </w:r>
        </w:p>
        <w:p w14:paraId="6BEAC338" w14:textId="6CBBE781" w:rsidR="007F6073" w:rsidRDefault="00000000">
          <w:pPr>
            <w:numPr>
              <w:ilvl w:val="0"/>
              <w:numId w:val="15"/>
            </w:numPr>
            <w:rPr>
              <w:color w:val="auto"/>
              <w:lang w:val="en-GB"/>
            </w:rPr>
          </w:pPr>
          <w:r>
            <w:rPr>
              <w:color w:val="auto"/>
              <w:lang w:val="en-GB"/>
            </w:rPr>
            <w:t>Quality – acceptance of quality criteria, UAT pass and risk items within agreed thresholds.</w:t>
          </w:r>
        </w:p>
        <w:p w14:paraId="647DF369" w14:textId="638A7AF1" w:rsidR="007F6073" w:rsidRDefault="00000000">
          <w:pPr>
            <w:numPr>
              <w:ilvl w:val="0"/>
              <w:numId w:val="15"/>
            </w:numPr>
            <w:rPr>
              <w:color w:val="auto"/>
              <w:lang w:val="en-GB"/>
            </w:rPr>
          </w:pPr>
          <w:r>
            <w:rPr>
              <w:color w:val="auto"/>
              <w:lang w:val="en-GB"/>
            </w:rPr>
            <w:t>Business outcomes validated at each phase to ensure alignment and formal sign off received with stakeholder satisfaction.</w:t>
          </w:r>
        </w:p>
        <w:p w14:paraId="76DE1DD8" w14:textId="69DCE454" w:rsidR="007F6073" w:rsidRDefault="00000000">
          <w:pPr>
            <w:numPr>
              <w:ilvl w:val="0"/>
              <w:numId w:val="15"/>
            </w:numPr>
            <w:rPr>
              <w:lang w:val="en-GB"/>
            </w:rPr>
          </w:pPr>
          <w:r>
            <w:rPr>
              <w:color w:val="auto"/>
              <w:lang w:val="en-GB"/>
            </w:rPr>
            <w:t>Operational readiness – User training, Support &amp; Maintenance model agreed and transition to BAU</w:t>
          </w:r>
          <w:r>
            <w:rPr>
              <w:lang w:val="en-GB"/>
            </w:rPr>
            <w:t>.</w:t>
          </w:r>
        </w:p>
        <w:p w14:paraId="103CAF43" w14:textId="77777777" w:rsidR="007F6073" w:rsidRDefault="007F6073"/>
        <w:p w14:paraId="62DD15E2" w14:textId="77777777" w:rsidR="007F6073" w:rsidRDefault="007F6073">
          <w:pPr>
            <w:pStyle w:val="ListParagraph"/>
            <w:keepNext/>
            <w:keepLines/>
            <w:numPr>
              <w:ilvl w:val="0"/>
              <w:numId w:val="13"/>
            </w:numPr>
            <w:pBdr>
              <w:left w:val="single" w:sz="24" w:space="12" w:color="E10D11"/>
            </w:pBdr>
            <w:tabs>
              <w:tab w:val="left" w:pos="360"/>
            </w:tabs>
            <w:spacing w:before="80" w:after="80" w:line="240" w:lineRule="auto"/>
            <w:outlineLvl w:val="0"/>
            <w:rPr>
              <w:rFonts w:asciiTheme="majorHAnsi" w:hAnsiTheme="majorHAnsi" w:cstheme="majorBidi"/>
              <w:b/>
              <w:vanish/>
              <w:color w:val="C00000"/>
              <w:spacing w:val="10"/>
              <w:sz w:val="36"/>
              <w:szCs w:val="36"/>
            </w:rPr>
          </w:pPr>
          <w:bookmarkStart w:id="29" w:name="_Toc236134295"/>
          <w:bookmarkStart w:id="30" w:name="_Toc236401823"/>
          <w:bookmarkStart w:id="31" w:name="_Toc237357147"/>
          <w:bookmarkStart w:id="32" w:name="_Toc237357295"/>
          <w:bookmarkStart w:id="33" w:name="_Toc237437959"/>
          <w:bookmarkStart w:id="34" w:name="_Toc237438152"/>
          <w:bookmarkStart w:id="35" w:name="_Toc237438349"/>
          <w:bookmarkStart w:id="36" w:name="_Toc237438487"/>
          <w:bookmarkStart w:id="37" w:name="_Toc237438631"/>
          <w:bookmarkStart w:id="38" w:name="_Toc237444432"/>
          <w:bookmarkStart w:id="39" w:name="_Toc237444551"/>
          <w:bookmarkStart w:id="40" w:name="_Toc238033189"/>
          <w:bookmarkStart w:id="41" w:name="_Toc238033467"/>
          <w:bookmarkStart w:id="42" w:name="_Toc238737573"/>
          <w:bookmarkStart w:id="43" w:name="_Toc238819847"/>
          <w:bookmarkStart w:id="44" w:name="_Toc238829155"/>
          <w:bookmarkStart w:id="45" w:name="_Toc238974465"/>
          <w:bookmarkStart w:id="46" w:name="_Toc238977129"/>
          <w:bookmarkStart w:id="47" w:name="_Toc238977467"/>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031C65A6" w14:textId="2FBFA052" w:rsidR="007F6073" w:rsidRDefault="00000000">
          <w:pPr>
            <w:pStyle w:val="Heading1"/>
          </w:pPr>
          <w:bookmarkStart w:id="48" w:name="_Toc239002174"/>
          <w:r>
            <w:t>Delivery Methodology &amp; Execution Model</w:t>
          </w:r>
          <w:bookmarkEnd w:id="48"/>
        </w:p>
        <w:p w14:paraId="1C5D3211" w14:textId="65762E6C" w:rsidR="007F6073" w:rsidRDefault="00000000">
          <w:pPr>
            <w:pStyle w:val="Heading2"/>
            <w:rPr>
              <w:color w:val="333333" w:themeColor="text2"/>
              <w:sz w:val="18"/>
            </w:rPr>
          </w:pPr>
          <w:bookmarkStart w:id="49" w:name="_Toc239002175"/>
          <w:r>
            <w:rPr>
              <w:lang w:val="en-GB"/>
            </w:rPr>
            <w:t>Business Outcome</w:t>
          </w:r>
          <w:bookmarkEnd w:id="49"/>
        </w:p>
        <w:p w14:paraId="053A38C5" w14:textId="28222277" w:rsidR="007F6073" w:rsidRDefault="00000000">
          <w:pPr>
            <w:rPr>
              <w:color w:val="auto"/>
              <w:lang w:val="en-GB"/>
            </w:rPr>
          </w:pPr>
          <w:r>
            <w:rPr>
              <w:color w:val="auto"/>
              <w:lang w:val="en-GB"/>
            </w:rPr>
            <w:t>Enable continuous validation of business requirements and operational readiness throughout delivery.</w:t>
          </w:r>
        </w:p>
        <w:p w14:paraId="7A1C2DAB" w14:textId="6328713C" w:rsidR="007F6073" w:rsidRDefault="00000000">
          <w:pPr>
            <w:rPr>
              <w:lang w:val="en-GB"/>
            </w:rPr>
          </w:pPr>
          <w:r>
            <w:rPr>
              <w:i/>
              <w:color w:val="7F7F7F"/>
            </w:rPr>
            <w:t>Figure: Vodaria target lead-to-order architecture (Hansen Catalog, CPQ, Order Management integrated with Salesforce CRM).</w:t>
          </w:r>
        </w:p>
        <w:p w14:paraId="38346322" w14:textId="1E76F952" w:rsidR="007F6073" w:rsidRDefault="00000000">
          <w:pPr>
            <w:rPr>
              <w:b/>
              <w:bCs/>
              <w:color w:val="333333" w:themeColor="text2"/>
              <w:sz w:val="18"/>
              <w:u w:val="single"/>
            </w:rPr>
          </w:pPr>
          <w:r>
            <w:rPr>
              <w:b/>
              <w:bCs/>
              <w:u w:val="single"/>
              <w:lang w:val="en-GB"/>
            </w:rPr>
            <w:t>Why This Matters to Vodaria Group</w:t>
          </w:r>
        </w:p>
        <w:p w14:paraId="74A4206C" w14:textId="2C0BC0E4" w:rsidR="007F6073" w:rsidRDefault="00000000">
          <w:pPr>
            <w:rPr>
              <w:color w:val="auto"/>
              <w:lang w:val="en-GB"/>
            </w:rPr>
          </w:pPr>
          <w:r>
            <w:rPr>
              <w:color w:val="auto"/>
              <w:lang w:val="en-GB"/>
            </w:rPr>
            <w:t>Complex enterprise processes evolve during delivery. A flexible but governed execution model ensures the solution remains aligned to Converged BSS Transformation objectives.</w:t>
          </w:r>
        </w:p>
        <w:p w14:paraId="154619E3" w14:textId="01DFCDC3" w:rsidR="007F6073" w:rsidRDefault="00000000">
          <w:pPr>
            <w:pStyle w:val="Heading2"/>
            <w:rPr>
              <w:color w:val="333333" w:themeColor="text2"/>
              <w:sz w:val="18"/>
            </w:rPr>
          </w:pPr>
          <w:bookmarkStart w:id="50" w:name="_Toc239002176"/>
          <w:r>
            <w:rPr>
              <w:lang w:val="en-GB"/>
            </w:rPr>
            <w:t>Hansen Approach</w:t>
          </w:r>
          <w:bookmarkEnd w:id="50"/>
        </w:p>
        <w:p w14:paraId="784D3F95" w14:textId="1A27DB3D" w:rsidR="007F6073" w:rsidRDefault="00000000">
          <w:pPr>
            <w:rPr>
              <w:color w:val="auto"/>
              <w:lang w:val="en-GB"/>
            </w:rPr>
          </w:pPr>
          <w:r>
            <w:rPr>
              <w:color w:val="auto"/>
              <w:lang w:val="en-GB"/>
            </w:rPr>
            <w:t>Hansen’s proven delivery approach ensures an iterative approach to deliver for success</w:t>
          </w:r>
        </w:p>
        <w:p w14:paraId="7CD43B2D" w14:textId="22C57C9E" w:rsidR="007F6073" w:rsidRDefault="00000000">
          <w:pPr>
            <w:rPr>
              <w:color w:val="auto"/>
              <w:lang w:val="en-GB"/>
            </w:rPr>
          </w:pPr>
          <w:r>
            <w:rPr>
              <w:i/>
              <w:color w:val="7F7F7F"/>
            </w:rPr>
            <w:t>Figure: Vodaria target lead-to-order architecture (Hansen Catalog, CPQ, Order Management integrated with Salesforce CRM).</w:t>
          </w:r>
        </w:p>
        <w:p w14:paraId="69E05734" w14:textId="110CAEB9" w:rsidR="007F6073" w:rsidRDefault="00000000">
          <w:pPr>
            <w:rPr>
              <w:color w:val="auto"/>
              <w:lang w:val="en-GB"/>
            </w:rPr>
          </w:pPr>
          <w:r>
            <w:rPr>
              <w:color w:val="auto"/>
              <w:lang w:val="en-GB"/>
            </w:rPr>
            <w:t>A phased hybrid approach ensures alignment with business requirements and expectations.</w:t>
          </w:r>
        </w:p>
        <w:p w14:paraId="2CEC9445" w14:textId="0E99E750" w:rsidR="007F6073" w:rsidRDefault="00000000">
          <w:pPr>
            <w:rPr>
              <w:color w:val="auto"/>
              <w:lang w:val="en-GB"/>
            </w:rPr>
          </w:pPr>
          <w:r>
            <w:rPr>
              <w:i/>
              <w:color w:val="7F7F7F"/>
            </w:rPr>
            <w:t>Figure: Vodaria target lead-to-order architecture (Hansen Catalog, CPQ, Order Management integrated with Salesforce CRM).</w:t>
          </w:r>
        </w:p>
        <w:p w14:paraId="6E7ECD6F" w14:textId="01E5743B" w:rsidR="007F6073" w:rsidRDefault="00000000">
          <w:pPr>
            <w:pStyle w:val="Heading2"/>
            <w:rPr>
              <w:color w:val="333333" w:themeColor="text2"/>
              <w:sz w:val="18"/>
            </w:rPr>
          </w:pPr>
          <w:bookmarkStart w:id="51" w:name="_Toc239002177"/>
          <w:r>
            <w:rPr>
              <w:lang w:val="en-GB"/>
            </w:rPr>
            <w:lastRenderedPageBreak/>
            <w:t>Delivery Responsibilities</w:t>
          </w:r>
          <w:bookmarkEnd w:id="51"/>
        </w:p>
        <w:p w14:paraId="0134907D" w14:textId="01D68BF0" w:rsidR="007F6073" w:rsidRDefault="00000000">
          <w:pPr>
            <w:rPr>
              <w:color w:val="auto"/>
              <w:lang w:val="en-GB"/>
            </w:rPr>
          </w:pPr>
          <w:r>
            <w:rPr>
              <w:color w:val="auto"/>
              <w:lang w:val="en-GB"/>
            </w:rPr>
            <w:t>High level summary for typical solution that includes Catalog, CPQ, OM &amp; PI</w:t>
          </w:r>
        </w:p>
        <w:p w14:paraId="3B6D5603" w14:textId="60EA4A7F" w:rsidR="007F6073" w:rsidRDefault="00000000">
          <w:pPr>
            <w:rPr>
              <w:lang w:val="en-GB"/>
            </w:rPr>
          </w:pPr>
          <w:r>
            <w:rPr>
              <w:i/>
              <w:color w:val="7F7F7F"/>
            </w:rPr>
            <w:t>Figure: Vodaria target lead-to-order architecture (Hansen Catalog, CPQ, Order Management integrated with Salesforce CRM).</w:t>
          </w:r>
        </w:p>
        <w:p w14:paraId="3778C945" w14:textId="38700C52" w:rsidR="007F6073" w:rsidRDefault="007F6073">
          <w:pPr>
            <w:ind w:left="720"/>
            <w:rPr>
              <w:lang w:val="en-GB"/>
            </w:rPr>
          </w:pPr>
        </w:p>
        <w:p w14:paraId="5ABB8D06" w14:textId="693F7196" w:rsidR="007F6073" w:rsidRDefault="00000000">
          <w:pPr>
            <w:pStyle w:val="Heading2"/>
            <w:rPr>
              <w:color w:val="333333" w:themeColor="text2"/>
              <w:sz w:val="18"/>
            </w:rPr>
          </w:pPr>
          <w:bookmarkStart w:id="52" w:name="_Toc239002178"/>
          <w:r>
            <w:t>Success Criteria</w:t>
          </w:r>
          <w:bookmarkEnd w:id="52"/>
        </w:p>
        <w:p w14:paraId="06282E9E" w14:textId="1F2E241D" w:rsidR="007F6073" w:rsidRDefault="00000000">
          <w:pPr>
            <w:numPr>
              <w:ilvl w:val="0"/>
              <w:numId w:val="15"/>
            </w:numPr>
            <w:rPr>
              <w:color w:val="auto"/>
              <w:lang w:val="en-GB"/>
            </w:rPr>
          </w:pPr>
          <w:r>
            <w:rPr>
              <w:color w:val="auto"/>
              <w:lang w:val="en-GB"/>
            </w:rPr>
            <w:t>Early validation of requirements</w:t>
          </w:r>
        </w:p>
        <w:p w14:paraId="60E5F879" w14:textId="2FB6553D" w:rsidR="007F6073" w:rsidRDefault="00000000">
          <w:pPr>
            <w:numPr>
              <w:ilvl w:val="0"/>
              <w:numId w:val="15"/>
            </w:numPr>
            <w:rPr>
              <w:color w:val="auto"/>
              <w:lang w:val="en-GB"/>
            </w:rPr>
          </w:pPr>
          <w:r>
            <w:rPr>
              <w:color w:val="auto"/>
              <w:lang w:val="en-GB"/>
            </w:rPr>
            <w:t>Reduced rework</w:t>
          </w:r>
        </w:p>
        <w:p w14:paraId="4E912243" w14:textId="030349D6" w:rsidR="007F6073" w:rsidRDefault="00000000">
          <w:pPr>
            <w:numPr>
              <w:ilvl w:val="0"/>
              <w:numId w:val="15"/>
            </w:numPr>
            <w:rPr>
              <w:color w:val="auto"/>
              <w:lang w:val="en-GB"/>
            </w:rPr>
          </w:pPr>
          <w:r>
            <w:rPr>
              <w:color w:val="auto"/>
              <w:lang w:val="en-GB"/>
            </w:rPr>
            <w:t>Stakeholder engagement</w:t>
          </w:r>
        </w:p>
        <w:p w14:paraId="30DC4D64" w14:textId="7A9802A9" w:rsidR="007F6073" w:rsidRDefault="00000000">
          <w:pPr>
            <w:numPr>
              <w:ilvl w:val="0"/>
              <w:numId w:val="15"/>
            </w:numPr>
            <w:rPr>
              <w:color w:val="auto"/>
              <w:lang w:val="en-GB"/>
            </w:rPr>
          </w:pPr>
          <w:r>
            <w:rPr>
              <w:color w:val="auto"/>
              <w:lang w:val="en-GB"/>
            </w:rPr>
            <w:t>Improved requirement maturity</w:t>
          </w:r>
        </w:p>
        <w:p w14:paraId="7DF727C6" w14:textId="77777777" w:rsidR="007F6073" w:rsidRDefault="007F6073">
          <w:pPr>
            <w:ind w:left="720"/>
            <w:rPr>
              <w:lang w:val="en-GB"/>
            </w:rPr>
          </w:pPr>
        </w:p>
        <w:p w14:paraId="6677E6EB" w14:textId="41F587FF" w:rsidR="007F6073" w:rsidRDefault="00000000">
          <w:pPr>
            <w:pStyle w:val="Heading1"/>
          </w:pPr>
          <w:bookmarkStart w:id="53" w:name="_Toc239002179"/>
          <w:r>
            <w:t>Governance Structure</w:t>
          </w:r>
          <w:bookmarkEnd w:id="53"/>
        </w:p>
        <w:p w14:paraId="2BA81DD0" w14:textId="036F08D3" w:rsidR="007F6073" w:rsidRDefault="00000000">
          <w:pPr>
            <w:pStyle w:val="Heading2"/>
            <w:rPr>
              <w:color w:val="333333" w:themeColor="text2"/>
              <w:sz w:val="18"/>
            </w:rPr>
          </w:pPr>
          <w:bookmarkStart w:id="54" w:name="_Toc239002180"/>
          <w:r>
            <w:rPr>
              <w:lang w:val="en-GB"/>
            </w:rPr>
            <w:t>Business Outcome</w:t>
          </w:r>
          <w:bookmarkEnd w:id="54"/>
        </w:p>
        <w:p w14:paraId="03DFEF0D" w14:textId="77777777" w:rsidR="007F6073" w:rsidRDefault="00000000">
          <w:pPr>
            <w:rPr>
              <w:color w:val="auto"/>
              <w:lang w:val="en-GB"/>
            </w:rPr>
          </w:pPr>
          <w:r>
            <w:rPr>
              <w:color w:val="auto"/>
              <w:lang w:val="en-GB"/>
            </w:rPr>
            <w:t>Provide transparency, accountability and executive control throughout the programme lifecycle.</w:t>
          </w:r>
        </w:p>
        <w:p w14:paraId="2765BA0E" w14:textId="0B3152F0" w:rsidR="007F6073" w:rsidRDefault="00000000">
          <w:r>
            <w:rPr>
              <w:i/>
              <w:color w:val="7F7F7F"/>
            </w:rPr>
            <w:t>Figure: Vodaria target lead-to-order architecture (Hansen Catalog, CPQ, Order Management integrated with Salesforce CRM).</w:t>
          </w:r>
        </w:p>
        <w:p w14:paraId="73A6D1A8" w14:textId="1A14727B" w:rsidR="007F6073" w:rsidRDefault="00000000">
          <w:pPr>
            <w:rPr>
              <w:b/>
              <w:bCs/>
              <w:color w:val="333333" w:themeColor="text2"/>
              <w:sz w:val="18"/>
              <w:u w:val="single"/>
            </w:rPr>
          </w:pPr>
          <w:r>
            <w:rPr>
              <w:b/>
              <w:bCs/>
              <w:u w:val="single"/>
              <w:lang w:val="en-GB"/>
            </w:rPr>
            <w:t>Why This Matters to Vodaria Group</w:t>
          </w:r>
        </w:p>
        <w:p w14:paraId="7248FCFB" w14:textId="319825C0" w:rsidR="007F6073" w:rsidRDefault="00000000">
          <w:pPr>
            <w:rPr>
              <w:color w:val="auto"/>
              <w:lang w:val="en-GB"/>
            </w:rPr>
          </w:pPr>
          <w:r>
            <w:rPr>
              <w:color w:val="auto"/>
              <w:lang w:val="en-GB"/>
            </w:rPr>
            <w:t>Converged BSS Transformation spans multiple business and technical domains requiring clear decision pathways and escalation processes.</w:t>
          </w:r>
        </w:p>
        <w:p w14:paraId="0C0BE7FF" w14:textId="55B22931" w:rsidR="007F6073" w:rsidRDefault="00000000">
          <w:pPr>
            <w:pStyle w:val="Heading2"/>
            <w:rPr>
              <w:color w:val="333333" w:themeColor="text2"/>
              <w:sz w:val="18"/>
            </w:rPr>
          </w:pPr>
          <w:bookmarkStart w:id="55" w:name="_Toc239002181"/>
          <w:r>
            <w:rPr>
              <w:lang w:val="en-GB"/>
            </w:rPr>
            <w:t>Hansen Approach</w:t>
          </w:r>
          <w:bookmarkEnd w:id="55"/>
        </w:p>
        <w:p w14:paraId="2060E903" w14:textId="6FF20BD4" w:rsidR="007F6073" w:rsidRDefault="00000000">
          <w:pPr>
            <w:rPr>
              <w:color w:val="auto"/>
              <w:lang w:val="en-GB"/>
            </w:rPr>
          </w:pPr>
          <w:r>
            <w:rPr>
              <w:color w:val="auto"/>
              <w:lang w:val="en-GB"/>
            </w:rPr>
            <w:t>Governance forums should focus not only on delivery progress but also on achievement of Converged BSS Transformation business outcomes, alignment across Salesforce CRM and downstream fulfilment workstreams, and management of cross-programme dependencies.</w:t>
          </w:r>
        </w:p>
        <w:p w14:paraId="74779192" w14:textId="2EE332E4" w:rsidR="007F6073" w:rsidRDefault="00000000">
          <w:pPr>
            <w:pStyle w:val="Heading2"/>
            <w:rPr>
              <w:color w:val="333333" w:themeColor="text2"/>
              <w:sz w:val="18"/>
            </w:rPr>
          </w:pPr>
          <w:bookmarkStart w:id="56" w:name="_Toc239002182"/>
          <w:r>
            <w:rPr>
              <w:lang w:val="en-GB"/>
            </w:rPr>
            <w:t>Key Deliverables</w:t>
          </w:r>
          <w:bookmarkEnd w:id="56"/>
        </w:p>
        <w:p w14:paraId="34021052" w14:textId="716981CC" w:rsidR="007F6073" w:rsidRDefault="00000000">
          <w:pPr>
            <w:numPr>
              <w:ilvl w:val="0"/>
              <w:numId w:val="14"/>
            </w:numPr>
            <w:rPr>
              <w:color w:val="auto"/>
              <w:lang w:val="en-GB"/>
            </w:rPr>
          </w:pPr>
          <w:r>
            <w:rPr>
              <w:color w:val="auto"/>
              <w:lang w:val="en-GB"/>
            </w:rPr>
            <w:t>Governance charter</w:t>
          </w:r>
        </w:p>
        <w:p w14:paraId="4E38E1DF" w14:textId="2E92770D" w:rsidR="007F6073" w:rsidRDefault="00000000">
          <w:pPr>
            <w:numPr>
              <w:ilvl w:val="0"/>
              <w:numId w:val="14"/>
            </w:numPr>
            <w:rPr>
              <w:color w:val="auto"/>
              <w:lang w:val="en-GB"/>
            </w:rPr>
          </w:pPr>
          <w:r>
            <w:rPr>
              <w:color w:val="auto"/>
              <w:lang w:val="en-GB"/>
            </w:rPr>
            <w:t>Steering committee</w:t>
          </w:r>
        </w:p>
        <w:p w14:paraId="773DF7CF" w14:textId="65D45C25" w:rsidR="007F6073" w:rsidRDefault="00000000">
          <w:pPr>
            <w:numPr>
              <w:ilvl w:val="0"/>
              <w:numId w:val="14"/>
            </w:numPr>
            <w:rPr>
              <w:color w:val="auto"/>
              <w:lang w:val="en-GB"/>
            </w:rPr>
          </w:pPr>
          <w:r>
            <w:rPr>
              <w:color w:val="auto"/>
              <w:lang w:val="en-GB"/>
            </w:rPr>
            <w:t>Design authority</w:t>
          </w:r>
        </w:p>
        <w:p w14:paraId="1F58AB33" w14:textId="23B585F6" w:rsidR="007F6073" w:rsidRDefault="00000000">
          <w:pPr>
            <w:numPr>
              <w:ilvl w:val="0"/>
              <w:numId w:val="14"/>
            </w:numPr>
            <w:rPr>
              <w:color w:val="auto"/>
              <w:lang w:val="en-GB"/>
            </w:rPr>
          </w:pPr>
          <w:r>
            <w:rPr>
              <w:color w:val="auto"/>
              <w:lang w:val="en-GB"/>
            </w:rPr>
            <w:t>RAID process</w:t>
          </w:r>
        </w:p>
        <w:p w14:paraId="27AC85B1" w14:textId="22C75986" w:rsidR="007F6073" w:rsidRDefault="00000000">
          <w:pPr>
            <w:numPr>
              <w:ilvl w:val="0"/>
              <w:numId w:val="14"/>
            </w:numPr>
            <w:rPr>
              <w:color w:val="auto"/>
              <w:lang w:val="en-GB"/>
            </w:rPr>
          </w:pPr>
          <w:r>
            <w:rPr>
              <w:color w:val="auto"/>
              <w:lang w:val="en-GB"/>
            </w:rPr>
            <w:t>Decision register</w:t>
          </w:r>
        </w:p>
        <w:p w14:paraId="46125FE2" w14:textId="5D24127E" w:rsidR="007F6073" w:rsidRDefault="00000000">
          <w:pPr>
            <w:pStyle w:val="Heading2"/>
            <w:rPr>
              <w:color w:val="333333" w:themeColor="text2"/>
              <w:sz w:val="18"/>
            </w:rPr>
          </w:pPr>
          <w:bookmarkStart w:id="57" w:name="_Toc239002183"/>
          <w:r>
            <w:lastRenderedPageBreak/>
            <w:t>Success Criteria</w:t>
          </w:r>
          <w:bookmarkEnd w:id="57"/>
        </w:p>
        <w:p w14:paraId="56069071" w14:textId="77777777" w:rsidR="007F6073" w:rsidRDefault="00000000">
          <w:pPr>
            <w:rPr>
              <w:color w:val="auto"/>
              <w:lang w:val="en-GB"/>
            </w:rPr>
          </w:pPr>
          <w:r>
            <w:rPr>
              <w:b/>
              <w:bCs/>
              <w:lang w:val="en-GB"/>
            </w:rPr>
            <w:t xml:space="preserve">1. </w:t>
          </w:r>
          <w:r>
            <w:rPr>
              <w:color w:val="auto"/>
              <w:lang w:val="en-GB"/>
            </w:rPr>
            <w:t>Strategic Alignment</w:t>
          </w:r>
        </w:p>
        <w:p w14:paraId="54E0172A" w14:textId="77777777" w:rsidR="007F6073" w:rsidRDefault="00000000">
          <w:pPr>
            <w:numPr>
              <w:ilvl w:val="0"/>
              <w:numId w:val="22"/>
            </w:numPr>
            <w:rPr>
              <w:color w:val="auto"/>
              <w:lang w:val="en-GB"/>
            </w:rPr>
          </w:pPr>
          <w:r>
            <w:rPr>
              <w:color w:val="auto"/>
              <w:lang w:val="en-GB"/>
            </w:rPr>
            <w:t>Governance forums support delivery of business objectives.</w:t>
          </w:r>
        </w:p>
        <w:p w14:paraId="33E5977A" w14:textId="77777777" w:rsidR="007F6073" w:rsidRDefault="00000000">
          <w:pPr>
            <w:numPr>
              <w:ilvl w:val="0"/>
              <w:numId w:val="22"/>
            </w:numPr>
            <w:rPr>
              <w:color w:val="auto"/>
              <w:lang w:val="en-GB"/>
            </w:rPr>
          </w:pPr>
          <w:r>
            <w:rPr>
              <w:color w:val="auto"/>
              <w:lang w:val="en-GB"/>
            </w:rPr>
            <w:t>Decisions align with programme, portfolio, and organisational priorities.</w:t>
          </w:r>
        </w:p>
        <w:p w14:paraId="09F0E868" w14:textId="77777777" w:rsidR="007F6073" w:rsidRDefault="00000000">
          <w:pPr>
            <w:numPr>
              <w:ilvl w:val="0"/>
              <w:numId w:val="22"/>
            </w:numPr>
            <w:rPr>
              <w:color w:val="auto"/>
              <w:lang w:val="en-GB"/>
            </w:rPr>
          </w:pPr>
          <w:r>
            <w:rPr>
              <w:color w:val="auto"/>
              <w:lang w:val="en-GB"/>
            </w:rPr>
            <w:t>Executive sponsorship remains active and engaged.</w:t>
          </w:r>
        </w:p>
        <w:p w14:paraId="7A10A363" w14:textId="77777777" w:rsidR="007F6073" w:rsidRDefault="00000000">
          <w:pPr>
            <w:rPr>
              <w:color w:val="auto"/>
              <w:lang w:val="en-GB"/>
            </w:rPr>
          </w:pPr>
          <w:r>
            <w:rPr>
              <w:color w:val="auto"/>
              <w:lang w:val="en-GB"/>
            </w:rPr>
            <w:t>2. Clear Roles and Accountability</w:t>
          </w:r>
        </w:p>
        <w:p w14:paraId="6B590359" w14:textId="77777777" w:rsidR="007F6073" w:rsidRDefault="00000000">
          <w:pPr>
            <w:numPr>
              <w:ilvl w:val="0"/>
              <w:numId w:val="23"/>
            </w:numPr>
            <w:rPr>
              <w:color w:val="auto"/>
              <w:lang w:val="en-GB"/>
            </w:rPr>
          </w:pPr>
          <w:r>
            <w:rPr>
              <w:color w:val="auto"/>
              <w:lang w:val="en-GB"/>
            </w:rPr>
            <w:t>Roles and responsibilities are formally defined and understood.</w:t>
          </w:r>
        </w:p>
        <w:p w14:paraId="50E26D3C" w14:textId="77777777" w:rsidR="007F6073" w:rsidRDefault="00000000">
          <w:pPr>
            <w:numPr>
              <w:ilvl w:val="0"/>
              <w:numId w:val="23"/>
            </w:numPr>
            <w:rPr>
              <w:color w:val="auto"/>
              <w:lang w:val="en-GB"/>
            </w:rPr>
          </w:pPr>
          <w:r>
            <w:rPr>
              <w:color w:val="auto"/>
              <w:lang w:val="en-GB"/>
            </w:rPr>
            <w:t>Decision-making authority is documented (RACI, Delegations of Authority).</w:t>
          </w:r>
        </w:p>
        <w:p w14:paraId="19857309" w14:textId="4A2C1BE6" w:rsidR="007F6073" w:rsidRDefault="00000000">
          <w:pPr>
            <w:numPr>
              <w:ilvl w:val="0"/>
              <w:numId w:val="23"/>
            </w:numPr>
            <w:rPr>
              <w:color w:val="auto"/>
              <w:lang w:val="en-GB"/>
            </w:rPr>
          </w:pPr>
          <w:r>
            <w:rPr>
              <w:color w:val="auto"/>
              <w:lang w:val="en-GB"/>
            </w:rPr>
            <w:t xml:space="preserve">Escalation paths are clear and consistently followed. </w:t>
          </w:r>
        </w:p>
        <w:p w14:paraId="2F9AEAC0" w14:textId="77777777" w:rsidR="007F6073" w:rsidRDefault="00000000">
          <w:pPr>
            <w:rPr>
              <w:color w:val="auto"/>
              <w:lang w:val="en-GB"/>
            </w:rPr>
          </w:pPr>
          <w:r>
            <w:rPr>
              <w:color w:val="auto"/>
              <w:lang w:val="en-GB"/>
            </w:rPr>
            <w:t>3. Effective Decision-Making</w:t>
          </w:r>
        </w:p>
        <w:p w14:paraId="652C905B" w14:textId="77777777" w:rsidR="007F6073" w:rsidRDefault="00000000">
          <w:pPr>
            <w:numPr>
              <w:ilvl w:val="0"/>
              <w:numId w:val="24"/>
            </w:numPr>
            <w:rPr>
              <w:color w:val="auto"/>
              <w:lang w:val="en-GB"/>
            </w:rPr>
          </w:pPr>
          <w:r>
            <w:rPr>
              <w:color w:val="auto"/>
              <w:lang w:val="en-GB"/>
            </w:rPr>
            <w:t>Decisions are made within agreed timescales.</w:t>
          </w:r>
        </w:p>
        <w:p w14:paraId="79AACD45" w14:textId="77777777" w:rsidR="007F6073" w:rsidRDefault="00000000">
          <w:pPr>
            <w:numPr>
              <w:ilvl w:val="0"/>
              <w:numId w:val="24"/>
            </w:numPr>
            <w:rPr>
              <w:color w:val="auto"/>
              <w:lang w:val="en-GB"/>
            </w:rPr>
          </w:pPr>
          <w:r>
            <w:rPr>
              <w:color w:val="auto"/>
              <w:lang w:val="en-GB"/>
            </w:rPr>
            <w:t>Minimal delays caused by governance approvals.</w:t>
          </w:r>
        </w:p>
        <w:p w14:paraId="2891C495" w14:textId="1FC45636" w:rsidR="007F6073" w:rsidRDefault="00000000">
          <w:pPr>
            <w:numPr>
              <w:ilvl w:val="0"/>
              <w:numId w:val="24"/>
            </w:numPr>
            <w:rPr>
              <w:color w:val="auto"/>
              <w:lang w:val="en-GB"/>
            </w:rPr>
          </w:pPr>
          <w:r>
            <w:rPr>
              <w:color w:val="auto"/>
              <w:lang w:val="en-GB"/>
            </w:rPr>
            <w:t xml:space="preserve">Decisions are documented, communicated, and tracked to completion. </w:t>
          </w:r>
        </w:p>
        <w:p w14:paraId="7B2F4CFC" w14:textId="77777777" w:rsidR="007F6073" w:rsidRDefault="00000000">
          <w:pPr>
            <w:rPr>
              <w:color w:val="auto"/>
              <w:lang w:val="en-GB"/>
            </w:rPr>
          </w:pPr>
          <w:r>
            <w:rPr>
              <w:color w:val="auto"/>
              <w:lang w:val="en-GB"/>
            </w:rPr>
            <w:t>4. Risk and Issue Control</w:t>
          </w:r>
        </w:p>
        <w:p w14:paraId="60A95CFA" w14:textId="77777777" w:rsidR="007F6073" w:rsidRDefault="00000000">
          <w:pPr>
            <w:numPr>
              <w:ilvl w:val="0"/>
              <w:numId w:val="25"/>
            </w:numPr>
            <w:rPr>
              <w:color w:val="auto"/>
              <w:lang w:val="en-GB"/>
            </w:rPr>
          </w:pPr>
          <w:r>
            <w:rPr>
              <w:color w:val="auto"/>
              <w:lang w:val="en-GB"/>
            </w:rPr>
            <w:t>Risks and issues are identified early and managed proactively.</w:t>
          </w:r>
        </w:p>
        <w:p w14:paraId="5C60BF5B" w14:textId="77777777" w:rsidR="007F6073" w:rsidRDefault="00000000">
          <w:pPr>
            <w:numPr>
              <w:ilvl w:val="0"/>
              <w:numId w:val="25"/>
            </w:numPr>
            <w:rPr>
              <w:color w:val="auto"/>
              <w:lang w:val="en-GB"/>
            </w:rPr>
          </w:pPr>
          <w:r>
            <w:rPr>
              <w:color w:val="auto"/>
              <w:lang w:val="en-GB"/>
            </w:rPr>
            <w:t>Governance boards review RAID logs regularly.</w:t>
          </w:r>
        </w:p>
        <w:p w14:paraId="0699EC6A" w14:textId="258FFC07" w:rsidR="007F6073" w:rsidRDefault="00000000">
          <w:pPr>
            <w:numPr>
              <w:ilvl w:val="0"/>
              <w:numId w:val="25"/>
            </w:numPr>
            <w:rPr>
              <w:color w:val="auto"/>
              <w:lang w:val="en-GB"/>
            </w:rPr>
          </w:pPr>
          <w:r>
            <w:rPr>
              <w:color w:val="auto"/>
              <w:lang w:val="en-GB"/>
            </w:rPr>
            <w:t xml:space="preserve">Escalations are resolved within agreed SLAs. </w:t>
          </w:r>
        </w:p>
        <w:p w14:paraId="5A0F56A1" w14:textId="77777777" w:rsidR="007F6073" w:rsidRDefault="00000000">
          <w:pPr>
            <w:rPr>
              <w:color w:val="auto"/>
              <w:lang w:val="en-GB"/>
            </w:rPr>
          </w:pPr>
          <w:r>
            <w:rPr>
              <w:color w:val="auto"/>
              <w:lang w:val="en-GB"/>
            </w:rPr>
            <w:t>5. Stakeholder Engagement</w:t>
          </w:r>
        </w:p>
        <w:p w14:paraId="197B3A34" w14:textId="77777777" w:rsidR="007F6073" w:rsidRDefault="00000000">
          <w:pPr>
            <w:numPr>
              <w:ilvl w:val="0"/>
              <w:numId w:val="26"/>
            </w:numPr>
            <w:rPr>
              <w:color w:val="auto"/>
              <w:lang w:val="en-GB"/>
            </w:rPr>
          </w:pPr>
          <w:r>
            <w:rPr>
              <w:color w:val="auto"/>
              <w:lang w:val="en-GB"/>
            </w:rPr>
            <w:t>Appropriate stakeholder representation at each governance level.</w:t>
          </w:r>
        </w:p>
        <w:p w14:paraId="27749CF5" w14:textId="77777777" w:rsidR="007F6073" w:rsidRDefault="00000000">
          <w:pPr>
            <w:numPr>
              <w:ilvl w:val="0"/>
              <w:numId w:val="26"/>
            </w:numPr>
            <w:rPr>
              <w:color w:val="auto"/>
              <w:lang w:val="en-GB"/>
            </w:rPr>
          </w:pPr>
          <w:r>
            <w:rPr>
              <w:color w:val="auto"/>
              <w:lang w:val="en-GB"/>
            </w:rPr>
            <w:t>High attendance and participation in governance forums.</w:t>
          </w:r>
        </w:p>
        <w:p w14:paraId="3FB62218" w14:textId="77777777" w:rsidR="007F6073" w:rsidRDefault="00000000">
          <w:pPr>
            <w:numPr>
              <w:ilvl w:val="0"/>
              <w:numId w:val="26"/>
            </w:numPr>
            <w:rPr>
              <w:color w:val="auto"/>
              <w:lang w:val="en-GB"/>
            </w:rPr>
          </w:pPr>
          <w:r>
            <w:rPr>
              <w:color w:val="auto"/>
              <w:lang w:val="en-GB"/>
            </w:rPr>
            <w:t>Stakeholder satisfaction with communication and governance processes.</w:t>
          </w:r>
        </w:p>
        <w:p w14:paraId="4946CA4F" w14:textId="77777777" w:rsidR="007F6073" w:rsidRDefault="00000000">
          <w:pPr>
            <w:rPr>
              <w:color w:val="auto"/>
              <w:lang w:val="en-GB"/>
            </w:rPr>
          </w:pPr>
          <w:r>
            <w:rPr>
              <w:color w:val="auto"/>
              <w:lang w:val="en-GB"/>
            </w:rPr>
            <w:t>6. Change Management Effectiveness</w:t>
          </w:r>
        </w:p>
        <w:p w14:paraId="3BCC1F80" w14:textId="77777777" w:rsidR="007F6073" w:rsidRDefault="00000000">
          <w:pPr>
            <w:numPr>
              <w:ilvl w:val="0"/>
              <w:numId w:val="27"/>
            </w:numPr>
            <w:rPr>
              <w:color w:val="auto"/>
              <w:lang w:val="en-GB"/>
            </w:rPr>
          </w:pPr>
          <w:r>
            <w:rPr>
              <w:color w:val="auto"/>
              <w:lang w:val="en-GB"/>
            </w:rPr>
            <w:t>All material scope, budget, or timeline changes follow agreed change control processes.</w:t>
          </w:r>
        </w:p>
        <w:p w14:paraId="20E1536F" w14:textId="77777777" w:rsidR="007F6073" w:rsidRDefault="00000000">
          <w:pPr>
            <w:numPr>
              <w:ilvl w:val="0"/>
              <w:numId w:val="27"/>
            </w:numPr>
            <w:rPr>
              <w:color w:val="auto"/>
              <w:lang w:val="en-GB"/>
            </w:rPr>
          </w:pPr>
          <w:r>
            <w:rPr>
              <w:color w:val="auto"/>
              <w:lang w:val="en-GB"/>
            </w:rPr>
            <w:t>Change decisions are made promptly.</w:t>
          </w:r>
        </w:p>
        <w:p w14:paraId="7F4A8C4E" w14:textId="3374DEB1" w:rsidR="007F6073" w:rsidRDefault="00000000">
          <w:pPr>
            <w:numPr>
              <w:ilvl w:val="0"/>
              <w:numId w:val="27"/>
            </w:numPr>
            <w:rPr>
              <w:color w:val="auto"/>
              <w:lang w:val="en-GB"/>
            </w:rPr>
          </w:pPr>
          <w:r>
            <w:rPr>
              <w:color w:val="auto"/>
              <w:lang w:val="en-GB"/>
            </w:rPr>
            <w:t xml:space="preserve">Audit trail exists for all approved changes. </w:t>
          </w:r>
        </w:p>
        <w:p w14:paraId="69F59B5F" w14:textId="77777777" w:rsidR="007F6073" w:rsidRDefault="00000000">
          <w:pPr>
            <w:rPr>
              <w:color w:val="auto"/>
              <w:lang w:val="en-GB"/>
            </w:rPr>
          </w:pPr>
          <w:r>
            <w:rPr>
              <w:color w:val="auto"/>
              <w:lang w:val="en-GB"/>
            </w:rPr>
            <w:t>7. Reporting and Transparency</w:t>
          </w:r>
        </w:p>
        <w:p w14:paraId="0E568247" w14:textId="77777777" w:rsidR="007F6073" w:rsidRDefault="00000000">
          <w:pPr>
            <w:numPr>
              <w:ilvl w:val="0"/>
              <w:numId w:val="28"/>
            </w:numPr>
            <w:rPr>
              <w:color w:val="auto"/>
              <w:lang w:val="en-GB"/>
            </w:rPr>
          </w:pPr>
          <w:r>
            <w:rPr>
              <w:color w:val="auto"/>
              <w:lang w:val="en-GB"/>
            </w:rPr>
            <w:t>Regular reporting cadence maintained.</w:t>
          </w:r>
        </w:p>
        <w:p w14:paraId="27D08D73" w14:textId="77777777" w:rsidR="007F6073" w:rsidRDefault="00000000">
          <w:pPr>
            <w:numPr>
              <w:ilvl w:val="0"/>
              <w:numId w:val="28"/>
            </w:numPr>
            <w:rPr>
              <w:color w:val="auto"/>
              <w:lang w:val="en-GB"/>
            </w:rPr>
          </w:pPr>
          <w:r>
            <w:rPr>
              <w:color w:val="auto"/>
              <w:lang w:val="en-GB"/>
            </w:rPr>
            <w:lastRenderedPageBreak/>
            <w:t>Accurate and timely status reporting.</w:t>
          </w:r>
        </w:p>
        <w:p w14:paraId="06CF3C56" w14:textId="07145E5E" w:rsidR="007F6073" w:rsidRDefault="00000000">
          <w:pPr>
            <w:numPr>
              <w:ilvl w:val="0"/>
              <w:numId w:val="28"/>
            </w:numPr>
            <w:rPr>
              <w:color w:val="auto"/>
              <w:lang w:val="en-GB"/>
            </w:rPr>
          </w:pPr>
          <w:r>
            <w:rPr>
              <w:color w:val="auto"/>
              <w:lang w:val="en-GB"/>
            </w:rPr>
            <w:t xml:space="preserve">KPIs, financials, risks, and milestones visible to stakeholders. </w:t>
          </w:r>
        </w:p>
        <w:p w14:paraId="574A74A0" w14:textId="77777777" w:rsidR="007F6073" w:rsidRDefault="00000000">
          <w:pPr>
            <w:rPr>
              <w:color w:val="auto"/>
              <w:lang w:val="en-GB"/>
            </w:rPr>
          </w:pPr>
          <w:r>
            <w:rPr>
              <w:color w:val="auto"/>
              <w:lang w:val="en-GB"/>
            </w:rPr>
            <w:t>8. Compliance and Assurance</w:t>
          </w:r>
        </w:p>
        <w:p w14:paraId="5E68FF9B" w14:textId="77777777" w:rsidR="007F6073" w:rsidRDefault="00000000">
          <w:pPr>
            <w:numPr>
              <w:ilvl w:val="0"/>
              <w:numId w:val="29"/>
            </w:numPr>
            <w:rPr>
              <w:color w:val="auto"/>
              <w:lang w:val="en-GB"/>
            </w:rPr>
          </w:pPr>
          <w:r>
            <w:rPr>
              <w:color w:val="auto"/>
              <w:lang w:val="en-GB"/>
            </w:rPr>
            <w:t>Governance processes comply with organisational standards.</w:t>
          </w:r>
        </w:p>
        <w:p w14:paraId="7D22C335" w14:textId="77777777" w:rsidR="007F6073" w:rsidRDefault="00000000">
          <w:pPr>
            <w:numPr>
              <w:ilvl w:val="0"/>
              <w:numId w:val="29"/>
            </w:numPr>
            <w:rPr>
              <w:color w:val="auto"/>
              <w:lang w:val="en-GB"/>
            </w:rPr>
          </w:pPr>
          <w:r>
            <w:rPr>
              <w:color w:val="auto"/>
              <w:lang w:val="en-GB"/>
            </w:rPr>
            <w:t>Stage-gate reviews completed successfully.</w:t>
          </w:r>
        </w:p>
        <w:p w14:paraId="39A7C9A8" w14:textId="4A5F044A" w:rsidR="007F6073" w:rsidRDefault="00000000">
          <w:pPr>
            <w:numPr>
              <w:ilvl w:val="0"/>
              <w:numId w:val="29"/>
            </w:numPr>
            <w:rPr>
              <w:color w:val="auto"/>
              <w:lang w:val="en-GB"/>
            </w:rPr>
          </w:pPr>
          <w:r>
            <w:rPr>
              <w:color w:val="auto"/>
              <w:lang w:val="en-GB"/>
            </w:rPr>
            <w:t xml:space="preserve">Audit findings and non-compliances are addressed promptly. </w:t>
          </w:r>
        </w:p>
        <w:p w14:paraId="74F0002E" w14:textId="77777777" w:rsidR="007F6073" w:rsidRDefault="00000000">
          <w:pPr>
            <w:rPr>
              <w:color w:val="auto"/>
              <w:lang w:val="en-GB"/>
            </w:rPr>
          </w:pPr>
          <w:r>
            <w:rPr>
              <w:color w:val="auto"/>
              <w:lang w:val="en-GB"/>
            </w:rPr>
            <w:t>9. Delivery Performance</w:t>
          </w:r>
        </w:p>
        <w:p w14:paraId="3643CFDC" w14:textId="77777777" w:rsidR="007F6073" w:rsidRDefault="00000000">
          <w:pPr>
            <w:numPr>
              <w:ilvl w:val="0"/>
              <w:numId w:val="30"/>
            </w:numPr>
            <w:rPr>
              <w:color w:val="auto"/>
              <w:lang w:val="en-GB"/>
            </w:rPr>
          </w:pPr>
          <w:r>
            <w:rPr>
              <w:color w:val="auto"/>
              <w:lang w:val="en-GB"/>
            </w:rPr>
            <w:t>Projects deliver on time, within budget, and to agreed quality levels.</w:t>
          </w:r>
        </w:p>
        <w:p w14:paraId="6289FB2B" w14:textId="77777777" w:rsidR="007F6073" w:rsidRDefault="00000000">
          <w:pPr>
            <w:numPr>
              <w:ilvl w:val="0"/>
              <w:numId w:val="30"/>
            </w:numPr>
            <w:rPr>
              <w:color w:val="auto"/>
              <w:lang w:val="en-GB"/>
            </w:rPr>
          </w:pPr>
          <w:r>
            <w:rPr>
              <w:color w:val="auto"/>
              <w:lang w:val="en-GB"/>
            </w:rPr>
            <w:t>Benefits realisation targets achieved.</w:t>
          </w:r>
        </w:p>
        <w:p w14:paraId="62758F10" w14:textId="77777777" w:rsidR="007F6073" w:rsidRDefault="00000000">
          <w:pPr>
            <w:numPr>
              <w:ilvl w:val="0"/>
              <w:numId w:val="30"/>
            </w:numPr>
            <w:rPr>
              <w:color w:val="auto"/>
              <w:lang w:val="en-GB"/>
            </w:rPr>
          </w:pPr>
          <w:r>
            <w:rPr>
              <w:color w:val="auto"/>
              <w:lang w:val="en-GB"/>
            </w:rPr>
            <w:t>Customer and stakeholder satisfaction targets met.</w:t>
          </w:r>
        </w:p>
        <w:p w14:paraId="18FC0979" w14:textId="77777777" w:rsidR="007F6073" w:rsidRDefault="007F6073"/>
        <w:p w14:paraId="18042D3E" w14:textId="4BE6586B" w:rsidR="007F6073" w:rsidRDefault="00000000">
          <w:pPr>
            <w:pStyle w:val="Heading1"/>
          </w:pPr>
          <w:bookmarkStart w:id="58" w:name="_Toc239002184"/>
          <w:r>
            <w:t>Roles &amp; Responsibilities / RACI</w:t>
          </w:r>
          <w:bookmarkEnd w:id="58"/>
        </w:p>
        <w:p w14:paraId="7D34D17A" w14:textId="5EDAE93F" w:rsidR="007F6073" w:rsidRDefault="00000000">
          <w:pPr>
            <w:pStyle w:val="Heading2"/>
            <w:rPr>
              <w:color w:val="333333" w:themeColor="text2"/>
              <w:sz w:val="18"/>
            </w:rPr>
          </w:pPr>
          <w:bookmarkStart w:id="59" w:name="_Toc239002185"/>
          <w:r>
            <w:rPr>
              <w:lang w:val="en-GB"/>
            </w:rPr>
            <w:t>Business Outcome</w:t>
          </w:r>
          <w:bookmarkEnd w:id="59"/>
        </w:p>
        <w:p w14:paraId="50726405" w14:textId="5E01FD95" w:rsidR="007F6073" w:rsidRDefault="00000000">
          <w:pPr>
            <w:rPr>
              <w:color w:val="auto"/>
              <w:lang w:val="en-GB"/>
            </w:rPr>
          </w:pPr>
          <w:r>
            <w:rPr>
              <w:i/>
              <w:color w:val="7F7F7F"/>
            </w:rPr>
            <w:t>Figure: Vodaria target lead-to-order architecture (Hansen Catalog, CPQ, Order Management integrated with Salesforce CRM).</w:t>
          </w:r>
        </w:p>
        <w:p w14:paraId="1B8FCF03" w14:textId="6E4934EB" w:rsidR="007F6073" w:rsidRDefault="007F6073">
          <w:pPr>
            <w:rPr>
              <w:color w:val="auto"/>
              <w:lang w:val="en-GB"/>
            </w:rPr>
          </w:pPr>
        </w:p>
        <w:p w14:paraId="770570A4" w14:textId="73BB9B7C" w:rsidR="007F6073" w:rsidRDefault="00000000">
          <w:pPr>
            <w:rPr>
              <w:lang w:val="en-GB"/>
            </w:rPr>
          </w:pPr>
          <w:r>
            <w:rPr>
              <w:i/>
              <w:color w:val="7F7F7F"/>
            </w:rPr>
            <w:t>Figure: Vodaria target lead-to-order architecture (Hansen Catalog, CPQ, Order Management integrated with Salesforce CRM).</w:t>
          </w:r>
        </w:p>
        <w:p w14:paraId="4CE49BB8" w14:textId="2577D1D2" w:rsidR="007F6073" w:rsidRDefault="00000000">
          <w:pPr>
            <w:rPr>
              <w:lang w:val="en-GB"/>
            </w:rPr>
          </w:pPr>
          <w:r>
            <w:rPr>
              <w:i/>
              <w:color w:val="7F7F7F"/>
            </w:rPr>
            <w:t>Figure: Vodaria target lead-to-order architecture (Hansen Catalog, CPQ, Order Management integrated with Salesforce CRM).</w:t>
          </w:r>
        </w:p>
        <w:p w14:paraId="43155C62" w14:textId="1D3000AA" w:rsidR="007F6073" w:rsidRDefault="00000000">
          <w:pPr>
            <w:rPr>
              <w:lang w:val="en-GB"/>
            </w:rPr>
          </w:pPr>
          <w:r>
            <w:rPr>
              <w:i/>
              <w:color w:val="7F7F7F"/>
            </w:rPr>
            <w:t>Figure: Vodaria target lead-to-order architecture (Hansen Catalog, CPQ, Order Management integrated with Salesforce CRM).</w:t>
          </w:r>
        </w:p>
        <w:p w14:paraId="74E63448" w14:textId="3C08A372" w:rsidR="007F6073" w:rsidRDefault="00000000">
          <w:pPr>
            <w:rPr>
              <w:b/>
              <w:bCs/>
              <w:color w:val="333333" w:themeColor="text2"/>
              <w:sz w:val="18"/>
              <w:u w:val="single"/>
            </w:rPr>
          </w:pPr>
          <w:r>
            <w:rPr>
              <w:rFonts w:ascii="Times New Roman" w:hAnsi="Times New Roman"/>
              <w:b/>
              <w:bCs/>
              <w:sz w:val="14"/>
              <w:szCs w:val="14"/>
              <w:u w:val="single"/>
            </w:rPr>
            <w:t xml:space="preserve"> </w:t>
          </w:r>
          <w:r>
            <w:rPr>
              <w:b/>
              <w:bCs/>
              <w:u w:val="single"/>
              <w:lang w:val="en-GB"/>
            </w:rPr>
            <w:t>Why This Matters to Vodaria Group</w:t>
          </w:r>
        </w:p>
        <w:p w14:paraId="110E5333" w14:textId="07B60B6F" w:rsidR="007F6073" w:rsidRDefault="00000000">
          <w:pPr>
            <w:rPr>
              <w:color w:val="auto"/>
              <w:lang w:val="en-GB"/>
            </w:rPr>
          </w:pPr>
          <w:r>
            <w:rPr>
              <w:color w:val="auto"/>
              <w:lang w:val="en-GB"/>
            </w:rPr>
            <w:t>Successful transformation depends on clear ownership between Vodaria Group, Hansen and any integration partners.</w:t>
          </w:r>
        </w:p>
        <w:p w14:paraId="5B9B9779" w14:textId="0F32F0B4" w:rsidR="007F6073" w:rsidRDefault="00000000">
          <w:pPr>
            <w:pStyle w:val="Heading2"/>
            <w:rPr>
              <w:color w:val="333333" w:themeColor="text2"/>
              <w:sz w:val="18"/>
            </w:rPr>
          </w:pPr>
          <w:bookmarkStart w:id="60" w:name="_Toc239002186"/>
          <w:r>
            <w:rPr>
              <w:lang w:val="en-GB"/>
            </w:rPr>
            <w:t>Hansen Approach</w:t>
          </w:r>
          <w:bookmarkEnd w:id="60"/>
        </w:p>
        <w:p w14:paraId="5B6BB682" w14:textId="56EC8457" w:rsidR="007F6073" w:rsidRDefault="00000000">
          <w:pPr>
            <w:rPr>
              <w:color w:val="auto"/>
              <w:lang w:val="en-GB"/>
            </w:rPr>
          </w:pPr>
          <w:r>
            <w:rPr>
              <w:color w:val="auto"/>
              <w:lang w:val="en-GB"/>
            </w:rPr>
            <w:t>Defines ownership across architecture, configuration, testing, migration, support and governance functions.</w:t>
          </w:r>
        </w:p>
        <w:p w14:paraId="52F4D648" w14:textId="3048E290" w:rsidR="007F6073" w:rsidRDefault="00000000">
          <w:pPr>
            <w:pStyle w:val="Heading2"/>
            <w:rPr>
              <w:color w:val="333333" w:themeColor="text2"/>
              <w:sz w:val="18"/>
            </w:rPr>
          </w:pPr>
          <w:bookmarkStart w:id="61" w:name="_Toc239002187"/>
          <w:r>
            <w:rPr>
              <w:lang w:val="en-GB"/>
            </w:rPr>
            <w:t>Key Deliverables</w:t>
          </w:r>
          <w:bookmarkEnd w:id="61"/>
        </w:p>
        <w:p w14:paraId="5AAF5596" w14:textId="28DC07C4" w:rsidR="007F6073" w:rsidRDefault="00000000">
          <w:pPr>
            <w:numPr>
              <w:ilvl w:val="0"/>
              <w:numId w:val="14"/>
            </w:numPr>
            <w:rPr>
              <w:color w:val="auto"/>
              <w:lang w:val="en-GB"/>
            </w:rPr>
          </w:pPr>
          <w:r>
            <w:rPr>
              <w:color w:val="auto"/>
              <w:lang w:val="en-GB"/>
            </w:rPr>
            <w:t>RACI matrix</w:t>
          </w:r>
        </w:p>
        <w:p w14:paraId="13734153" w14:textId="42AEE300" w:rsidR="007F6073" w:rsidRDefault="00000000">
          <w:pPr>
            <w:numPr>
              <w:ilvl w:val="0"/>
              <w:numId w:val="14"/>
            </w:numPr>
            <w:rPr>
              <w:color w:val="auto"/>
              <w:lang w:val="en-GB"/>
            </w:rPr>
          </w:pPr>
          <w:r>
            <w:rPr>
              <w:color w:val="auto"/>
              <w:lang w:val="en-GB"/>
            </w:rPr>
            <w:t>Responsibility definitions</w:t>
          </w:r>
        </w:p>
        <w:p w14:paraId="479DBADC" w14:textId="649A5A0D" w:rsidR="007F6073" w:rsidRDefault="00000000">
          <w:pPr>
            <w:numPr>
              <w:ilvl w:val="0"/>
              <w:numId w:val="14"/>
            </w:numPr>
            <w:rPr>
              <w:color w:val="auto"/>
              <w:lang w:val="en-GB"/>
            </w:rPr>
          </w:pPr>
          <w:r>
            <w:rPr>
              <w:color w:val="auto"/>
              <w:lang w:val="en-GB"/>
            </w:rPr>
            <w:lastRenderedPageBreak/>
            <w:t>Escalation model</w:t>
          </w:r>
        </w:p>
        <w:p w14:paraId="33831935" w14:textId="7728787D" w:rsidR="007F6073" w:rsidRDefault="00000000">
          <w:pPr>
            <w:pStyle w:val="Heading2"/>
            <w:rPr>
              <w:color w:val="333333" w:themeColor="text2"/>
              <w:sz w:val="18"/>
            </w:rPr>
          </w:pPr>
          <w:bookmarkStart w:id="62" w:name="_Toc239002188"/>
          <w:r>
            <w:t>Success Criteria</w:t>
          </w:r>
          <w:bookmarkEnd w:id="62"/>
        </w:p>
        <w:p w14:paraId="0EDE91BB" w14:textId="580F19E2" w:rsidR="007F6073" w:rsidRDefault="00000000">
          <w:pPr>
            <w:numPr>
              <w:ilvl w:val="0"/>
              <w:numId w:val="15"/>
            </w:numPr>
            <w:rPr>
              <w:color w:val="auto"/>
              <w:lang w:val="en-GB"/>
            </w:rPr>
          </w:pPr>
          <w:r>
            <w:rPr>
              <w:color w:val="auto"/>
              <w:lang w:val="en-GB"/>
            </w:rPr>
            <w:t>Reduced delivery ambiguity</w:t>
          </w:r>
        </w:p>
        <w:p w14:paraId="0B896643" w14:textId="4F32D9F6" w:rsidR="007F6073" w:rsidRDefault="00000000">
          <w:pPr>
            <w:numPr>
              <w:ilvl w:val="0"/>
              <w:numId w:val="15"/>
            </w:numPr>
            <w:rPr>
              <w:color w:val="auto"/>
              <w:lang w:val="en-GB"/>
            </w:rPr>
          </w:pPr>
          <w:r>
            <w:rPr>
              <w:color w:val="auto"/>
              <w:lang w:val="en-GB"/>
            </w:rPr>
            <w:t>Faster decision cycles</w:t>
          </w:r>
        </w:p>
        <w:p w14:paraId="6E1BA688" w14:textId="390845FF" w:rsidR="007F6073" w:rsidRDefault="00000000">
          <w:pPr>
            <w:numPr>
              <w:ilvl w:val="0"/>
              <w:numId w:val="15"/>
            </w:numPr>
            <w:rPr>
              <w:color w:val="auto"/>
              <w:lang w:val="en-GB"/>
            </w:rPr>
          </w:pPr>
          <w:r>
            <w:rPr>
              <w:color w:val="auto"/>
              <w:lang w:val="en-GB"/>
            </w:rPr>
            <w:t>Improved stakeholder engagement</w:t>
          </w:r>
        </w:p>
        <w:p w14:paraId="270DA790" w14:textId="77777777" w:rsidR="007F6073" w:rsidRDefault="007F6073"/>
        <w:p w14:paraId="51E2163B" w14:textId="66A34CDE" w:rsidR="007F6073" w:rsidRDefault="00000000">
          <w:pPr>
            <w:pStyle w:val="Heading1"/>
          </w:pPr>
          <w:bookmarkStart w:id="63" w:name="_Toc239002189"/>
          <w:r>
            <w:t>Change Control</w:t>
          </w:r>
          <w:bookmarkEnd w:id="63"/>
        </w:p>
        <w:p w14:paraId="2BC99424" w14:textId="21C8CB6C" w:rsidR="007F6073" w:rsidRDefault="00000000">
          <w:pPr>
            <w:pStyle w:val="Heading2"/>
            <w:rPr>
              <w:color w:val="333333" w:themeColor="text2"/>
              <w:sz w:val="18"/>
            </w:rPr>
          </w:pPr>
          <w:bookmarkStart w:id="64" w:name="_Toc239002190"/>
          <w:r>
            <w:rPr>
              <w:lang w:val="en-GB"/>
            </w:rPr>
            <w:t>Business Outcome</w:t>
          </w:r>
          <w:bookmarkEnd w:id="64"/>
        </w:p>
        <w:p w14:paraId="07C9C5DE" w14:textId="0FD15D81" w:rsidR="007F6073" w:rsidRDefault="00000000">
          <w:pPr>
            <w:rPr>
              <w:color w:val="auto"/>
              <w:lang w:val="en-GB"/>
            </w:rPr>
          </w:pPr>
          <w:r>
            <w:rPr>
              <w:color w:val="auto"/>
              <w:lang w:val="en-GB"/>
            </w:rPr>
            <w:t>Enable Converged BSS Transformation to evolve without compromising scope, budget, quality or delivery timelines.</w:t>
          </w:r>
        </w:p>
        <w:p w14:paraId="1A700051" w14:textId="769AF570" w:rsidR="007F6073" w:rsidRDefault="00000000">
          <w:pPr>
            <w:rPr>
              <w:color w:val="auto"/>
              <w:lang w:val="en-GB"/>
            </w:rPr>
          </w:pPr>
          <w:r>
            <w:rPr>
              <w:i/>
              <w:color w:val="7F7F7F"/>
            </w:rPr>
            <w:t>Figure: Vodaria target lead-to-order architecture (Hansen Catalog, CPQ, Order Management integrated with Salesforce CRM).</w:t>
          </w:r>
        </w:p>
        <w:p w14:paraId="43223BF2" w14:textId="76FA55AD" w:rsidR="007F6073" w:rsidRDefault="00000000">
          <w:pPr>
            <w:rPr>
              <w:b/>
              <w:bCs/>
              <w:color w:val="333333" w:themeColor="text2"/>
              <w:sz w:val="18"/>
              <w:u w:val="single"/>
            </w:rPr>
          </w:pPr>
          <w:r>
            <w:rPr>
              <w:b/>
              <w:bCs/>
              <w:u w:val="single"/>
              <w:lang w:val="en-GB"/>
            </w:rPr>
            <w:t>Why This Matters to Vodaria Group</w:t>
          </w:r>
        </w:p>
        <w:p w14:paraId="35CA2E09" w14:textId="37503D85" w:rsidR="007F6073" w:rsidRDefault="00000000">
          <w:pPr>
            <w:rPr>
              <w:color w:val="auto"/>
              <w:lang w:val="en-GB"/>
            </w:rPr>
          </w:pPr>
          <w:r>
            <w:rPr>
              <w:color w:val="auto"/>
              <w:lang w:val="en-GB"/>
            </w:rPr>
            <w:t>Business priorities will inevitably change throughout the programme lifecycle.</w:t>
          </w:r>
        </w:p>
        <w:p w14:paraId="705ACF68" w14:textId="2F30C1DB" w:rsidR="007F6073" w:rsidRDefault="00000000">
          <w:pPr>
            <w:pStyle w:val="Heading2"/>
            <w:rPr>
              <w:color w:val="333333" w:themeColor="text2"/>
              <w:sz w:val="18"/>
            </w:rPr>
          </w:pPr>
          <w:bookmarkStart w:id="65" w:name="_Toc239002191"/>
          <w:r>
            <w:rPr>
              <w:lang w:val="en-GB"/>
            </w:rPr>
            <w:t>Hansen Approach</w:t>
          </w:r>
          <w:bookmarkEnd w:id="65"/>
        </w:p>
        <w:p w14:paraId="5D90BC8E" w14:textId="5970A2DF" w:rsidR="007F6073" w:rsidRDefault="00000000">
          <w:pPr>
            <w:rPr>
              <w:color w:val="auto"/>
              <w:lang w:val="en-GB"/>
            </w:rPr>
          </w:pPr>
          <w:r>
            <w:rPr>
              <w:color w:val="auto"/>
              <w:lang w:val="en-GB"/>
            </w:rPr>
            <w:t>Formal change control supported by governance and impact assessment.</w:t>
          </w:r>
        </w:p>
        <w:p w14:paraId="297EA13C" w14:textId="7C89BD4E" w:rsidR="007F6073" w:rsidRDefault="00000000">
          <w:pPr>
            <w:pStyle w:val="Heading2"/>
            <w:rPr>
              <w:color w:val="333333" w:themeColor="text2"/>
              <w:sz w:val="18"/>
            </w:rPr>
          </w:pPr>
          <w:bookmarkStart w:id="66" w:name="_Toc239002192"/>
          <w:r>
            <w:rPr>
              <w:lang w:val="en-GB"/>
            </w:rPr>
            <w:t>Key Deliverables</w:t>
          </w:r>
          <w:bookmarkEnd w:id="66"/>
        </w:p>
        <w:p w14:paraId="21596C69" w14:textId="086AFB1D" w:rsidR="007F6073" w:rsidRDefault="00000000">
          <w:pPr>
            <w:numPr>
              <w:ilvl w:val="0"/>
              <w:numId w:val="14"/>
            </w:numPr>
            <w:rPr>
              <w:color w:val="auto"/>
              <w:lang w:val="en-GB"/>
            </w:rPr>
          </w:pPr>
          <w:r>
            <w:rPr>
              <w:color w:val="auto"/>
              <w:lang w:val="en-GB"/>
            </w:rPr>
            <w:t>Change process</w:t>
          </w:r>
        </w:p>
        <w:p w14:paraId="7EA0CE9C" w14:textId="338297AC" w:rsidR="007F6073" w:rsidRDefault="00000000">
          <w:pPr>
            <w:numPr>
              <w:ilvl w:val="0"/>
              <w:numId w:val="14"/>
            </w:numPr>
            <w:rPr>
              <w:color w:val="auto"/>
              <w:lang w:val="en-GB"/>
            </w:rPr>
          </w:pPr>
          <w:r>
            <w:rPr>
              <w:color w:val="auto"/>
              <w:lang w:val="en-GB"/>
            </w:rPr>
            <w:t>Assessment templates</w:t>
          </w:r>
        </w:p>
        <w:p w14:paraId="7A232809" w14:textId="0086D375" w:rsidR="007F6073" w:rsidRDefault="00000000">
          <w:pPr>
            <w:numPr>
              <w:ilvl w:val="0"/>
              <w:numId w:val="14"/>
            </w:numPr>
            <w:rPr>
              <w:color w:val="auto"/>
              <w:lang w:val="en-GB"/>
            </w:rPr>
          </w:pPr>
          <w:r>
            <w:rPr>
              <w:color w:val="auto"/>
              <w:lang w:val="en-GB"/>
            </w:rPr>
            <w:t>Impact reports</w:t>
          </w:r>
        </w:p>
        <w:p w14:paraId="79646B12" w14:textId="4B3055DE" w:rsidR="007F6073" w:rsidRDefault="00000000">
          <w:pPr>
            <w:pStyle w:val="Heading2"/>
            <w:rPr>
              <w:color w:val="333333" w:themeColor="text2"/>
              <w:sz w:val="18"/>
            </w:rPr>
          </w:pPr>
          <w:bookmarkStart w:id="67" w:name="_Toc239002193"/>
          <w:r>
            <w:t>Success Criteria</w:t>
          </w:r>
          <w:bookmarkEnd w:id="67"/>
        </w:p>
        <w:p w14:paraId="41AAFC58" w14:textId="02FF0147" w:rsidR="007F6073" w:rsidRDefault="00000000">
          <w:pPr>
            <w:numPr>
              <w:ilvl w:val="0"/>
              <w:numId w:val="15"/>
            </w:numPr>
            <w:rPr>
              <w:color w:val="auto"/>
              <w:lang w:val="en-GB"/>
            </w:rPr>
          </w:pPr>
          <w:r>
            <w:rPr>
              <w:color w:val="auto"/>
              <w:lang w:val="en-GB"/>
            </w:rPr>
            <w:t>Controlled scope growth</w:t>
          </w:r>
        </w:p>
        <w:p w14:paraId="579F8F96" w14:textId="3362A2FE" w:rsidR="007F6073" w:rsidRDefault="00000000">
          <w:pPr>
            <w:numPr>
              <w:ilvl w:val="0"/>
              <w:numId w:val="15"/>
            </w:numPr>
            <w:rPr>
              <w:color w:val="auto"/>
              <w:lang w:val="en-GB"/>
            </w:rPr>
          </w:pPr>
          <w:r>
            <w:rPr>
              <w:color w:val="auto"/>
              <w:lang w:val="en-GB"/>
            </w:rPr>
            <w:t>Transparent decision making</w:t>
          </w:r>
        </w:p>
        <w:p w14:paraId="1F54629C" w14:textId="5ED90C05" w:rsidR="007F6073" w:rsidRDefault="00000000">
          <w:pPr>
            <w:numPr>
              <w:ilvl w:val="0"/>
              <w:numId w:val="15"/>
            </w:numPr>
            <w:rPr>
              <w:color w:val="auto"/>
              <w:lang w:val="en-GB"/>
            </w:rPr>
          </w:pPr>
          <w:r>
            <w:rPr>
              <w:color w:val="auto"/>
              <w:lang w:val="en-GB"/>
            </w:rPr>
            <w:t>Predictable delivery outcomes</w:t>
          </w:r>
        </w:p>
        <w:p w14:paraId="208E5A21" w14:textId="77777777" w:rsidR="007F6073" w:rsidRDefault="007F6073">
          <w:pPr>
            <w:ind w:left="720"/>
            <w:rPr>
              <w:color w:val="auto"/>
              <w:lang w:val="en-GB"/>
            </w:rPr>
          </w:pPr>
        </w:p>
        <w:p w14:paraId="4FE8B925" w14:textId="185AFB4B" w:rsidR="007F6073" w:rsidRDefault="00000000">
          <w:pPr>
            <w:pStyle w:val="Heading1"/>
          </w:pPr>
          <w:bookmarkStart w:id="68" w:name="_Toc239002194"/>
          <w:r>
            <w:lastRenderedPageBreak/>
            <w:t>Integration Strategy</w:t>
          </w:r>
          <w:bookmarkEnd w:id="68"/>
        </w:p>
        <w:p w14:paraId="65317ECA" w14:textId="75673752" w:rsidR="007F6073" w:rsidRDefault="00000000">
          <w:pPr>
            <w:pStyle w:val="Heading2"/>
            <w:rPr>
              <w:color w:val="333333" w:themeColor="text2"/>
              <w:sz w:val="18"/>
            </w:rPr>
          </w:pPr>
          <w:bookmarkStart w:id="69" w:name="_Toc239002195"/>
          <w:r>
            <w:rPr>
              <w:lang w:val="en-GB"/>
            </w:rPr>
            <w:t>Business Outcome</w:t>
          </w:r>
          <w:bookmarkEnd w:id="69"/>
        </w:p>
        <w:p w14:paraId="222079EE" w14:textId="468E0D6A" w:rsidR="007F6073" w:rsidRDefault="00000000">
          <w:pPr>
            <w:rPr>
              <w:color w:val="auto"/>
              <w:lang w:val="en-GB"/>
            </w:rPr>
          </w:pPr>
          <w:r>
            <w:rPr>
              <w:color w:val="auto"/>
              <w:lang w:val="en-GB"/>
            </w:rPr>
            <w:t>Create a connected lead-to-order ecosystem that supports business processes across Salesforce CRM, fulfilment and operational systems.</w:t>
          </w:r>
        </w:p>
        <w:p w14:paraId="249753A2" w14:textId="5D16FFF3" w:rsidR="007F6073" w:rsidRDefault="00000000">
          <w:pPr>
            <w:rPr>
              <w:b/>
              <w:bCs/>
              <w:color w:val="333333" w:themeColor="text2"/>
              <w:sz w:val="18"/>
              <w:u w:val="single"/>
            </w:rPr>
          </w:pPr>
          <w:r>
            <w:rPr>
              <w:b/>
              <w:bCs/>
              <w:u w:val="single"/>
              <w:lang w:val="en-GB"/>
            </w:rPr>
            <w:t>Why This Matters to Vodaria Group</w:t>
          </w:r>
        </w:p>
        <w:p w14:paraId="3702803D" w14:textId="492247D9" w:rsidR="007F6073" w:rsidRDefault="00000000">
          <w:pPr>
            <w:rPr>
              <w:color w:val="auto"/>
              <w:lang w:val="en-GB"/>
            </w:rPr>
          </w:pPr>
          <w:r>
            <w:rPr>
              <w:color w:val="auto"/>
              <w:lang w:val="en-GB"/>
            </w:rPr>
            <w:t>Converged BSS Transformation depends on multiple systems operating as a unified business platform.</w:t>
          </w:r>
        </w:p>
        <w:p w14:paraId="4BB41CB5" w14:textId="13C24525" w:rsidR="007F6073" w:rsidRDefault="00000000">
          <w:pPr>
            <w:pStyle w:val="Heading2"/>
            <w:rPr>
              <w:color w:val="333333" w:themeColor="text2"/>
              <w:sz w:val="18"/>
            </w:rPr>
          </w:pPr>
          <w:bookmarkStart w:id="70" w:name="_Toc239002196"/>
          <w:r>
            <w:rPr>
              <w:lang w:val="en-GB"/>
            </w:rPr>
            <w:t>Hansen Approach</w:t>
          </w:r>
          <w:bookmarkEnd w:id="70"/>
        </w:p>
        <w:p w14:paraId="3C71777D" w14:textId="3F7993A4" w:rsidR="007F6073" w:rsidRDefault="00000000">
          <w:pPr>
            <w:rPr>
              <w:color w:val="auto"/>
              <w:lang w:val="en-GB"/>
            </w:rPr>
          </w:pPr>
          <w:r>
            <w:rPr>
              <w:color w:val="auto"/>
              <w:lang w:val="en-GB"/>
            </w:rPr>
            <w:t>API-first integration strategy with clearly defined ownership boundaries.</w:t>
          </w:r>
        </w:p>
        <w:p w14:paraId="681C2DA7" w14:textId="1EE355C4" w:rsidR="007F6073" w:rsidRDefault="00000000">
          <w:pPr>
            <w:pStyle w:val="Heading2"/>
            <w:rPr>
              <w:color w:val="333333" w:themeColor="text2"/>
              <w:sz w:val="18"/>
            </w:rPr>
          </w:pPr>
          <w:bookmarkStart w:id="71" w:name="_Toc239002197"/>
          <w:r>
            <w:rPr>
              <w:lang w:val="en-GB"/>
            </w:rPr>
            <w:t>Key Deliverables</w:t>
          </w:r>
          <w:bookmarkEnd w:id="71"/>
        </w:p>
        <w:p w14:paraId="25409FB9" w14:textId="22179474" w:rsidR="007F6073" w:rsidRDefault="00000000">
          <w:pPr>
            <w:numPr>
              <w:ilvl w:val="0"/>
              <w:numId w:val="14"/>
            </w:numPr>
            <w:rPr>
              <w:color w:val="auto"/>
              <w:lang w:val="en-GB"/>
            </w:rPr>
          </w:pPr>
          <w:r>
            <w:rPr>
              <w:color w:val="auto"/>
              <w:lang w:val="en-GB"/>
            </w:rPr>
            <w:t>Integration architecture</w:t>
          </w:r>
        </w:p>
        <w:p w14:paraId="3B3C37ED" w14:textId="39633942" w:rsidR="007F6073" w:rsidRDefault="00000000">
          <w:pPr>
            <w:numPr>
              <w:ilvl w:val="0"/>
              <w:numId w:val="14"/>
            </w:numPr>
            <w:rPr>
              <w:color w:val="auto"/>
              <w:lang w:val="en-GB"/>
            </w:rPr>
          </w:pPr>
          <w:r>
            <w:rPr>
              <w:color w:val="auto"/>
              <w:lang w:val="en-GB"/>
            </w:rPr>
            <w:t>Interface catalogue</w:t>
          </w:r>
        </w:p>
        <w:p w14:paraId="103A5006" w14:textId="7B7FCD35" w:rsidR="007F6073" w:rsidRDefault="00000000">
          <w:pPr>
            <w:numPr>
              <w:ilvl w:val="0"/>
              <w:numId w:val="14"/>
            </w:numPr>
            <w:rPr>
              <w:color w:val="auto"/>
              <w:lang w:val="en-GB"/>
            </w:rPr>
          </w:pPr>
          <w:r>
            <w:rPr>
              <w:color w:val="auto"/>
              <w:lang w:val="en-GB"/>
            </w:rPr>
            <w:t>API specifications</w:t>
          </w:r>
        </w:p>
        <w:p w14:paraId="4E9625D7" w14:textId="6ED8D904" w:rsidR="007F6073" w:rsidRDefault="00000000">
          <w:pPr>
            <w:numPr>
              <w:ilvl w:val="0"/>
              <w:numId w:val="14"/>
            </w:numPr>
            <w:rPr>
              <w:color w:val="auto"/>
              <w:lang w:val="en-GB"/>
            </w:rPr>
          </w:pPr>
          <w:r>
            <w:rPr>
              <w:color w:val="auto"/>
              <w:lang w:val="en-GB"/>
            </w:rPr>
            <w:t>Event framework</w:t>
          </w:r>
        </w:p>
        <w:p w14:paraId="0A5C4BBD" w14:textId="125DF1F5" w:rsidR="007F6073" w:rsidRDefault="00000000">
          <w:pPr>
            <w:pStyle w:val="Heading2"/>
            <w:rPr>
              <w:color w:val="333333" w:themeColor="text2"/>
              <w:sz w:val="18"/>
            </w:rPr>
          </w:pPr>
          <w:bookmarkStart w:id="72" w:name="_Toc239002198"/>
          <w:r>
            <w:t>Success Criteria</w:t>
          </w:r>
          <w:bookmarkEnd w:id="72"/>
        </w:p>
        <w:p w14:paraId="6FA25852" w14:textId="750D8361" w:rsidR="007F6073" w:rsidRDefault="00000000">
          <w:pPr>
            <w:numPr>
              <w:ilvl w:val="0"/>
              <w:numId w:val="15"/>
            </w:numPr>
            <w:rPr>
              <w:color w:val="auto"/>
              <w:lang w:val="en-GB"/>
            </w:rPr>
          </w:pPr>
          <w:r>
            <w:rPr>
              <w:color w:val="auto"/>
              <w:lang w:val="en-GB"/>
            </w:rPr>
            <w:t>Reliable integrations</w:t>
          </w:r>
        </w:p>
        <w:p w14:paraId="42233029" w14:textId="653982E6" w:rsidR="007F6073" w:rsidRDefault="00000000">
          <w:pPr>
            <w:numPr>
              <w:ilvl w:val="0"/>
              <w:numId w:val="15"/>
            </w:numPr>
            <w:rPr>
              <w:color w:val="auto"/>
              <w:lang w:val="en-GB"/>
            </w:rPr>
          </w:pPr>
          <w:r>
            <w:rPr>
              <w:color w:val="auto"/>
              <w:lang w:val="en-GB"/>
            </w:rPr>
            <w:t>Reduced manual hand-offs</w:t>
          </w:r>
        </w:p>
        <w:p w14:paraId="5AFB5DCC" w14:textId="60B296F3" w:rsidR="007F6073" w:rsidRDefault="00000000">
          <w:pPr>
            <w:numPr>
              <w:ilvl w:val="0"/>
              <w:numId w:val="15"/>
            </w:numPr>
            <w:rPr>
              <w:color w:val="auto"/>
              <w:lang w:val="en-GB"/>
            </w:rPr>
          </w:pPr>
          <w:r>
            <w:rPr>
              <w:color w:val="auto"/>
              <w:lang w:val="en-GB"/>
            </w:rPr>
            <w:t>Improved system visibility</w:t>
          </w:r>
        </w:p>
        <w:p w14:paraId="7B218946" w14:textId="79CB0C31" w:rsidR="007F6073" w:rsidRDefault="00000000">
          <w:pPr>
            <w:numPr>
              <w:ilvl w:val="0"/>
              <w:numId w:val="15"/>
            </w:numPr>
            <w:rPr>
              <w:color w:val="auto"/>
              <w:lang w:val="en-GB"/>
            </w:rPr>
          </w:pPr>
          <w:r>
            <w:rPr>
              <w:color w:val="auto"/>
              <w:lang w:val="en-GB"/>
            </w:rPr>
            <w:t>Scalable architecture</w:t>
          </w:r>
        </w:p>
        <w:p w14:paraId="13FC4A0C" w14:textId="77777777" w:rsidR="007F6073" w:rsidRDefault="007F6073"/>
        <w:p w14:paraId="50B163A2" w14:textId="39180EDC" w:rsidR="007F6073" w:rsidRDefault="00000000">
          <w:pPr>
            <w:pStyle w:val="Heading1"/>
          </w:pPr>
          <w:r>
            <w:t xml:space="preserve"> </w:t>
          </w:r>
          <w:bookmarkStart w:id="73" w:name="_Toc239002199"/>
          <w:r>
            <w:t>Environment &amp; DevOps Strategy</w:t>
          </w:r>
          <w:bookmarkEnd w:id="73"/>
        </w:p>
        <w:p w14:paraId="4A8CF9CE" w14:textId="6AFED301" w:rsidR="007F6073" w:rsidRDefault="00000000">
          <w:pPr>
            <w:pStyle w:val="Heading2"/>
            <w:rPr>
              <w:color w:val="333333" w:themeColor="text2"/>
              <w:sz w:val="18"/>
            </w:rPr>
          </w:pPr>
          <w:bookmarkStart w:id="74" w:name="_Toc239002200"/>
          <w:r>
            <w:rPr>
              <w:lang w:val="en-GB"/>
            </w:rPr>
            <w:t>Business Outcome</w:t>
          </w:r>
          <w:bookmarkEnd w:id="74"/>
        </w:p>
        <w:p w14:paraId="4E7FDDB9" w14:textId="20127620" w:rsidR="007F6073" w:rsidRDefault="00000000">
          <w:pPr>
            <w:rPr>
              <w:color w:val="auto"/>
              <w:lang w:val="en-GB"/>
            </w:rPr>
          </w:pPr>
          <w:r>
            <w:rPr>
              <w:color w:val="auto"/>
              <w:lang w:val="en-GB"/>
            </w:rPr>
            <w:t>Provide a reliable, secure and scalable platform foundation for implementation and ongoing operation.</w:t>
          </w:r>
        </w:p>
        <w:p w14:paraId="78069B52" w14:textId="53BA2C22" w:rsidR="007F6073" w:rsidRDefault="00000000">
          <w:pPr>
            <w:rPr>
              <w:b/>
              <w:bCs/>
              <w:color w:val="333333" w:themeColor="text2"/>
              <w:sz w:val="18"/>
              <w:u w:val="single"/>
            </w:rPr>
          </w:pPr>
          <w:r>
            <w:rPr>
              <w:rFonts w:ascii="Times New Roman" w:hAnsi="Times New Roman"/>
              <w:b/>
              <w:bCs/>
              <w:sz w:val="14"/>
              <w:szCs w:val="14"/>
              <w:u w:val="single"/>
            </w:rPr>
            <w:t xml:space="preserve"> </w:t>
          </w:r>
          <w:r>
            <w:rPr>
              <w:b/>
              <w:bCs/>
              <w:u w:val="single"/>
              <w:lang w:val="en-GB"/>
            </w:rPr>
            <w:t>Why This Matters to Vodaria Group</w:t>
          </w:r>
        </w:p>
        <w:p w14:paraId="6B0BBFF1" w14:textId="4B792089" w:rsidR="007F6073" w:rsidRDefault="00000000">
          <w:pPr>
            <w:rPr>
              <w:color w:val="auto"/>
              <w:lang w:val="en-GB"/>
            </w:rPr>
          </w:pPr>
          <w:r>
            <w:rPr>
              <w:color w:val="auto"/>
              <w:lang w:val="en-GB"/>
            </w:rPr>
            <w:t>Operational resilience is critical for supporting enterprise growth and future automation.</w:t>
          </w:r>
        </w:p>
        <w:p w14:paraId="7E291DBB" w14:textId="4CF1B956" w:rsidR="007F6073" w:rsidRDefault="00000000">
          <w:pPr>
            <w:pStyle w:val="Heading2"/>
            <w:rPr>
              <w:color w:val="333333" w:themeColor="text2"/>
              <w:sz w:val="18"/>
            </w:rPr>
          </w:pPr>
          <w:bookmarkStart w:id="75" w:name="_Toc239002201"/>
          <w:r>
            <w:rPr>
              <w:lang w:val="en-GB"/>
            </w:rPr>
            <w:lastRenderedPageBreak/>
            <w:t>Hansen Approach</w:t>
          </w:r>
          <w:bookmarkEnd w:id="75"/>
        </w:p>
        <w:p w14:paraId="7D4C57B9" w14:textId="12144185" w:rsidR="007F6073" w:rsidRDefault="00000000">
          <w:pPr>
            <w:rPr>
              <w:color w:val="auto"/>
              <w:lang w:val="en-GB"/>
            </w:rPr>
          </w:pPr>
          <w:r>
            <w:rPr>
              <w:color w:val="auto"/>
              <w:lang w:val="en-GB"/>
            </w:rPr>
            <w:t>Controlled environments, CI/CD pipelines, automated deployment and observability.</w:t>
          </w:r>
        </w:p>
        <w:p w14:paraId="74CE4725" w14:textId="369044FC" w:rsidR="007F6073" w:rsidRDefault="00000000">
          <w:r>
            <w:rPr>
              <w:i/>
              <w:color w:val="7F7F7F"/>
            </w:rPr>
            <w:t>Figure: Vodaria target lead-to-order architecture (Hansen Catalog, CPQ, Order Management integrated with Salesforce CRM).</w:t>
          </w:r>
        </w:p>
        <w:p w14:paraId="10F949F3" w14:textId="705FE857" w:rsidR="007F6073" w:rsidRDefault="00000000">
          <w:pPr>
            <w:pStyle w:val="Heading2"/>
            <w:rPr>
              <w:color w:val="333333" w:themeColor="text2"/>
              <w:sz w:val="18"/>
            </w:rPr>
          </w:pPr>
          <w:bookmarkStart w:id="76" w:name="_Toc239002202"/>
          <w:r>
            <w:rPr>
              <w:lang w:val="en-GB"/>
            </w:rPr>
            <w:t>Key Deliverables</w:t>
          </w:r>
          <w:bookmarkEnd w:id="76"/>
        </w:p>
        <w:p w14:paraId="28D3E17C" w14:textId="2E437139" w:rsidR="007F6073" w:rsidRDefault="00000000">
          <w:pPr>
            <w:numPr>
              <w:ilvl w:val="0"/>
              <w:numId w:val="14"/>
            </w:numPr>
            <w:rPr>
              <w:color w:val="auto"/>
              <w:lang w:val="en-GB"/>
            </w:rPr>
          </w:pPr>
          <w:r>
            <w:rPr>
              <w:color w:val="auto"/>
              <w:lang w:val="en-GB"/>
            </w:rPr>
            <w:t>Environment strategy</w:t>
          </w:r>
        </w:p>
        <w:p w14:paraId="637E2969" w14:textId="11843D9A" w:rsidR="007F6073" w:rsidRDefault="00000000">
          <w:pPr>
            <w:numPr>
              <w:ilvl w:val="0"/>
              <w:numId w:val="14"/>
            </w:numPr>
            <w:rPr>
              <w:color w:val="auto"/>
              <w:lang w:val="en-GB"/>
            </w:rPr>
          </w:pPr>
          <w:r>
            <w:rPr>
              <w:color w:val="auto"/>
              <w:lang w:val="en-GB"/>
            </w:rPr>
            <w:t>DevOps framework</w:t>
          </w:r>
        </w:p>
        <w:p w14:paraId="7A079967" w14:textId="101D5AE8" w:rsidR="007F6073" w:rsidRDefault="00000000">
          <w:pPr>
            <w:numPr>
              <w:ilvl w:val="0"/>
              <w:numId w:val="14"/>
            </w:numPr>
            <w:rPr>
              <w:color w:val="auto"/>
              <w:lang w:val="en-GB"/>
            </w:rPr>
          </w:pPr>
          <w:r>
            <w:rPr>
              <w:color w:val="auto"/>
              <w:lang w:val="en-GB"/>
            </w:rPr>
            <w:t>Deployment governance</w:t>
          </w:r>
        </w:p>
        <w:p w14:paraId="1094F2B7" w14:textId="105D9595" w:rsidR="007F6073" w:rsidRDefault="00000000">
          <w:pPr>
            <w:numPr>
              <w:ilvl w:val="0"/>
              <w:numId w:val="14"/>
            </w:numPr>
            <w:rPr>
              <w:color w:val="auto"/>
              <w:lang w:val="en-GB"/>
            </w:rPr>
          </w:pPr>
          <w:r>
            <w:rPr>
              <w:color w:val="auto"/>
              <w:lang w:val="en-GB"/>
            </w:rPr>
            <w:t>Monitoring architecture</w:t>
          </w:r>
        </w:p>
        <w:p w14:paraId="59FC0019" w14:textId="2A61321D" w:rsidR="007F6073" w:rsidRDefault="00000000">
          <w:pPr>
            <w:pStyle w:val="Heading2"/>
            <w:rPr>
              <w:color w:val="333333" w:themeColor="text2"/>
              <w:sz w:val="18"/>
            </w:rPr>
          </w:pPr>
          <w:bookmarkStart w:id="77" w:name="_Toc239002203"/>
          <w:r>
            <w:t>Success Criteria</w:t>
          </w:r>
          <w:bookmarkEnd w:id="77"/>
        </w:p>
        <w:p w14:paraId="7922B4D8" w14:textId="574F70A5" w:rsidR="007F6073" w:rsidRDefault="00000000">
          <w:pPr>
            <w:numPr>
              <w:ilvl w:val="0"/>
              <w:numId w:val="15"/>
            </w:numPr>
            <w:rPr>
              <w:color w:val="auto"/>
              <w:lang w:val="en-GB"/>
            </w:rPr>
          </w:pPr>
          <w:r>
            <w:rPr>
              <w:color w:val="auto"/>
              <w:lang w:val="en-GB"/>
            </w:rPr>
            <w:t>Stable releases</w:t>
          </w:r>
        </w:p>
        <w:p w14:paraId="4380AA3F" w14:textId="3AC5E6F4" w:rsidR="007F6073" w:rsidRDefault="00000000">
          <w:pPr>
            <w:numPr>
              <w:ilvl w:val="0"/>
              <w:numId w:val="15"/>
            </w:numPr>
            <w:rPr>
              <w:color w:val="auto"/>
              <w:lang w:val="en-GB"/>
            </w:rPr>
          </w:pPr>
          <w:r>
            <w:rPr>
              <w:color w:val="auto"/>
              <w:lang w:val="en-GB"/>
            </w:rPr>
            <w:t>Reduced deployment risk</w:t>
          </w:r>
        </w:p>
        <w:p w14:paraId="3A0FFC64" w14:textId="243EF952" w:rsidR="007F6073" w:rsidRDefault="00000000">
          <w:pPr>
            <w:numPr>
              <w:ilvl w:val="0"/>
              <w:numId w:val="15"/>
            </w:numPr>
            <w:rPr>
              <w:color w:val="auto"/>
              <w:lang w:val="en-GB"/>
            </w:rPr>
          </w:pPr>
          <w:r>
            <w:rPr>
              <w:color w:val="auto"/>
              <w:lang w:val="en-GB"/>
            </w:rPr>
            <w:t>Faster issue resolution</w:t>
          </w:r>
        </w:p>
        <w:p w14:paraId="12526970" w14:textId="135D628A" w:rsidR="007F6073" w:rsidRDefault="00000000">
          <w:pPr>
            <w:numPr>
              <w:ilvl w:val="0"/>
              <w:numId w:val="15"/>
            </w:numPr>
            <w:rPr>
              <w:color w:val="auto"/>
              <w:lang w:val="en-GB"/>
            </w:rPr>
          </w:pPr>
          <w:r>
            <w:rPr>
              <w:color w:val="auto"/>
              <w:lang w:val="en-GB"/>
            </w:rPr>
            <w:t>Operational transparency</w:t>
          </w:r>
        </w:p>
        <w:p w14:paraId="244FBB0D" w14:textId="77777777" w:rsidR="007F6073" w:rsidRDefault="007F6073"/>
        <w:p w14:paraId="21C7AC81" w14:textId="6DCC5A93" w:rsidR="007F6073" w:rsidRDefault="00000000">
          <w:pPr>
            <w:pStyle w:val="Heading1"/>
          </w:pPr>
          <w:r>
            <w:t xml:space="preserve"> </w:t>
          </w:r>
          <w:bookmarkStart w:id="78" w:name="_Toc239002204"/>
          <w:r>
            <w:t>Testing &amp; Quality Assurance</w:t>
          </w:r>
          <w:bookmarkEnd w:id="78"/>
        </w:p>
        <w:p w14:paraId="6DA8CA33" w14:textId="53BBA3A6" w:rsidR="007F6073" w:rsidRDefault="00000000">
          <w:pPr>
            <w:pStyle w:val="Heading2"/>
            <w:rPr>
              <w:color w:val="333333" w:themeColor="text2"/>
              <w:sz w:val="18"/>
            </w:rPr>
          </w:pPr>
          <w:bookmarkStart w:id="79" w:name="_Toc239002205"/>
          <w:r>
            <w:rPr>
              <w:lang w:val="en-GB"/>
            </w:rPr>
            <w:t>Business Outcome</w:t>
          </w:r>
          <w:bookmarkEnd w:id="79"/>
        </w:p>
        <w:p w14:paraId="3D0298D7" w14:textId="45CB601E" w:rsidR="007F6073" w:rsidRDefault="00000000">
          <w:pPr>
            <w:rPr>
              <w:color w:val="auto"/>
              <w:lang w:val="en-GB"/>
            </w:rPr>
          </w:pPr>
          <w:r>
            <w:rPr>
              <w:color w:val="auto"/>
              <w:lang w:val="en-GB"/>
            </w:rPr>
            <w:t>Provide confidence that the future operating model is ready for production deployment.</w:t>
          </w:r>
        </w:p>
        <w:p w14:paraId="44768C53" w14:textId="4CA0F553" w:rsidR="007F6073" w:rsidRDefault="00000000">
          <w:pPr>
            <w:rPr>
              <w:color w:val="auto"/>
              <w:lang w:val="en-GB"/>
            </w:rPr>
          </w:pPr>
          <w:r>
            <w:rPr>
              <w:i/>
              <w:color w:val="7F7F7F"/>
            </w:rPr>
            <w:t>Figure: Vodaria target lead-to-order architecture (Hansen Catalog, CPQ, Order Management integrated with Salesforce CRM).</w:t>
          </w:r>
        </w:p>
        <w:p w14:paraId="24207D45" w14:textId="6C582564" w:rsidR="007F6073" w:rsidRDefault="00000000">
          <w:pPr>
            <w:rPr>
              <w:b/>
              <w:bCs/>
              <w:color w:val="333333" w:themeColor="text2"/>
              <w:sz w:val="18"/>
              <w:u w:val="single"/>
            </w:rPr>
          </w:pPr>
          <w:r>
            <w:rPr>
              <w:b/>
              <w:bCs/>
              <w:u w:val="single"/>
              <w:lang w:val="en-GB"/>
            </w:rPr>
            <w:t>Why This Matters to Vodaria Group</w:t>
          </w:r>
        </w:p>
        <w:p w14:paraId="69FFA83B" w14:textId="14CFA799" w:rsidR="007F6073" w:rsidRDefault="00000000">
          <w:pPr>
            <w:rPr>
              <w:color w:val="auto"/>
              <w:lang w:val="en-GB"/>
            </w:rPr>
          </w:pPr>
          <w:r>
            <w:rPr>
              <w:color w:val="auto"/>
              <w:lang w:val="en-GB"/>
            </w:rPr>
            <w:t>A robust testing process ensures seamless delivery and increases confidence in quality of functionality.</w:t>
          </w:r>
        </w:p>
        <w:p w14:paraId="072F905C" w14:textId="60820705" w:rsidR="007F6073" w:rsidRDefault="00000000">
          <w:pPr>
            <w:pStyle w:val="Heading2"/>
            <w:rPr>
              <w:color w:val="333333" w:themeColor="text2"/>
              <w:sz w:val="18"/>
            </w:rPr>
          </w:pPr>
          <w:bookmarkStart w:id="80" w:name="_Toc239002206"/>
          <w:r>
            <w:rPr>
              <w:lang w:val="en-GB"/>
            </w:rPr>
            <w:t>Hansen Approach</w:t>
          </w:r>
          <w:bookmarkEnd w:id="80"/>
        </w:p>
        <w:p w14:paraId="687BD0CE" w14:textId="77777777" w:rsidR="007F6073" w:rsidRDefault="00000000">
          <w:pPr>
            <w:rPr>
              <w:color w:val="auto"/>
              <w:lang w:val="en-GB"/>
            </w:rPr>
          </w:pPr>
          <w:r>
            <w:rPr>
              <w:color w:val="auto"/>
            </w:rPr>
            <w:t>We adopt a </w:t>
          </w:r>
          <w:r>
            <w:rPr>
              <w:b/>
              <w:bCs/>
              <w:color w:val="auto"/>
            </w:rPr>
            <w:t>shift-left testing approach</w:t>
          </w:r>
          <w:r>
            <w:rPr>
              <w:color w:val="auto"/>
            </w:rPr>
            <w:t> where quality activities begin from the requirements phase and continue throughout the SDLC.</w:t>
          </w:r>
        </w:p>
        <w:p w14:paraId="69C8832B" w14:textId="39932C53" w:rsidR="007F6073" w:rsidRDefault="00000000">
          <w:pPr>
            <w:rPr>
              <w:color w:val="auto"/>
              <w:lang w:val="en-GB"/>
            </w:rPr>
          </w:pPr>
          <w:r>
            <w:rPr>
              <w:i/>
              <w:color w:val="7F7F7F"/>
            </w:rPr>
            <w:t>Figure: Vodaria target lead-to-order architecture (Hansen Catalog, CPQ, Order Management integrated with Salesforce CRM).</w:t>
          </w:r>
        </w:p>
        <w:p w14:paraId="080E37E4" w14:textId="77777777" w:rsidR="007F6073" w:rsidRDefault="007F6073">
          <w:pPr>
            <w:rPr>
              <w:color w:val="auto"/>
              <w:lang w:val="en-GB"/>
            </w:rPr>
          </w:pPr>
        </w:p>
        <w:p w14:paraId="4B775FC0" w14:textId="7D35224C" w:rsidR="007F6073" w:rsidRDefault="00000000">
          <w:pPr>
            <w:pStyle w:val="Heading2"/>
            <w:rPr>
              <w:color w:val="333333" w:themeColor="text2"/>
              <w:sz w:val="18"/>
            </w:rPr>
          </w:pPr>
          <w:bookmarkStart w:id="81" w:name="_Toc239002207"/>
          <w:r>
            <w:rPr>
              <w:lang w:val="en-GB"/>
            </w:rPr>
            <w:lastRenderedPageBreak/>
            <w:t>Key Deliverables</w:t>
          </w:r>
          <w:bookmarkEnd w:id="81"/>
        </w:p>
        <w:p w14:paraId="4D07DDCA" w14:textId="2FCC7A37" w:rsidR="007F6073" w:rsidRDefault="00000000">
          <w:pPr>
            <w:numPr>
              <w:ilvl w:val="0"/>
              <w:numId w:val="14"/>
            </w:numPr>
            <w:rPr>
              <w:color w:val="auto"/>
              <w:lang w:val="en-GB"/>
            </w:rPr>
          </w:pPr>
          <w:r>
            <w:rPr>
              <w:color w:val="auto"/>
              <w:lang w:val="en-GB"/>
            </w:rPr>
            <w:t>Test strategy</w:t>
          </w:r>
        </w:p>
        <w:p w14:paraId="41D469CC" w14:textId="38341D8D" w:rsidR="007F6073" w:rsidRDefault="00000000">
          <w:pPr>
            <w:numPr>
              <w:ilvl w:val="0"/>
              <w:numId w:val="14"/>
            </w:numPr>
            <w:rPr>
              <w:color w:val="auto"/>
              <w:lang w:val="en-GB"/>
            </w:rPr>
          </w:pPr>
          <w:r>
            <w:rPr>
              <w:color w:val="auto"/>
              <w:lang w:val="en-GB"/>
            </w:rPr>
            <w:t>Test plans</w:t>
          </w:r>
        </w:p>
        <w:p w14:paraId="0CEB81AB" w14:textId="0646C5BD" w:rsidR="007F6073" w:rsidRDefault="00000000">
          <w:pPr>
            <w:numPr>
              <w:ilvl w:val="0"/>
              <w:numId w:val="14"/>
            </w:numPr>
            <w:rPr>
              <w:color w:val="auto"/>
              <w:lang w:val="en-GB"/>
            </w:rPr>
          </w:pPr>
          <w:r>
            <w:rPr>
              <w:color w:val="auto"/>
              <w:lang w:val="en-GB"/>
            </w:rPr>
            <w:t>Defect management process</w:t>
          </w:r>
        </w:p>
        <w:p w14:paraId="41DA2655" w14:textId="7DAC6702" w:rsidR="007F6073" w:rsidRDefault="00000000">
          <w:pPr>
            <w:numPr>
              <w:ilvl w:val="0"/>
              <w:numId w:val="14"/>
            </w:numPr>
            <w:rPr>
              <w:color w:val="auto"/>
              <w:lang w:val="en-GB"/>
            </w:rPr>
          </w:pPr>
          <w:r>
            <w:rPr>
              <w:color w:val="auto"/>
              <w:lang w:val="en-GB"/>
            </w:rPr>
            <w:t>Acceptance criteria</w:t>
          </w:r>
        </w:p>
        <w:p w14:paraId="6785B6C9" w14:textId="7A71BE68" w:rsidR="007F6073" w:rsidRDefault="00000000">
          <w:pPr>
            <w:pStyle w:val="Heading2"/>
            <w:rPr>
              <w:color w:val="333333" w:themeColor="text2"/>
              <w:sz w:val="18"/>
            </w:rPr>
          </w:pPr>
          <w:bookmarkStart w:id="82" w:name="_Toc239002208"/>
          <w:r>
            <w:t>Success Criteria</w:t>
          </w:r>
          <w:bookmarkEnd w:id="82"/>
        </w:p>
        <w:p w14:paraId="5B7DFEFB" w14:textId="5672AE00" w:rsidR="007F6073" w:rsidRDefault="00000000">
          <w:pPr>
            <w:numPr>
              <w:ilvl w:val="0"/>
              <w:numId w:val="15"/>
            </w:numPr>
            <w:rPr>
              <w:color w:val="auto"/>
              <w:lang w:val="en-GB"/>
            </w:rPr>
          </w:pPr>
          <w:r>
            <w:rPr>
              <w:color w:val="auto"/>
              <w:lang w:val="en-GB"/>
            </w:rPr>
            <w:t>Business acceptance achieved</w:t>
          </w:r>
        </w:p>
        <w:p w14:paraId="0BABCAD0" w14:textId="5A254CA0" w:rsidR="007F6073" w:rsidRDefault="00000000">
          <w:pPr>
            <w:numPr>
              <w:ilvl w:val="0"/>
              <w:numId w:val="15"/>
            </w:numPr>
            <w:rPr>
              <w:color w:val="auto"/>
              <w:lang w:val="en-GB"/>
            </w:rPr>
          </w:pPr>
          <w:r>
            <w:rPr>
              <w:color w:val="auto"/>
              <w:lang w:val="en-GB"/>
            </w:rPr>
            <w:t>Performance targets achieved</w:t>
          </w:r>
        </w:p>
        <w:p w14:paraId="5890490E" w14:textId="71851488" w:rsidR="007F6073" w:rsidRDefault="00000000">
          <w:pPr>
            <w:numPr>
              <w:ilvl w:val="0"/>
              <w:numId w:val="15"/>
            </w:numPr>
            <w:rPr>
              <w:color w:val="auto"/>
              <w:lang w:val="en-GB"/>
            </w:rPr>
          </w:pPr>
          <w:r>
            <w:rPr>
              <w:color w:val="auto"/>
              <w:lang w:val="en-GB"/>
            </w:rPr>
            <w:t>Critical defects resolved</w:t>
          </w:r>
        </w:p>
        <w:p w14:paraId="324F8078" w14:textId="6F3E0FC7" w:rsidR="007F6073" w:rsidRDefault="00000000">
          <w:pPr>
            <w:numPr>
              <w:ilvl w:val="0"/>
              <w:numId w:val="15"/>
            </w:numPr>
            <w:rPr>
              <w:color w:val="auto"/>
              <w:lang w:val="en-GB"/>
            </w:rPr>
          </w:pPr>
          <w:r>
            <w:rPr>
              <w:color w:val="auto"/>
              <w:lang w:val="en-GB"/>
            </w:rPr>
            <w:t>Operational readiness confirmed</w:t>
          </w:r>
        </w:p>
        <w:p w14:paraId="41F3FDCB" w14:textId="77777777" w:rsidR="007F6073" w:rsidRDefault="007F6073"/>
        <w:p w14:paraId="485C3A46" w14:textId="78A2A546" w:rsidR="007F6073" w:rsidRDefault="00000000">
          <w:pPr>
            <w:pStyle w:val="Heading1"/>
          </w:pPr>
          <w:r>
            <w:t xml:space="preserve"> </w:t>
          </w:r>
          <w:bookmarkStart w:id="83" w:name="_Toc239002209"/>
          <w:r>
            <w:t>Data Continuity &amp; Migration</w:t>
          </w:r>
          <w:bookmarkEnd w:id="83"/>
        </w:p>
        <w:p w14:paraId="7E0DFF52" w14:textId="12AB5443" w:rsidR="007F6073" w:rsidRDefault="00000000">
          <w:pPr>
            <w:pStyle w:val="Heading2"/>
          </w:pPr>
          <w:bookmarkStart w:id="84" w:name="_Toc239002210"/>
          <w:r>
            <w:t>Business Outcome</w:t>
          </w:r>
          <w:bookmarkEnd w:id="84"/>
        </w:p>
        <w:p w14:paraId="540758FF" w14:textId="5495E598" w:rsidR="007F6073" w:rsidRDefault="00000000">
          <w:pPr>
            <w:rPr>
              <w:color w:val="auto"/>
              <w:lang w:val="en-GB"/>
            </w:rPr>
          </w:pPr>
          <w:r>
            <w:rPr>
              <w:color w:val="auto"/>
              <w:lang w:val="en-GB"/>
            </w:rPr>
            <w:t xml:space="preserve">The objective is to transition Vodaria Group to a more efficient and scalable operating model while preserving the information required to support customer commitments, fulfilment activities and ongoing business operations. </w:t>
          </w:r>
        </w:p>
        <w:p w14:paraId="4C35CA0F" w14:textId="39D4446B" w:rsidR="007F6073" w:rsidRDefault="00000000">
          <w:pPr>
            <w:rPr>
              <w:b/>
              <w:bCs/>
              <w:color w:val="333333" w:themeColor="text2"/>
              <w:sz w:val="18"/>
              <w:u w:val="single"/>
            </w:rPr>
          </w:pPr>
          <w:r>
            <w:rPr>
              <w:b/>
              <w:bCs/>
              <w:u w:val="single"/>
              <w:lang w:val="en-GB"/>
            </w:rPr>
            <w:t>Why This Matters to Vodaria Group</w:t>
          </w:r>
        </w:p>
        <w:p w14:paraId="22CFF391" w14:textId="19354022" w:rsidR="007F6073" w:rsidRDefault="00000000">
          <w:pPr>
            <w:rPr>
              <w:color w:val="auto"/>
              <w:lang w:val="en-GB"/>
            </w:rPr>
          </w:pPr>
          <w:r>
            <w:rPr>
              <w:color w:val="auto"/>
              <w:lang w:val="en-GB"/>
            </w:rPr>
            <w:t>Migration is frequently the highest-risk component of transformation programmes.</w:t>
          </w:r>
        </w:p>
        <w:p w14:paraId="5653B4B7" w14:textId="3B4AEDC7" w:rsidR="007F6073" w:rsidRDefault="00000000">
          <w:pPr>
            <w:pStyle w:val="Heading2"/>
            <w:rPr>
              <w:lang w:val="en-GB"/>
            </w:rPr>
          </w:pPr>
          <w:bookmarkStart w:id="85" w:name="_Toc239002211"/>
          <w:r>
            <w:rPr>
              <w:lang w:val="en-GB"/>
            </w:rPr>
            <w:t>Hansen Approach</w:t>
          </w:r>
          <w:bookmarkEnd w:id="85"/>
        </w:p>
        <w:p w14:paraId="0D03B37B" w14:textId="6B4A4F6B" w:rsidR="007F6073" w:rsidRDefault="00000000">
          <w:pPr>
            <w:rPr>
              <w:color w:val="auto"/>
              <w:lang w:val="en-GB"/>
            </w:rPr>
          </w:pPr>
          <w:r>
            <w:rPr>
              <w:color w:val="auto"/>
              <w:lang w:val="en-GB"/>
            </w:rPr>
            <w:t>Hansen recognises that data continuity and business continuity are critical success factors for the Converged BSS Transformation transformation. Migration should not be viewed solely as a technical activity, but as a controlled business transition ensuring that product definitions, customer agreements, active services and operational processes are transferred to the new Lead-to-Order operating model with minimal disruption.</w:t>
          </w:r>
        </w:p>
        <w:p w14:paraId="62091AD9" w14:textId="744BC0D5" w:rsidR="007F6073" w:rsidRDefault="00000000">
          <w:pPr>
            <w:rPr>
              <w:color w:val="auto"/>
              <w:lang w:val="en-GB"/>
            </w:rPr>
          </w:pPr>
          <w:r>
            <w:rPr>
              <w:color w:val="auto"/>
              <w:lang w:val="en-GB"/>
            </w:rPr>
            <w:t>Hansen will work jointly with Vodaria Group to define the migration strategy, scope, sequencing and acceptance criteria. The migration approach will prioritise active customer services, commercial agreements and product definitions required to support ongoing business operations, while also identifying opportunities to rationalise legacy product structures and reduce complexity within the future Catalog model.</w:t>
          </w:r>
        </w:p>
        <w:p w14:paraId="1257D445" w14:textId="77777777" w:rsidR="007F6073" w:rsidRDefault="00000000">
          <w:pPr>
            <w:rPr>
              <w:color w:val="auto"/>
              <w:lang w:val="en-GB"/>
            </w:rPr>
          </w:pPr>
          <w:r>
            <w:rPr>
              <w:color w:val="auto"/>
              <w:lang w:val="en-GB"/>
            </w:rPr>
            <w:lastRenderedPageBreak/>
            <w:t>Migration planning will include data assessment, mapping, cleansing, reconciliation, rehearsal migrations and cutover planning. Multiple validation cycles will be performed to ensure data quality, integrity and traceability before production deployment.</w:t>
          </w:r>
        </w:p>
        <w:p w14:paraId="1B83EA0A" w14:textId="6E01BFBA" w:rsidR="007F6073" w:rsidRDefault="00000000">
          <w:pPr>
            <w:rPr>
              <w:color w:val="auto"/>
              <w:lang w:val="en-GB"/>
            </w:rPr>
          </w:pPr>
          <w:r>
            <w:rPr>
              <w:color w:val="auto"/>
              <w:lang w:val="en-GB"/>
            </w:rPr>
            <w:t>Where appropriate, migration may be executed in phased waves aligned with Vodaria Group's implementation roadmap, enabling business value to be delivered incrementally while reducing operational and programme risk.</w:t>
          </w:r>
        </w:p>
        <w:p w14:paraId="4C9FE1D1" w14:textId="4490C894" w:rsidR="007F6073" w:rsidRDefault="00000000">
          <w:pPr>
            <w:pStyle w:val="Heading2"/>
            <w:rPr>
              <w:color w:val="333333" w:themeColor="text2"/>
              <w:sz w:val="18"/>
            </w:rPr>
          </w:pPr>
          <w:bookmarkStart w:id="86" w:name="_Toc239002212"/>
          <w:r>
            <w:rPr>
              <w:lang w:val="en-GB"/>
            </w:rPr>
            <w:t>Key Deliverables</w:t>
          </w:r>
          <w:bookmarkEnd w:id="86"/>
        </w:p>
        <w:p w14:paraId="5B70739C" w14:textId="4A3C5656" w:rsidR="007F6073" w:rsidRDefault="00000000">
          <w:pPr>
            <w:numPr>
              <w:ilvl w:val="0"/>
              <w:numId w:val="14"/>
            </w:numPr>
            <w:rPr>
              <w:color w:val="auto"/>
              <w:lang w:val="en-GB"/>
            </w:rPr>
          </w:pPr>
          <w:r>
            <w:rPr>
              <w:color w:val="auto"/>
              <w:lang w:val="en-GB"/>
            </w:rPr>
            <w:t>Migration strategy</w:t>
          </w:r>
        </w:p>
        <w:p w14:paraId="71398E84" w14:textId="2F3538AE" w:rsidR="007F6073" w:rsidRDefault="00000000">
          <w:pPr>
            <w:numPr>
              <w:ilvl w:val="0"/>
              <w:numId w:val="14"/>
            </w:numPr>
            <w:rPr>
              <w:color w:val="auto"/>
              <w:lang w:val="en-GB"/>
            </w:rPr>
          </w:pPr>
          <w:r>
            <w:rPr>
              <w:color w:val="auto"/>
              <w:lang w:val="en-GB"/>
            </w:rPr>
            <w:t xml:space="preserve">Data quality assessment </w:t>
          </w:r>
        </w:p>
        <w:p w14:paraId="041004D0" w14:textId="53DFCB78" w:rsidR="007F6073" w:rsidRDefault="00000000">
          <w:pPr>
            <w:numPr>
              <w:ilvl w:val="0"/>
              <w:numId w:val="14"/>
            </w:numPr>
            <w:rPr>
              <w:color w:val="auto"/>
              <w:lang w:val="en-GB"/>
            </w:rPr>
          </w:pPr>
          <w:r>
            <w:rPr>
              <w:color w:val="auto"/>
              <w:lang w:val="en-GB"/>
            </w:rPr>
            <w:t>Migration design and mapping</w:t>
          </w:r>
        </w:p>
        <w:p w14:paraId="75954A92" w14:textId="2E94D9E2" w:rsidR="007F6073" w:rsidRDefault="00000000">
          <w:pPr>
            <w:numPr>
              <w:ilvl w:val="0"/>
              <w:numId w:val="14"/>
            </w:numPr>
            <w:rPr>
              <w:color w:val="auto"/>
              <w:lang w:val="en-GB"/>
            </w:rPr>
          </w:pPr>
          <w:r>
            <w:rPr>
              <w:color w:val="auto"/>
              <w:lang w:val="en-GB"/>
            </w:rPr>
            <w:t>Migration rehearsal cycles</w:t>
          </w:r>
        </w:p>
        <w:p w14:paraId="7B5AA6EA" w14:textId="03E3AA63" w:rsidR="007F6073" w:rsidRDefault="00000000">
          <w:pPr>
            <w:numPr>
              <w:ilvl w:val="0"/>
              <w:numId w:val="14"/>
            </w:numPr>
            <w:rPr>
              <w:color w:val="auto"/>
              <w:lang w:val="en-GB"/>
            </w:rPr>
          </w:pPr>
          <w:r>
            <w:rPr>
              <w:color w:val="auto"/>
              <w:lang w:val="en-GB"/>
            </w:rPr>
            <w:t>Reconciliation reports</w:t>
          </w:r>
        </w:p>
        <w:p w14:paraId="6D865BCE" w14:textId="4833A267" w:rsidR="007F6073" w:rsidRDefault="00000000">
          <w:pPr>
            <w:pStyle w:val="Heading2"/>
          </w:pPr>
          <w:bookmarkStart w:id="87" w:name="_Toc239002213"/>
          <w:r>
            <w:t>Success Criteria</w:t>
          </w:r>
          <w:bookmarkEnd w:id="87"/>
        </w:p>
        <w:p w14:paraId="77077418" w14:textId="4E6B4989" w:rsidR="007F6073" w:rsidRDefault="00000000">
          <w:pPr>
            <w:numPr>
              <w:ilvl w:val="0"/>
              <w:numId w:val="14"/>
            </w:numPr>
            <w:rPr>
              <w:color w:val="auto"/>
              <w:lang w:val="en-GB"/>
            </w:rPr>
          </w:pPr>
          <w:r>
            <w:rPr>
              <w:color w:val="auto"/>
              <w:lang w:val="en-GB"/>
            </w:rPr>
            <w:t>Successful migration cutover completed</w:t>
          </w:r>
        </w:p>
        <w:p w14:paraId="074AF1AB" w14:textId="72CFB850" w:rsidR="007F6073" w:rsidRDefault="00000000">
          <w:pPr>
            <w:pStyle w:val="ListParagraph"/>
            <w:numPr>
              <w:ilvl w:val="0"/>
              <w:numId w:val="14"/>
            </w:numPr>
            <w:spacing w:line="300" w:lineRule="atLeast"/>
            <w:rPr>
              <w:rFonts w:eastAsia="Times New Roman" w:cs="Segoe UI"/>
              <w:color w:val="auto"/>
              <w:szCs w:val="22"/>
              <w:lang w:val="en-GB" w:eastAsia="en-GB"/>
            </w:rPr>
          </w:pPr>
          <w:r>
            <w:rPr>
              <w:rFonts w:eastAsia="Times New Roman" w:cs="Segoe UI"/>
              <w:color w:val="auto"/>
              <w:szCs w:val="22"/>
              <w:lang w:val="en-GB" w:eastAsia="en-GB"/>
            </w:rPr>
            <w:t>Data accuracy and reconciliation objectives achieved</w:t>
          </w:r>
        </w:p>
        <w:p w14:paraId="69E72247" w14:textId="38059EED" w:rsidR="007F6073" w:rsidRDefault="00000000">
          <w:pPr>
            <w:numPr>
              <w:ilvl w:val="0"/>
              <w:numId w:val="14"/>
            </w:numPr>
            <w:rPr>
              <w:color w:val="auto"/>
              <w:lang w:val="en-GB"/>
            </w:rPr>
          </w:pPr>
          <w:r>
            <w:rPr>
              <w:color w:val="auto"/>
              <w:lang w:val="en-GB"/>
            </w:rPr>
            <w:t>Business continuity preserved throughout transition</w:t>
          </w:r>
        </w:p>
        <w:p w14:paraId="6125F127" w14:textId="2A28124E" w:rsidR="007F6073" w:rsidRDefault="00000000">
          <w:pPr>
            <w:numPr>
              <w:ilvl w:val="0"/>
              <w:numId w:val="14"/>
            </w:numPr>
            <w:rPr>
              <w:color w:val="auto"/>
              <w:lang w:val="en-GB"/>
            </w:rPr>
          </w:pPr>
          <w:r>
            <w:rPr>
              <w:color w:val="auto"/>
              <w:szCs w:val="22"/>
              <w:lang w:val="en-GB"/>
            </w:rPr>
            <w:t>Customer commitments and fulfilment activities maintained without disruption</w:t>
          </w:r>
        </w:p>
        <w:p w14:paraId="7C103FB7" w14:textId="08B007CC" w:rsidR="007F6073" w:rsidRDefault="00000000">
          <w:pPr>
            <w:numPr>
              <w:ilvl w:val="0"/>
              <w:numId w:val="14"/>
            </w:numPr>
            <w:rPr>
              <w:color w:val="auto"/>
              <w:szCs w:val="22"/>
              <w:lang w:val="en-GB"/>
            </w:rPr>
          </w:pPr>
          <w:r>
            <w:rPr>
              <w:color w:val="auto"/>
              <w:szCs w:val="22"/>
              <w:lang w:val="en-GB"/>
            </w:rPr>
            <w:t>Legacy product and data complexity reduced where agreed</w:t>
          </w:r>
        </w:p>
        <w:p w14:paraId="2D655469" w14:textId="763E9FF6" w:rsidR="007F6073" w:rsidRDefault="00000000">
          <w:pPr>
            <w:rPr>
              <w:color w:val="auto"/>
              <w:lang w:val="en-GB"/>
            </w:rPr>
          </w:pPr>
          <w:r>
            <w:rPr>
              <w:color w:val="auto"/>
              <w:lang w:val="en-GB"/>
            </w:rPr>
            <w:t>The outcome is not simply successful data migration. The outcome is the establishment of a governed Lead-to-Order foundation where products, commercial agreements, customer services and fulfilment activities operate consistently through the Converged BSS Transformation operating model. This creates a scalable platform for future growth while reducing dependency on legacy processes and fragmented data structures.</w:t>
          </w:r>
        </w:p>
        <w:p w14:paraId="6B2E0346" w14:textId="1E853FC7" w:rsidR="007F6073" w:rsidRDefault="00000000">
          <w:pPr>
            <w:pStyle w:val="Heading1"/>
          </w:pPr>
          <w:bookmarkStart w:id="88" w:name="_Toc239002214"/>
          <w:r>
            <w:t>Cutover &amp; Go-Live</w:t>
          </w:r>
          <w:bookmarkEnd w:id="88"/>
        </w:p>
        <w:p w14:paraId="4751BB5F" w14:textId="78EC7893" w:rsidR="007F6073" w:rsidRDefault="00000000">
          <w:pPr>
            <w:pStyle w:val="Heading2"/>
            <w:rPr>
              <w:color w:val="333333" w:themeColor="text2"/>
              <w:sz w:val="18"/>
            </w:rPr>
          </w:pPr>
          <w:bookmarkStart w:id="89" w:name="_Toc239002215"/>
          <w:r>
            <w:rPr>
              <w:lang w:val="en-GB"/>
            </w:rPr>
            <w:t>Business Outcome</w:t>
          </w:r>
          <w:bookmarkEnd w:id="89"/>
        </w:p>
        <w:p w14:paraId="586D87F1" w14:textId="5165A7D5" w:rsidR="007F6073" w:rsidRDefault="00000000">
          <w:pPr>
            <w:rPr>
              <w:color w:val="auto"/>
              <w:lang w:val="en-GB"/>
            </w:rPr>
          </w:pPr>
          <w:r>
            <w:rPr>
              <w:color w:val="auto"/>
              <w:lang w:val="en-GB"/>
            </w:rPr>
            <w:t>Transition Vodaria Group to the new operating model with minimum disruption.</w:t>
          </w:r>
        </w:p>
        <w:p w14:paraId="6751F67A" w14:textId="48CF4107" w:rsidR="007F6073" w:rsidRDefault="00000000">
          <w:pPr>
            <w:rPr>
              <w:b/>
              <w:bCs/>
              <w:color w:val="333333" w:themeColor="text2"/>
              <w:sz w:val="18"/>
              <w:u w:val="single"/>
            </w:rPr>
          </w:pPr>
          <w:r>
            <w:rPr>
              <w:b/>
              <w:bCs/>
              <w:u w:val="single"/>
              <w:lang w:val="en-GB"/>
            </w:rPr>
            <w:t>Why This Matters to Vodaria Group</w:t>
          </w:r>
        </w:p>
        <w:p w14:paraId="479DA0F2" w14:textId="792BE827" w:rsidR="007F6073" w:rsidRDefault="00000000">
          <w:pPr>
            <w:rPr>
              <w:color w:val="auto"/>
              <w:lang w:val="en-GB"/>
            </w:rPr>
          </w:pPr>
          <w:r>
            <w:rPr>
              <w:color w:val="auto"/>
              <w:lang w:val="en-GB"/>
            </w:rPr>
            <w:t>Go-live represents the point at which business value begins to be realised.</w:t>
          </w:r>
        </w:p>
        <w:p w14:paraId="0D58E760" w14:textId="22DAA3F4" w:rsidR="007F6073" w:rsidRDefault="00000000">
          <w:pPr>
            <w:pStyle w:val="Heading2"/>
            <w:rPr>
              <w:color w:val="333333" w:themeColor="text2"/>
              <w:sz w:val="18"/>
            </w:rPr>
          </w:pPr>
          <w:bookmarkStart w:id="90" w:name="_Toc239002216"/>
          <w:r>
            <w:rPr>
              <w:lang w:val="en-GB"/>
            </w:rPr>
            <w:lastRenderedPageBreak/>
            <w:t>Hansen Approach</w:t>
          </w:r>
          <w:bookmarkEnd w:id="90"/>
        </w:p>
        <w:p w14:paraId="3D9704CA" w14:textId="56A30A9A" w:rsidR="007F6073" w:rsidRDefault="00000000">
          <w:pPr>
            <w:rPr>
              <w:color w:val="auto"/>
              <w:lang w:val="en-GB"/>
            </w:rPr>
          </w:pPr>
          <w:r>
            <w:rPr>
              <w:color w:val="auto"/>
              <w:lang w:val="en-GB"/>
            </w:rPr>
            <w:t>Controlled cutover supported by rehearsals, governance checkpoints and hypercare.</w:t>
          </w:r>
        </w:p>
        <w:p w14:paraId="77FC1CD0" w14:textId="38D0878E" w:rsidR="007F6073" w:rsidRDefault="00000000">
          <w:pPr>
            <w:pStyle w:val="Heading2"/>
            <w:rPr>
              <w:color w:val="333333" w:themeColor="text2"/>
              <w:sz w:val="18"/>
            </w:rPr>
          </w:pPr>
          <w:bookmarkStart w:id="91" w:name="_Toc239002217"/>
          <w:r>
            <w:rPr>
              <w:lang w:val="en-GB"/>
            </w:rPr>
            <w:t>Key Deliverables</w:t>
          </w:r>
          <w:bookmarkEnd w:id="91"/>
        </w:p>
        <w:p w14:paraId="355B8954" w14:textId="78868DD9" w:rsidR="007F6073" w:rsidRDefault="00000000">
          <w:pPr>
            <w:numPr>
              <w:ilvl w:val="0"/>
              <w:numId w:val="14"/>
            </w:numPr>
            <w:rPr>
              <w:color w:val="auto"/>
              <w:lang w:val="en-GB"/>
            </w:rPr>
          </w:pPr>
          <w:r>
            <w:rPr>
              <w:color w:val="auto"/>
              <w:lang w:val="en-GB"/>
            </w:rPr>
            <w:t>Cutover plan</w:t>
          </w:r>
        </w:p>
        <w:p w14:paraId="13B032A9" w14:textId="6113A36F" w:rsidR="007F6073" w:rsidRDefault="00000000">
          <w:pPr>
            <w:numPr>
              <w:ilvl w:val="0"/>
              <w:numId w:val="14"/>
            </w:numPr>
            <w:rPr>
              <w:color w:val="auto"/>
              <w:lang w:val="en-GB"/>
            </w:rPr>
          </w:pPr>
          <w:r>
            <w:rPr>
              <w:color w:val="auto"/>
              <w:lang w:val="en-GB"/>
            </w:rPr>
            <w:t>Command centre model</w:t>
          </w:r>
        </w:p>
        <w:p w14:paraId="7690BC42" w14:textId="0286452B" w:rsidR="007F6073" w:rsidRDefault="00000000">
          <w:pPr>
            <w:numPr>
              <w:ilvl w:val="0"/>
              <w:numId w:val="14"/>
            </w:numPr>
            <w:rPr>
              <w:color w:val="auto"/>
              <w:lang w:val="en-GB"/>
            </w:rPr>
          </w:pPr>
          <w:r>
            <w:rPr>
              <w:color w:val="auto"/>
              <w:lang w:val="en-GB"/>
            </w:rPr>
            <w:t>Hypercare framework</w:t>
          </w:r>
        </w:p>
        <w:p w14:paraId="732220FE" w14:textId="32ED2A1A" w:rsidR="007F6073" w:rsidRDefault="00000000">
          <w:pPr>
            <w:pStyle w:val="Heading2"/>
            <w:rPr>
              <w:color w:val="333333" w:themeColor="text2"/>
              <w:sz w:val="18"/>
            </w:rPr>
          </w:pPr>
          <w:bookmarkStart w:id="92" w:name="_Toc239002218"/>
          <w:r>
            <w:t>Success Criteria</w:t>
          </w:r>
          <w:bookmarkEnd w:id="92"/>
        </w:p>
        <w:p w14:paraId="0AE931B6" w14:textId="4C2C842A" w:rsidR="007F6073" w:rsidRDefault="00000000">
          <w:pPr>
            <w:numPr>
              <w:ilvl w:val="0"/>
              <w:numId w:val="15"/>
            </w:numPr>
            <w:rPr>
              <w:color w:val="auto"/>
              <w:lang w:val="en-GB"/>
            </w:rPr>
          </w:pPr>
          <w:r>
            <w:rPr>
              <w:color w:val="auto"/>
              <w:lang w:val="en-GB"/>
            </w:rPr>
            <w:t>Successful go-live</w:t>
          </w:r>
        </w:p>
        <w:p w14:paraId="2F24C59F" w14:textId="101C26C5" w:rsidR="007F6073" w:rsidRDefault="00000000">
          <w:pPr>
            <w:numPr>
              <w:ilvl w:val="0"/>
              <w:numId w:val="15"/>
            </w:numPr>
            <w:rPr>
              <w:color w:val="auto"/>
              <w:lang w:val="en-GB"/>
            </w:rPr>
          </w:pPr>
          <w:r>
            <w:rPr>
              <w:color w:val="auto"/>
              <w:lang w:val="en-GB"/>
            </w:rPr>
            <w:t>Minimal business disruption</w:t>
          </w:r>
        </w:p>
        <w:p w14:paraId="30BE2893" w14:textId="580FA407" w:rsidR="007F6073" w:rsidRDefault="00000000">
          <w:pPr>
            <w:numPr>
              <w:ilvl w:val="0"/>
              <w:numId w:val="15"/>
            </w:numPr>
            <w:rPr>
              <w:color w:val="auto"/>
              <w:lang w:val="en-GB"/>
            </w:rPr>
          </w:pPr>
          <w:r>
            <w:rPr>
              <w:color w:val="auto"/>
              <w:lang w:val="en-GB"/>
            </w:rPr>
            <w:t>Rapid issue resolution</w:t>
          </w:r>
        </w:p>
        <w:p w14:paraId="2E1DBA84" w14:textId="4F750747" w:rsidR="007F6073" w:rsidRDefault="00000000">
          <w:pPr>
            <w:pStyle w:val="Heading1"/>
          </w:pPr>
          <w:r>
            <w:t xml:space="preserve"> </w:t>
          </w:r>
          <w:bookmarkStart w:id="93" w:name="_Toc239002219"/>
          <w:r>
            <w:t>Business Readiness &amp; Enablement</w:t>
          </w:r>
          <w:bookmarkEnd w:id="93"/>
        </w:p>
        <w:p w14:paraId="6738BF96" w14:textId="57A514D8" w:rsidR="007F6073" w:rsidRDefault="00000000">
          <w:pPr>
            <w:pStyle w:val="Heading2"/>
            <w:rPr>
              <w:color w:val="333333" w:themeColor="text2"/>
              <w:sz w:val="18"/>
            </w:rPr>
          </w:pPr>
          <w:bookmarkStart w:id="94" w:name="_Toc239002220"/>
          <w:r>
            <w:rPr>
              <w:lang w:val="en-GB"/>
            </w:rPr>
            <w:t>Business Outcome</w:t>
          </w:r>
          <w:bookmarkEnd w:id="94"/>
        </w:p>
        <w:p w14:paraId="0A8C8158" w14:textId="4DE63276" w:rsidR="007F6073" w:rsidRDefault="00000000">
          <w:pPr>
            <w:rPr>
              <w:color w:val="auto"/>
              <w:lang w:val="en-GB"/>
            </w:rPr>
          </w:pPr>
          <w:r>
            <w:rPr>
              <w:color w:val="auto"/>
              <w:lang w:val="en-GB"/>
            </w:rPr>
            <w:t>Equip users, administrators and support teams to successfully adopt and operate Converged BSS Transformation.</w:t>
          </w:r>
        </w:p>
        <w:p w14:paraId="77C2056E" w14:textId="7532EB81" w:rsidR="007F6073" w:rsidRDefault="00000000">
          <w:pPr>
            <w:rPr>
              <w:b/>
              <w:bCs/>
              <w:color w:val="333333" w:themeColor="text2"/>
              <w:sz w:val="18"/>
              <w:u w:val="single"/>
            </w:rPr>
          </w:pPr>
          <w:r>
            <w:rPr>
              <w:b/>
              <w:bCs/>
              <w:u w:val="single"/>
              <w:lang w:val="en-GB"/>
            </w:rPr>
            <w:t>Why This Matters to Vodaria Group</w:t>
          </w:r>
        </w:p>
        <w:p w14:paraId="0F77B390" w14:textId="0B721CE3" w:rsidR="007F6073" w:rsidRDefault="00000000">
          <w:pPr>
            <w:rPr>
              <w:color w:val="auto"/>
              <w:lang w:val="en-GB"/>
            </w:rPr>
          </w:pPr>
          <w:r>
            <w:rPr>
              <w:color w:val="auto"/>
              <w:lang w:val="en-GB"/>
            </w:rPr>
            <w:t>Technology alone will not deliver transformation without user adoption.</w:t>
          </w:r>
        </w:p>
        <w:p w14:paraId="3B0BE76E" w14:textId="731D8B71" w:rsidR="007F6073" w:rsidRDefault="00000000">
          <w:pPr>
            <w:pStyle w:val="Heading2"/>
            <w:rPr>
              <w:color w:val="333333" w:themeColor="text2"/>
              <w:sz w:val="18"/>
            </w:rPr>
          </w:pPr>
          <w:bookmarkStart w:id="95" w:name="_Toc239002221"/>
          <w:r>
            <w:rPr>
              <w:lang w:val="en-GB"/>
            </w:rPr>
            <w:t>Hansen Approach</w:t>
          </w:r>
          <w:bookmarkEnd w:id="95"/>
        </w:p>
        <w:p w14:paraId="1CF55C72" w14:textId="2C0E8296" w:rsidR="007F6073" w:rsidRDefault="00000000">
          <w:pPr>
            <w:rPr>
              <w:color w:val="auto"/>
              <w:lang w:val="en-GB"/>
            </w:rPr>
          </w:pPr>
          <w:r>
            <w:rPr>
              <w:color w:val="auto"/>
              <w:lang w:val="en-GB"/>
            </w:rPr>
            <w:t>Role-based enablement supported by training, communications and operational preparation.</w:t>
          </w:r>
        </w:p>
        <w:p w14:paraId="34CA8824" w14:textId="4F7B5A3F" w:rsidR="007F6073" w:rsidRDefault="00000000">
          <w:pPr>
            <w:pStyle w:val="Heading2"/>
            <w:rPr>
              <w:color w:val="333333" w:themeColor="text2"/>
              <w:sz w:val="18"/>
            </w:rPr>
          </w:pPr>
          <w:bookmarkStart w:id="96" w:name="_Toc239002222"/>
          <w:r>
            <w:rPr>
              <w:lang w:val="en-GB"/>
            </w:rPr>
            <w:t>Key Deliverables</w:t>
          </w:r>
          <w:bookmarkEnd w:id="96"/>
        </w:p>
        <w:p w14:paraId="6AB42D49" w14:textId="15604497" w:rsidR="007F6073" w:rsidRDefault="00000000">
          <w:pPr>
            <w:numPr>
              <w:ilvl w:val="0"/>
              <w:numId w:val="14"/>
            </w:numPr>
            <w:rPr>
              <w:color w:val="auto"/>
              <w:lang w:val="en-GB"/>
            </w:rPr>
          </w:pPr>
          <w:r>
            <w:rPr>
              <w:color w:val="auto"/>
              <w:lang w:val="en-GB"/>
            </w:rPr>
            <w:t>Training programme</w:t>
          </w:r>
        </w:p>
        <w:p w14:paraId="1D3A3498" w14:textId="42E6A2DA" w:rsidR="007F6073" w:rsidRDefault="00000000">
          <w:pPr>
            <w:numPr>
              <w:ilvl w:val="0"/>
              <w:numId w:val="14"/>
            </w:numPr>
            <w:rPr>
              <w:color w:val="auto"/>
              <w:lang w:val="en-GB"/>
            </w:rPr>
          </w:pPr>
          <w:r>
            <w:rPr>
              <w:color w:val="auto"/>
              <w:lang w:val="en-GB"/>
            </w:rPr>
            <w:t>User guides</w:t>
          </w:r>
        </w:p>
        <w:p w14:paraId="5D007459" w14:textId="7FE7A69F" w:rsidR="007F6073" w:rsidRDefault="00000000">
          <w:pPr>
            <w:numPr>
              <w:ilvl w:val="0"/>
              <w:numId w:val="14"/>
            </w:numPr>
            <w:rPr>
              <w:color w:val="auto"/>
              <w:lang w:val="en-GB"/>
            </w:rPr>
          </w:pPr>
          <w:r>
            <w:rPr>
              <w:color w:val="auto"/>
              <w:lang w:val="en-GB"/>
            </w:rPr>
            <w:t>Operational procedures</w:t>
          </w:r>
        </w:p>
        <w:p w14:paraId="3A625D57" w14:textId="7EBEF06D" w:rsidR="007F6073" w:rsidRDefault="00000000">
          <w:pPr>
            <w:numPr>
              <w:ilvl w:val="0"/>
              <w:numId w:val="14"/>
            </w:numPr>
            <w:rPr>
              <w:color w:val="auto"/>
              <w:lang w:val="en-GB"/>
            </w:rPr>
          </w:pPr>
          <w:r>
            <w:rPr>
              <w:color w:val="auto"/>
              <w:lang w:val="en-GB"/>
            </w:rPr>
            <w:t>Adoption plan</w:t>
          </w:r>
        </w:p>
        <w:p w14:paraId="057BA1BB" w14:textId="4A4207D1" w:rsidR="007F6073" w:rsidRDefault="00000000">
          <w:pPr>
            <w:pStyle w:val="Heading2"/>
            <w:rPr>
              <w:color w:val="333333" w:themeColor="text2"/>
              <w:sz w:val="18"/>
            </w:rPr>
          </w:pPr>
          <w:bookmarkStart w:id="97" w:name="_Toc239002223"/>
          <w:r>
            <w:t>Success Criteria</w:t>
          </w:r>
          <w:bookmarkEnd w:id="97"/>
        </w:p>
        <w:p w14:paraId="3F53DB09" w14:textId="1A66935C" w:rsidR="007F6073" w:rsidRDefault="00000000">
          <w:pPr>
            <w:numPr>
              <w:ilvl w:val="0"/>
              <w:numId w:val="15"/>
            </w:numPr>
            <w:rPr>
              <w:color w:val="auto"/>
              <w:lang w:val="en-GB"/>
            </w:rPr>
          </w:pPr>
          <w:r>
            <w:rPr>
              <w:color w:val="auto"/>
              <w:lang w:val="en-GB"/>
            </w:rPr>
            <w:t>User readiness achieved</w:t>
          </w:r>
        </w:p>
        <w:p w14:paraId="0F06AFD4" w14:textId="74E2E89A" w:rsidR="007F6073" w:rsidRDefault="00000000">
          <w:pPr>
            <w:numPr>
              <w:ilvl w:val="0"/>
              <w:numId w:val="15"/>
            </w:numPr>
            <w:rPr>
              <w:color w:val="auto"/>
              <w:lang w:val="en-GB"/>
            </w:rPr>
          </w:pPr>
          <w:r>
            <w:rPr>
              <w:color w:val="auto"/>
              <w:lang w:val="en-GB"/>
            </w:rPr>
            <w:t>High adoption rates</w:t>
          </w:r>
        </w:p>
        <w:p w14:paraId="0E941D67" w14:textId="38CEAB08" w:rsidR="007F6073" w:rsidRDefault="00000000">
          <w:pPr>
            <w:numPr>
              <w:ilvl w:val="0"/>
              <w:numId w:val="15"/>
            </w:numPr>
            <w:rPr>
              <w:color w:val="auto"/>
              <w:lang w:val="en-GB"/>
            </w:rPr>
          </w:pPr>
          <w:r>
            <w:rPr>
              <w:color w:val="auto"/>
              <w:lang w:val="en-GB"/>
            </w:rPr>
            <w:lastRenderedPageBreak/>
            <w:t>Reduced support demand</w:t>
          </w:r>
        </w:p>
        <w:p w14:paraId="561D6732" w14:textId="775E1B3A" w:rsidR="007F6073" w:rsidRDefault="00000000">
          <w:pPr>
            <w:pStyle w:val="Heading1"/>
          </w:pPr>
          <w:bookmarkStart w:id="98" w:name="_Toc239002224"/>
          <w:r>
            <w:t>Assumptions, Dependencies &amp; Exclusions</w:t>
          </w:r>
          <w:bookmarkEnd w:id="98"/>
        </w:p>
        <w:tbl>
          <w:tblPr>
            <w:tblStyle w:val="ListTable3-Accent1"/>
            <w:tblW w:w="0" w:type="auto"/>
            <w:tblLook w:val="04A0" w:firstRow="1" w:lastRow="0" w:firstColumn="1" w:lastColumn="0" w:noHBand="0" w:noVBand="1"/>
          </w:tblPr>
          <w:tblGrid>
            <w:gridCol w:w="2926"/>
            <w:gridCol w:w="7144"/>
          </w:tblGrid>
          <w:tr w:rsidR="007F6073" w14:paraId="2DEE2050" w14:textId="77777777" w:rsidTr="007F6073">
            <w:trPr>
              <w:cnfStyle w:val="100000000000" w:firstRow="1" w:lastRow="0" w:firstColumn="0" w:lastColumn="0" w:oddVBand="0" w:evenVBand="0" w:oddHBand="0" w:evenHBand="0" w:firstRowFirstColumn="0" w:firstRowLastColumn="0" w:lastRowFirstColumn="0" w:lastRowLastColumn="0"/>
              <w:trHeight w:val="512"/>
              <w:tblHeader/>
            </w:trPr>
            <w:tc>
              <w:tcPr>
                <w:cnfStyle w:val="001000000100" w:firstRow="0" w:lastRow="0" w:firstColumn="1" w:lastColumn="0" w:oddVBand="0" w:evenVBand="0" w:oddHBand="0" w:evenHBand="0" w:firstRowFirstColumn="1" w:firstRowLastColumn="0" w:lastRowFirstColumn="0" w:lastRowLastColumn="0"/>
                <w:tcW w:w="2928" w:type="dxa"/>
                <w:vAlign w:val="center"/>
              </w:tcPr>
              <w:p w14:paraId="410CBA8A" w14:textId="77777777" w:rsidR="007F6073" w:rsidRDefault="00000000">
                <w:pPr>
                  <w:spacing w:before="0"/>
                  <w:jc w:val="center"/>
                  <w:rPr>
                    <w:sz w:val="24"/>
                    <w:szCs w:val="24"/>
                  </w:rPr>
                </w:pPr>
                <w:r>
                  <w:rPr>
                    <w:color w:val="FFFFFF"/>
                    <w:sz w:val="24"/>
                    <w:szCs w:val="24"/>
                  </w:rPr>
                  <w:t>Category</w:t>
                </w:r>
              </w:p>
            </w:tc>
            <w:tc>
              <w:tcPr>
                <w:tcW w:w="7152" w:type="dxa"/>
                <w:vAlign w:val="center"/>
              </w:tcPr>
              <w:p w14:paraId="205D14A7" w14:textId="15AA1379" w:rsidR="007F6073" w:rsidRDefault="00000000">
                <w:pPr>
                  <w:spacing w:before="0"/>
                  <w:jc w:val="center"/>
                  <w:cnfStyle w:val="100000000000" w:firstRow="1" w:lastRow="0" w:firstColumn="0" w:lastColumn="0" w:oddVBand="0" w:evenVBand="0" w:oddHBand="0" w:evenHBand="0" w:firstRowFirstColumn="0" w:firstRowLastColumn="0" w:lastRowFirstColumn="0" w:lastRowLastColumn="0"/>
                  <w:rPr>
                    <w:sz w:val="24"/>
                    <w:szCs w:val="24"/>
                  </w:rPr>
                </w:pPr>
                <w:r>
                  <w:rPr>
                    <w:color w:val="FFFFFF"/>
                    <w:sz w:val="24"/>
                    <w:szCs w:val="24"/>
                  </w:rPr>
                  <w:t>Assumption / exclusion</w:t>
                </w:r>
              </w:p>
            </w:tc>
          </w:tr>
          <w:tr w:rsidR="007F6073" w14:paraId="3ECDF6C9"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235A6825" w14:textId="77777777" w:rsidR="007F6073" w:rsidRDefault="00000000">
                <w:r>
                  <w:t>Salesforce CRM</w:t>
                </w:r>
              </w:p>
            </w:tc>
            <w:tc>
              <w:tcPr>
                <w:tcW w:w="7152" w:type="dxa"/>
                <w:vAlign w:val="center"/>
              </w:tcPr>
              <w:p w14:paraId="5E5A0711" w14:textId="4C966765"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Salesforce CRM remains Vodaria Group's system of record for accounts, contacts, opportunities and customer engagement. Hansen’s scope includes the agreed integration required to launch and operate Hansen Sales Navigator and CPQ from the Salesforce CRM sales journey, exchange the agreed customer and opportunity context, and return relevant quote and order status. Vodaria Group remains responsible for its Salesforce CRM licences, tenant administration, data quality, security configuration and existing CRM processes. Any material Salesforce CRM process redesign, custom object development, migration, or changes outside the agreed integration interfaces will be subject to separate scope and change control. The final integration pattern, including embedded, linked or API-led operation, will be agreed during solution design.</w:t>
                </w:r>
              </w:p>
            </w:tc>
          </w:tr>
          <w:tr w:rsidR="007F6073" w14:paraId="48BE3071" w14:textId="77777777" w:rsidTr="007F6073">
            <w:tc>
              <w:tcPr>
                <w:cnfStyle w:val="001000000000" w:firstRow="0" w:lastRow="0" w:firstColumn="1" w:lastColumn="0" w:oddVBand="0" w:evenVBand="0" w:oddHBand="0" w:evenHBand="0" w:firstRowFirstColumn="0" w:firstRowLastColumn="0" w:lastRowFirstColumn="0" w:lastRowLastColumn="0"/>
                <w:tcW w:w="2928" w:type="dxa"/>
                <w:vAlign w:val="center"/>
              </w:tcPr>
              <w:p w14:paraId="7E814E2A" w14:textId="77777777" w:rsidR="007F6073" w:rsidRDefault="00000000">
                <w:r>
                  <w:t>Network Inventory / Orchestration</w:t>
                </w:r>
              </w:p>
            </w:tc>
            <w:tc>
              <w:tcPr>
                <w:tcW w:w="7152" w:type="dxa"/>
                <w:vAlign w:val="center"/>
              </w:tcPr>
              <w:p w14:paraId="41A09699" w14:textId="1DF10ADE" w:rsidR="007F6073" w:rsidRDefault="00000000">
                <w:pPr>
                  <w:cnfStyle w:val="000000000000" w:firstRow="0" w:lastRow="0" w:firstColumn="0" w:lastColumn="0" w:oddVBand="0" w:evenVBand="0" w:oddHBand="0" w:evenHBand="0" w:firstRowFirstColumn="0" w:firstRowLastColumn="0" w:lastRowFirstColumn="0" w:lastRowLastColumn="0"/>
                  <w:rPr>
                    <w:lang w:val="en-GB"/>
                  </w:rPr>
                </w:pPr>
                <w:r>
                  <w:rPr>
                    <w:lang w:val="en-GB"/>
                  </w:rPr>
                  <w:t>Physical network inventory, network resource planning, network orchestration, network management and service activation platforms are outside the Hansen software scope and are expected to be provided through other Converged BSS Transformation workstreams or existing Vodaria Group platforms. Hansen’s scope includes the specifically agreed integrations required for serviceability, feasibility, reservation, release, fulfilment, activation and status exchange. Hansen Portfolio Inventory is limited to the agreed customer product and service inventory scope. Any extension into physical network inventory, resource inventory, network orchestration or service activation product scope will require separate solution design, estimation and commercial agreement.</w:t>
                </w:r>
              </w:p>
            </w:tc>
          </w:tr>
          <w:tr w:rsidR="007F6073" w14:paraId="14AD3DF0"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4355361E" w14:textId="77777777" w:rsidR="007F6073" w:rsidRDefault="00000000">
                <w:pPr>
                  <w:rPr>
                    <w:lang w:val="it-IT"/>
                  </w:rPr>
                </w:pPr>
                <w:r>
                  <w:rPr>
                    <w:lang w:val="it-IT"/>
                  </w:rPr>
                  <w:t>CLM / e-signature / document generation</w:t>
                </w:r>
              </w:p>
            </w:tc>
            <w:tc>
              <w:tcPr>
                <w:tcW w:w="7152" w:type="dxa"/>
                <w:vAlign w:val="center"/>
              </w:tcPr>
              <w:p w14:paraId="2F0AF0A1" w14:textId="77777777"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Legal document generation, redlining, legal negotiation, e-signature and Contract Lifecycle Management are outside the Hansen product scope and will be provided by Vodaria Group, Salesforce CRM, Vodaria Icertis CLM and/or other third-party platforms selected by Vodaria Group. Hansen will provide the agreed commercial agreement data and integration interfaces required to support these processes. The selected systems, system-of-record boundaries, data contracts, lifecycle events, security model and integration responsibilities must be confirmed during discovery. Estimates assume that the selected third-party platforms expose suitable, documented and testable interfaces. Changes </w:t>
                </w:r>
                <w:r>
                  <w:rPr>
                    <w:lang w:val="en-GB"/>
                  </w:rPr>
                  <w:lastRenderedPageBreak/>
                  <w:t xml:space="preserve">arising from selection or replacement of these platforms after interface design has commenced may require change control. </w:t>
                </w:r>
              </w:p>
              <w:p w14:paraId="3709F949" w14:textId="1B45F3FA"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The external CLM remains the system of record for the executed legal contract, legal clauses, signatures and legal lifecycle. Hansen’s Commercial Agreement repository retains the operational commercial data required for contract-based ordering, including agreed products, configuration, pricing, commitments and entitlements. Responsibility for initiating expiry, renewal and legal review events, and for synchronising resulting changes with Hansen, will be agreed during detailed design.</w:t>
                </w:r>
              </w:p>
            </w:tc>
          </w:tr>
          <w:tr w:rsidR="007F6073" w14:paraId="6139648B" w14:textId="77777777" w:rsidTr="007F6073">
            <w:tc>
              <w:tcPr>
                <w:cnfStyle w:val="001000000000" w:firstRow="0" w:lastRow="0" w:firstColumn="1" w:lastColumn="0" w:oddVBand="0" w:evenVBand="0" w:oddHBand="0" w:evenHBand="0" w:firstRowFirstColumn="0" w:firstRowLastColumn="0" w:lastRowFirstColumn="0" w:lastRowLastColumn="0"/>
                <w:tcW w:w="2928" w:type="dxa"/>
                <w:vAlign w:val="center"/>
              </w:tcPr>
              <w:p w14:paraId="552DE08D" w14:textId="77777777" w:rsidR="007F6073" w:rsidRDefault="00000000">
                <w:r>
                  <w:lastRenderedPageBreak/>
                  <w:t>Billing</w:t>
                </w:r>
              </w:p>
            </w:tc>
            <w:tc>
              <w:tcPr>
                <w:tcW w:w="7152" w:type="dxa"/>
                <w:vAlign w:val="center"/>
              </w:tcPr>
              <w:p w14:paraId="5C0C5C2F" w14:textId="369D36ED" w:rsidR="007F6073" w:rsidRDefault="00000000">
                <w:pPr>
                  <w:cnfStyle w:val="000000000000" w:firstRow="0" w:lastRow="0" w:firstColumn="0" w:lastColumn="0" w:oddVBand="0" w:evenVBand="0" w:oddHBand="0" w:evenHBand="0" w:firstRowFirstColumn="0" w:firstRowLastColumn="0" w:lastRowFirstColumn="0" w:lastRowLastColumn="0"/>
                  <w:rPr>
                    <w:lang w:val="en-GB"/>
                  </w:rPr>
                </w:pPr>
                <w:r>
                  <w:rPr>
                    <w:lang w:val="en-GB"/>
                  </w:rPr>
                  <w:t>Vodaria Group's existing or future billing and ERP platforms remain the systems of record for billing, invoicing, accounting and revenue recognition. Hansen will provide the agreed commercial order, charge, price, contract-reference and service-activation data required by the agreed billing integration. Billing configuration, invoice production, tax calculation, accounting processes and billing-platform changes are outside Hansen scope unless explicitly included. Interface direction, payloads, triggering events, error handling, reconciliation and ownership of billing readiness will be confirmed during detailed design.</w:t>
                </w:r>
              </w:p>
            </w:tc>
          </w:tr>
          <w:tr w:rsidR="007F6073" w14:paraId="0C7AB560"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71D310CB" w14:textId="77777777" w:rsidR="007F6073" w:rsidRDefault="00000000">
                <w:r>
                  <w:t>AI/MCP</w:t>
                </w:r>
              </w:p>
            </w:tc>
            <w:tc>
              <w:tcPr>
                <w:tcW w:w="7152" w:type="dxa"/>
                <w:vAlign w:val="center"/>
              </w:tcPr>
              <w:p w14:paraId="493835F4" w14:textId="7F9D8F84"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Vodaria Group's MCP requirement is included as a defined solution dependency, but the specific tools, business operations, read/write permissions, supported domains, security controls and delivery release must be agreed. Standard Hansen APIs and events will be used where they satisfy the approved use cases. Any native MCP tools, MCP servers, agent interfaces or wrappers not included in the contracted product release will be subject to product availability and solution design confirmation, licensing and/or separately scoped Professional Services. No AI use case will use Vodaria Group data for model training or optimisation without Vodaria Group's explicit approval and agreed data-governance controls.</w:t>
                </w:r>
              </w:p>
            </w:tc>
          </w:tr>
          <w:tr w:rsidR="007F6073" w14:paraId="644E0DDD" w14:textId="77777777" w:rsidTr="007F6073">
            <w:tc>
              <w:tcPr>
                <w:cnfStyle w:val="001000000000" w:firstRow="0" w:lastRow="0" w:firstColumn="1" w:lastColumn="0" w:oddVBand="0" w:evenVBand="0" w:oddHBand="0" w:evenHBand="0" w:firstRowFirstColumn="0" w:firstRowLastColumn="0" w:lastRowFirstColumn="0" w:lastRowLastColumn="0"/>
                <w:tcW w:w="2928" w:type="dxa"/>
                <w:vAlign w:val="center"/>
              </w:tcPr>
              <w:p w14:paraId="465D804F" w14:textId="4F1D53FD" w:rsidR="007F6073" w:rsidRDefault="00000000">
                <w:r>
                  <w:t>Business Intelligence</w:t>
                </w:r>
              </w:p>
            </w:tc>
            <w:tc>
              <w:tcPr>
                <w:tcW w:w="7152" w:type="dxa"/>
                <w:vAlign w:val="center"/>
              </w:tcPr>
              <w:p w14:paraId="0C1031AA" w14:textId="71E9DBC4" w:rsidR="007F6073" w:rsidRDefault="00000000">
                <w:pPr>
                  <w:cnfStyle w:val="000000000000" w:firstRow="0" w:lastRow="0" w:firstColumn="0" w:lastColumn="0" w:oddVBand="0" w:evenVBand="0" w:oddHBand="0" w:evenHBand="0" w:firstRowFirstColumn="0" w:firstRowLastColumn="0" w:lastRowFirstColumn="0" w:lastRowLastColumn="0"/>
                  <w:rPr>
                    <w:lang w:val="en-GB"/>
                  </w:rPr>
                </w:pPr>
                <w:r>
                  <w:rPr>
                    <w:lang w:val="en-GB"/>
                  </w:rPr>
                  <w:t>Hansen will expose the agreed data through supported APIs, events or extracts, subject to product capability, security, performance and data-governance constraints. Vodaria Group is responsible for ingestion, transformation, enterprise data modelling, storage and reporting within its data lake or enterprise BI platforms unless separately contracted. The required data domains, event definitions, retention, frequency and reconciliation responsibilities will be agreed during detailed design.</w:t>
                </w:r>
              </w:p>
            </w:tc>
          </w:tr>
          <w:tr w:rsidR="007F6073" w14:paraId="384507C5"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vAlign w:val="center"/>
              </w:tcPr>
              <w:p w14:paraId="5A8CCE48" w14:textId="77777777" w:rsidR="007F6073" w:rsidRDefault="00000000">
                <w:r>
                  <w:lastRenderedPageBreak/>
                  <w:t>Volumetrics</w:t>
                </w:r>
              </w:p>
            </w:tc>
            <w:tc>
              <w:tcPr>
                <w:tcW w:w="7152" w:type="dxa"/>
                <w:vAlign w:val="center"/>
              </w:tcPr>
              <w:p w14:paraId="66D29903" w14:textId="7D8F3DBF"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Infrastructure sizing, solution design and performance planning are based on Vodaria Group's stated maximums of 3,500 concurrent sales and care users, 40,000 TPS peak charging, up to up to 500 line items per quote and up to up to 2,000 sites per enterprise order per quote/order. Final sizing and acceptance criteria depend on confirmation of concurrent users, transaction distribution, peak-hour volumes, API throughput, payload sizes, workflow complexity, integration response times, data retention and reporting workload. Large-quote and multi-site performance will be validated against an agreed representative test model and test environment. Material changes to the confirmed volumetric profile may require re-sizing, additional infrastructure and change control.</w:t>
                </w:r>
              </w:p>
            </w:tc>
          </w:tr>
          <w:tr w:rsidR="007F6073" w14:paraId="20BBCBA6" w14:textId="77777777" w:rsidTr="007F6073">
            <w:tc>
              <w:tcPr>
                <w:cnfStyle w:val="001000000000" w:firstRow="0" w:lastRow="0" w:firstColumn="1" w:lastColumn="0" w:oddVBand="0" w:evenVBand="0" w:oddHBand="0" w:evenHBand="0" w:firstRowFirstColumn="0" w:firstRowLastColumn="0" w:lastRowFirstColumn="0" w:lastRowLastColumn="0"/>
                <w:tcW w:w="2928" w:type="dxa"/>
                <w:vAlign w:val="center"/>
              </w:tcPr>
              <w:p w14:paraId="4B47D7D3" w14:textId="77777777" w:rsidR="007F6073" w:rsidRDefault="00000000">
                <w:r>
                  <w:t>Commercial</w:t>
                </w:r>
              </w:p>
            </w:tc>
            <w:tc>
              <w:tcPr>
                <w:tcW w:w="7152" w:type="dxa"/>
                <w:vAlign w:val="center"/>
              </w:tcPr>
              <w:p w14:paraId="1E2F8987" w14:textId="060A8A1B" w:rsidR="007F6073" w:rsidRDefault="00000000">
                <w:pPr>
                  <w:cnfStyle w:val="000000000000" w:firstRow="0" w:lastRow="0" w:firstColumn="0" w:lastColumn="0" w:oddVBand="0" w:evenVBand="0" w:oddHBand="0" w:evenHBand="0" w:firstRowFirstColumn="0" w:firstRowLastColumn="0" w:lastRowFirstColumn="0" w:lastRowLastColumn="0"/>
                  <w:rPr>
                    <w:lang w:val="en-GB"/>
                  </w:rPr>
                </w:pPr>
                <w:r>
                  <w:rPr>
                    <w:lang w:val="en-GB"/>
                  </w:rPr>
                  <w:t>Pricing is based on the solution scope, modules, quantities, environments, delivery responsibilities, support model and third-party assumptions stated in this response and the commercial schedules. Final licence, subscription, maintenance, support, managed-service, Professional Services, payment, indexation and renewal terms remain subject to Hansen commercial and legal approval and execution of the definitive agreement. Any material change to scope, volumes, integration count, environment estate, customer responsibilities or delivery timetable may require commercial adjustment through the agreed change-control process.</w:t>
                </w:r>
              </w:p>
            </w:tc>
          </w:tr>
          <w:tr w:rsidR="007F6073" w14:paraId="17B0BD24"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Pr>
              <w:p w14:paraId="054EBC63" w14:textId="0204AF6C" w:rsidR="007F6073" w:rsidRDefault="00000000">
                <w:pPr>
                  <w:rPr>
                    <w:b w:val="0"/>
                    <w:lang w:val="en-GB"/>
                  </w:rPr>
                </w:pPr>
                <w:r>
                  <w:rPr>
                    <w:rStyle w:val="Strong"/>
                    <w:rFonts w:asciiTheme="minorHAnsi" w:hAnsiTheme="minorHAnsi"/>
                    <w:b/>
                  </w:rPr>
                  <w:t>SaaS Services</w:t>
                </w:r>
              </w:p>
            </w:tc>
            <w:tc>
              <w:tcPr>
                <w:tcW w:w="7152" w:type="dxa"/>
              </w:tcPr>
              <w:p w14:paraId="389DC58E" w14:textId="5B7708C1"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t>The solution is proposed as a Hansen-managed SaaS deployment hosted in an agreed EU region within the Hansen-managed AWS cloud environment. Hansen is responsible for the contracted Hansen SaaS infrastructure, platform operation, monitoring, patching, backup, platform security, recovery and core product upgrade activities. Connectivity from Vodaria Group and third-party systems, Vodaria Group identity-provider configuration, customer-controlled security components and customer-side network changes remain Vodaria Group responsibilities unless expressly included. Data residency, recovery objectives, availability, maintenance windows and security responsibilities will be defined in the SaaS and service-level schedules.</w:t>
                </w:r>
              </w:p>
            </w:tc>
          </w:tr>
          <w:tr w:rsidR="007F6073" w14:paraId="4B7B4C53" w14:textId="77777777" w:rsidTr="007F6073">
            <w:tc>
              <w:tcPr>
                <w:cnfStyle w:val="001000000000" w:firstRow="0" w:lastRow="0" w:firstColumn="1" w:lastColumn="0" w:oddVBand="0" w:evenVBand="0" w:oddHBand="0" w:evenHBand="0" w:firstRowFirstColumn="0" w:firstRowLastColumn="0" w:lastRowFirstColumn="0" w:lastRowLastColumn="0"/>
                <w:tcW w:w="2928" w:type="dxa"/>
              </w:tcPr>
              <w:p w14:paraId="6F999DA8" w14:textId="5782AD95" w:rsidR="007F6073" w:rsidRDefault="00000000">
                <w:pPr>
                  <w:rPr>
                    <w:b w:val="0"/>
                    <w:lang w:val="en-GB"/>
                  </w:rPr>
                </w:pPr>
                <w:r>
                  <w:rPr>
                    <w:rStyle w:val="Strong"/>
                    <w:rFonts w:asciiTheme="minorHAnsi" w:hAnsiTheme="minorHAnsi"/>
                    <w:b/>
                  </w:rPr>
                  <w:t>Support &amp; Maintenance and Managed Services boundary</w:t>
                </w:r>
              </w:p>
            </w:tc>
            <w:tc>
              <w:tcPr>
                <w:tcW w:w="7152" w:type="dxa"/>
              </w:tcPr>
              <w:p w14:paraId="73422466" w14:textId="733946DF" w:rsidR="007F6073" w:rsidRDefault="00000000">
                <w:pPr>
                  <w:cnfStyle w:val="000000000000" w:firstRow="0" w:lastRow="0" w:firstColumn="0" w:lastColumn="0" w:oddVBand="0" w:evenVBand="0" w:oddHBand="0" w:evenHBand="0" w:firstRowFirstColumn="0" w:firstRowLastColumn="0" w:lastRowFirstColumn="0" w:lastRowLastColumn="0"/>
                  <w:rPr>
                    <w:lang w:val="en-GB"/>
                  </w:rPr>
                </w:pPr>
                <w:r>
                  <w:t xml:space="preserve">Maintenance and Support covers access to and support for the contracted Hansen core products and Hansen-managed cloud-native components, including incident intake, product-defect investigation, applicable fixes, product escalation. It does not include operation of Vodaria Group business processes, routine application administration, </w:t>
                </w:r>
                <w:r>
                  <w:lastRenderedPageBreak/>
                  <w:t>manual order-fallout resolution, order replay, customer-data correction, new configuration, new integrations, enhancements or continuous-improvement delivery unless included in an agreed Managed Services or Professional Services schedule. L1, L2 and L3 ownership, coverage hours and escalation responsibilities will be defined in the support schedule.</w:t>
                </w:r>
              </w:p>
            </w:tc>
          </w:tr>
          <w:tr w:rsidR="007F6073" w14:paraId="5D8EFC61"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Pr>
              <w:p w14:paraId="35029BEE" w14:textId="2694F5ED" w:rsidR="007F6073" w:rsidRDefault="00000000">
                <w:pPr>
                  <w:rPr>
                    <w:lang w:val="en-GB"/>
                  </w:rPr>
                </w:pPr>
                <w:r>
                  <w:rPr>
                    <w:lang w:val="en-GB"/>
                  </w:rPr>
                  <w:lastRenderedPageBreak/>
                  <w:t>Custom solution elements</w:t>
                </w:r>
              </w:p>
            </w:tc>
            <w:tc>
              <w:tcPr>
                <w:tcW w:w="7152" w:type="dxa"/>
              </w:tcPr>
              <w:p w14:paraId="4024C464" w14:textId="3801E052"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Customer-specific widgets, plugins, adapters, workflows, integrations and other solution extensions are supported during implementation, warranty and hypercare in accordance with the delivery agreement. Ongoing support and maintenance of these elements is not assumed to be included within standard product maintenance unless explicitly listed in the support schedule. Where ongoing support is required, it will be provided through an agreed Professional Services or Managed Services arrangement.</w:t>
                </w:r>
              </w:p>
            </w:tc>
          </w:tr>
          <w:tr w:rsidR="007F6073" w14:paraId="0C487AAC" w14:textId="77777777" w:rsidTr="007F6073">
            <w:tc>
              <w:tcPr>
                <w:cnfStyle w:val="001000000000" w:firstRow="0" w:lastRow="0" w:firstColumn="1" w:lastColumn="0" w:oddVBand="0" w:evenVBand="0" w:oddHBand="0" w:evenHBand="0" w:firstRowFirstColumn="0" w:firstRowLastColumn="0" w:lastRowFirstColumn="0" w:lastRowLastColumn="0"/>
                <w:tcW w:w="2928" w:type="dxa"/>
              </w:tcPr>
              <w:p w14:paraId="3A4379AD" w14:textId="3F3F7047" w:rsidR="007F6073" w:rsidRDefault="00000000">
                <w:pPr>
                  <w:rPr>
                    <w:lang w:val="en-GB"/>
                  </w:rPr>
                </w:pPr>
                <w:r>
                  <w:rPr>
                    <w:lang w:val="en-GB"/>
                  </w:rPr>
                  <w:t>External systems and API readiness</w:t>
                </w:r>
              </w:p>
            </w:tc>
            <w:tc>
              <w:tcPr>
                <w:tcW w:w="7152" w:type="dxa"/>
              </w:tcPr>
              <w:p w14:paraId="499FA34C" w14:textId="48C5F115" w:rsidR="007F6073" w:rsidRDefault="00000000">
                <w:pPr>
                  <w:cnfStyle w:val="000000000000" w:firstRow="0" w:lastRow="0" w:firstColumn="0" w:lastColumn="0" w:oddVBand="0" w:evenVBand="0" w:oddHBand="0" w:evenHBand="0" w:firstRowFirstColumn="0" w:firstRowLastColumn="0" w:lastRowFirstColumn="0" w:lastRowLastColumn="0"/>
                  <w:rPr>
                    <w:lang w:val="en-GB"/>
                  </w:rPr>
                </w:pPr>
                <w:r>
                  <w:rPr>
                    <w:lang w:val="en-GB"/>
                  </w:rPr>
                  <w:t>Vodaria Group and its third-party providers will make available documented, secure and testable interfaces, contracts, representative test data, non-production endpoints, technical contacts and appropriate access for all in-scope integrations. Estimates assume that external systems meet agreed response-time, availability and data-quality requirements. Delays, interface limitations or material changes in third-party systems may affect delivery and will be managed through dependency governance and change control.</w:t>
                </w:r>
              </w:p>
            </w:tc>
          </w:tr>
          <w:tr w:rsidR="007F6073" w14:paraId="2F106498"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Pr>
              <w:p w14:paraId="620F28EC" w14:textId="76E742F6" w:rsidR="007F6073" w:rsidRDefault="00000000">
                <w:pPr>
                  <w:rPr>
                    <w:lang w:val="en-GB"/>
                  </w:rPr>
                </w:pPr>
                <w:r>
                  <w:rPr>
                    <w:lang w:val="en-GB"/>
                  </w:rPr>
                  <w:t>Testing and performance responsibility</w:t>
                </w:r>
              </w:p>
            </w:tc>
            <w:tc>
              <w:tcPr>
                <w:tcW w:w="7152" w:type="dxa"/>
              </w:tcPr>
              <w:p w14:paraId="7AA1DFB7" w14:textId="7E5AB390"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Hansen will perform the product, configuration and integration testing identified in the agreed test strategy. Vodaria Group is responsible for business acceptance, provision of representative test data, participation by business and technical users, and acceptance sign-off. For Hansen to support end-to-end testing involving Vodaria Group or third-party systems requires those systems and resources to be available in accordance with the agreed plan. Product-level penetration testing and standard product performance evidence are distinct from Vodaria Group-specific end-to-end security and performance testing, which must be explicitly scoped and priced.</w:t>
                </w:r>
              </w:p>
            </w:tc>
          </w:tr>
          <w:tr w:rsidR="007F6073" w14:paraId="320A7C5D" w14:textId="77777777" w:rsidTr="007F6073">
            <w:tc>
              <w:tcPr>
                <w:cnfStyle w:val="001000000000" w:firstRow="0" w:lastRow="0" w:firstColumn="1" w:lastColumn="0" w:oddVBand="0" w:evenVBand="0" w:oddHBand="0" w:evenHBand="0" w:firstRowFirstColumn="0" w:firstRowLastColumn="0" w:lastRowFirstColumn="0" w:lastRowLastColumn="0"/>
                <w:tcW w:w="2928" w:type="dxa"/>
              </w:tcPr>
              <w:p w14:paraId="583E8229" w14:textId="5E633711" w:rsidR="007F6073" w:rsidRDefault="00000000">
                <w:pPr>
                  <w:rPr>
                    <w:lang w:val="en-GB"/>
                  </w:rPr>
                </w:pPr>
                <w:r>
                  <w:rPr>
                    <w:lang w:val="en-GB"/>
                  </w:rPr>
                  <w:t>Scope baseline and requirement maturity</w:t>
                </w:r>
              </w:p>
            </w:tc>
            <w:tc>
              <w:tcPr>
                <w:tcW w:w="7152" w:type="dxa"/>
              </w:tcPr>
              <w:p w14:paraId="71144791" w14:textId="1F99FDD8" w:rsidR="007F6073" w:rsidRDefault="00000000">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The solution and estimates are based on the RFP, annexes, consolidated Vodaria Group Q&amp;A and assumptions available at proposal submission. Detailed discovery will elaborate these requirements into implementable scope and acceptance criteria but is not assumed to introduce materially new capabilities without adjustment. New use cases, materially changed </w:t>
                </w:r>
                <w:r>
                  <w:rPr>
                    <w:lang w:val="en-GB"/>
                  </w:rPr>
                  <w:lastRenderedPageBreak/>
                  <w:t>requirements or requirements not reasonably identifiable from the proposal baseline will be handled through the agreed change-control process.</w:t>
                </w:r>
              </w:p>
            </w:tc>
          </w:tr>
          <w:tr w:rsidR="007F6073" w14:paraId="377F82B5"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Pr>
              <w:p w14:paraId="3702359D" w14:textId="65955C8B" w:rsidR="007F6073" w:rsidRDefault="00000000">
                <w:pPr>
                  <w:rPr>
                    <w:lang w:val="en-GB"/>
                  </w:rPr>
                </w:pPr>
                <w:r>
                  <w:rPr>
                    <w:lang w:val="en-GB"/>
                  </w:rPr>
                  <w:lastRenderedPageBreak/>
                  <w:t>Project management and workforce capabilities</w:t>
                </w:r>
              </w:p>
            </w:tc>
            <w:tc>
              <w:tcPr>
                <w:tcW w:w="7152" w:type="dxa"/>
              </w:tcPr>
              <w:p w14:paraId="6ACF8DCB" w14:textId="01561B0B"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Hansen Order Management provides order-level workflow, task, dependency, milestone, exception and status management within the agreed fulfilment processes. Enterprise PPM, programme portfolio management, workforce capacity planning, financial project control, resource scheduling and project budgeting remain external system responsibilities unless explicitly scoped. Where required, Hansen will integrate agreed order and milestone information with Vodaria Group's selected PPM, ERP or workforce-management platforms.</w:t>
                </w:r>
              </w:p>
            </w:tc>
          </w:tr>
          <w:tr w:rsidR="007F6073" w14:paraId="28C5E00A" w14:textId="77777777" w:rsidTr="007F6073">
            <w:tc>
              <w:tcPr>
                <w:cnfStyle w:val="001000000000" w:firstRow="0" w:lastRow="0" w:firstColumn="1" w:lastColumn="0" w:oddVBand="0" w:evenVBand="0" w:oddHBand="0" w:evenHBand="0" w:firstRowFirstColumn="0" w:firstRowLastColumn="0" w:lastRowFirstColumn="0" w:lastRowLastColumn="0"/>
                <w:tcW w:w="2928" w:type="dxa"/>
              </w:tcPr>
              <w:p w14:paraId="1362E66F" w14:textId="04D28742" w:rsidR="007F6073" w:rsidRDefault="00000000">
                <w:pPr>
                  <w:rPr>
                    <w:lang w:val="en-GB"/>
                  </w:rPr>
                </w:pPr>
                <w:r>
                  <w:rPr>
                    <w:lang w:val="en-GB"/>
                  </w:rPr>
                  <w:t>Customer SME / Decision Dependency</w:t>
                </w:r>
              </w:p>
            </w:tc>
            <w:tc>
              <w:tcPr>
                <w:tcW w:w="7152" w:type="dxa"/>
              </w:tcPr>
              <w:p w14:paraId="542EF6FB" w14:textId="740ED454" w:rsidR="007F6073" w:rsidRDefault="00000000">
                <w:pPr>
                  <w:cnfStyle w:val="000000000000" w:firstRow="0" w:lastRow="0" w:firstColumn="0" w:lastColumn="0" w:oddVBand="0" w:evenVBand="0" w:oddHBand="0" w:evenHBand="0" w:firstRowFirstColumn="0" w:firstRowLastColumn="0" w:lastRowFirstColumn="0" w:lastRowLastColumn="0"/>
                  <w:rPr>
                    <w:lang w:val="en-GB"/>
                  </w:rPr>
                </w:pPr>
                <w:r>
                  <w:rPr>
                    <w:lang w:val="en-GB"/>
                  </w:rPr>
                  <w:t>Vodaria Group will provide business, architecture, integration, testing and operational SMEs, together with timely design decisions, approvals, access and acceptance activities in accordance with the agreed project plan.</w:t>
                </w:r>
              </w:p>
            </w:tc>
          </w:tr>
          <w:tr w:rsidR="007F6073" w14:paraId="3B18D373" w14:textId="77777777" w:rsidTr="007F6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8" w:type="dxa"/>
              </w:tcPr>
              <w:p w14:paraId="2634876B" w14:textId="0770D58F" w:rsidR="007F6073" w:rsidRDefault="00000000">
                <w:pPr>
                  <w:rPr>
                    <w:lang w:val="en-GB"/>
                  </w:rPr>
                </w:pPr>
                <w:r>
                  <w:rPr>
                    <w:lang w:val="en-GB"/>
                  </w:rPr>
                  <w:t>Data Migration Dependency</w:t>
                </w:r>
              </w:p>
            </w:tc>
            <w:tc>
              <w:tcPr>
                <w:tcW w:w="7152" w:type="dxa"/>
              </w:tcPr>
              <w:p w14:paraId="483BD9A1" w14:textId="46CC2DA8" w:rsidR="007F6073" w:rsidRDefault="00000000">
                <w:pPr>
                  <w:cnfStyle w:val="000000100000" w:firstRow="0" w:lastRow="0" w:firstColumn="0" w:lastColumn="0" w:oddVBand="0" w:evenVBand="0" w:oddHBand="1" w:evenHBand="0" w:firstRowFirstColumn="0" w:firstRowLastColumn="0" w:lastRowFirstColumn="0" w:lastRowLastColumn="0"/>
                  <w:rPr>
                    <w:lang w:val="en-GB"/>
                  </w:rPr>
                </w:pPr>
                <w:r>
                  <w:rPr>
                    <w:lang w:val="en-GB"/>
                  </w:rPr>
                  <w:t>Vodaria Group is responsible for providing source data extracts, source system expertise, business validation and acceptance of migrated data. Migration estimates assume reasonable size of data with reasonable source data quality and documented source structures.</w:t>
                </w:r>
              </w:p>
            </w:tc>
          </w:tr>
        </w:tbl>
        <w:p w14:paraId="5F805D58" w14:textId="77777777" w:rsidR="007F6073" w:rsidRDefault="007F6073"/>
        <w:p w14:paraId="726A61E3" w14:textId="482E53C5" w:rsidR="007F6073" w:rsidRDefault="00000000">
          <w:pPr>
            <w:pStyle w:val="Heading1"/>
          </w:pPr>
          <w:bookmarkStart w:id="99" w:name="_Toc239002236"/>
          <w:r>
            <w:t>Hansen Company Profile</w:t>
          </w:r>
          <w:bookmarkEnd w:id="99"/>
        </w:p>
        <w:p w14:paraId="4A6FDB5E" w14:textId="6BDD1D76" w:rsidR="007F6073" w:rsidRDefault="00000000">
          <w:pPr>
            <w:spacing w:after="100"/>
            <w:rPr>
              <w:color w:val="auto"/>
            </w:rPr>
          </w:pPr>
          <w:r>
            <w:rPr>
              <w:color w:val="auto"/>
            </w:rPr>
            <w:t xml:space="preserve">Hansen Technologies is a global provider of industry-specific software and services to the Energy &amp; Utilities and Communications &amp; Media industries. Founded in 1971 and publicly listed on the Australian Securities Exchange, Hansen has built its business around long-term customer partnerships in sectors where billing, product lifecycle, order management, customer engagement, market operations and revenue processes are mission-critical. Hansen software is used in more than 80 countries, and the organization combines global product investment with regional delivery and support capability. </w:t>
          </w:r>
        </w:p>
        <w:p w14:paraId="403F9025" w14:textId="77777777" w:rsidR="007F6073" w:rsidRDefault="00000000">
          <w:pPr>
            <w:spacing w:after="100"/>
            <w:rPr>
              <w:color w:val="auto"/>
            </w:rPr>
          </w:pPr>
          <w:r>
            <w:rPr>
              <w:color w:val="auto"/>
            </w:rPr>
            <w:t xml:space="preserve">For Vodaria Group, this matters because Converged BSS Transformation is not simply a replacement of CPQ and Order Management tools. It is a transformation of the lead-to-order operating model required to support wholesale and enterprise growth, reduce manual coordination, improve complex multi-site handling and create a scalable foundation for future automation. Hansen’s Communications portfolio is designed to help service providers define, sell, configure, validate, order and fulfil complex services through a catalog-driven, API-first operating model. </w:t>
          </w:r>
        </w:p>
        <w:p w14:paraId="7D2FC37A" w14:textId="77777777" w:rsidR="007F6073" w:rsidRDefault="00000000">
          <w:pPr>
            <w:pStyle w:val="Heading2"/>
            <w:numPr>
              <w:ilvl w:val="1"/>
              <w:numId w:val="47"/>
            </w:numPr>
          </w:pPr>
          <w:bookmarkStart w:id="100" w:name="_Toc239002237"/>
          <w:r>
            <w:lastRenderedPageBreak/>
            <w:t>Global scale with long-term industry focus</w:t>
          </w:r>
          <w:bookmarkEnd w:id="100"/>
          <w:r>
            <w:t xml:space="preserve"> </w:t>
          </w:r>
        </w:p>
        <w:p w14:paraId="24436DD3" w14:textId="4334A985" w:rsidR="007F6073" w:rsidRDefault="00000000">
          <w:pPr>
            <w:spacing w:after="100"/>
            <w:rPr>
              <w:color w:val="auto"/>
            </w:rPr>
          </w:pPr>
          <w:r>
            <w:rPr>
              <w:color w:val="auto"/>
            </w:rPr>
            <w:t xml:space="preserve">Hansen’s global footprint provides access to product depth, implementation experience and local market understanding. With more than 1,900 team members across 29 offices, our software is used in more than 80 countries and an average customer lifetime of more than 10 years. This long-tenure profile is important in telecom and utility environments because the selected platform must remain operationally relevant over multiple product cycles, architectural changes and market shifts. </w:t>
          </w:r>
        </w:p>
        <w:p w14:paraId="34196524" w14:textId="30B56999" w:rsidR="007F6073" w:rsidRDefault="00000000">
          <w:pPr>
            <w:spacing w:after="100"/>
            <w:rPr>
              <w:color w:val="auto"/>
            </w:rPr>
          </w:pPr>
          <w:r>
            <w:rPr>
              <w:color w:val="auto"/>
            </w:rPr>
            <w:t xml:space="preserve">Hansen’s customer base spans Energy &amp; Utilities and Communications &amp; Media. In Energy &amp; Utilities, Hansen supports customer information systems, market processes, meter data, billing and digital engagement capabilities. In Communications &amp; Media, Hansen supports service providers with catalog, CPQ, order management, inventory, provisioning, billing and data capabilities that underpin commercial agility and operational control. This dual-sector focus is useful for Vodaria Group because both industries demand reliable, rules-driven platforms that control critical customer, product, order and revenue data. </w:t>
          </w:r>
        </w:p>
        <w:p w14:paraId="15347CE5" w14:textId="1165E0DD" w:rsidR="007F6073" w:rsidRDefault="00000000">
          <w:pPr>
            <w:pStyle w:val="Heading2"/>
          </w:pPr>
          <w:bookmarkStart w:id="101" w:name="_Toc239002238"/>
          <w:r>
            <w:t>Global Customer Base and Telecom Experience</w:t>
          </w:r>
          <w:bookmarkEnd w:id="101"/>
          <w:r>
            <w:t xml:space="preserve"> </w:t>
          </w:r>
        </w:p>
        <w:p w14:paraId="55A404FC" w14:textId="5EFDFD70" w:rsidR="007F6073" w:rsidRDefault="00000000">
          <w:pPr>
            <w:spacing w:after="100"/>
            <w:rPr>
              <w:color w:val="auto"/>
            </w:rPr>
          </w:pPr>
          <w:r>
            <w:rPr>
              <w:color w:val="auto"/>
            </w:rPr>
            <w:t xml:space="preserve">Hansen’s customer base provides evidence of both breadth and relevance. Public Hansen materials reference 80M+ Energy &amp; Utilities end-customers served, 360M+ Communications &amp; Media global end subscriptions supported, 25B+ minutes per year via Hansen’s Digitalk Carrier Cloud and software used in 80+ countries. Hansen also has more than 115 CSP customers and 350M CSP end customers supported across the Communications customer base. These metrics highlight a business that supports large-scale operational environments rather than narrow departmental applications. </w:t>
          </w:r>
        </w:p>
        <w:p w14:paraId="53A6F0AF" w14:textId="0C7027E0" w:rsidR="007F6073" w:rsidRDefault="00000000">
          <w:pPr>
            <w:pStyle w:val="Heading2"/>
          </w:pPr>
          <w:bookmarkStart w:id="102" w:name="_Toc239002239"/>
          <w:r>
            <w:t>Communications &amp; Media experience relevant to Converged BSS Transformation</w:t>
          </w:r>
          <w:bookmarkEnd w:id="102"/>
          <w:r>
            <w:t xml:space="preserve"> </w:t>
          </w:r>
        </w:p>
        <w:p w14:paraId="431B02E7" w14:textId="1CEADF0B" w:rsidR="007F6073" w:rsidRDefault="00000000">
          <w:pPr>
            <w:spacing w:after="100"/>
            <w:rPr>
              <w:color w:val="auto"/>
            </w:rPr>
          </w:pPr>
          <w:r>
            <w:rPr>
              <w:color w:val="auto"/>
            </w:rPr>
            <w:t xml:space="preserve">For FENIX, Hansen’s work with providers that need to rationalize product data, standardize sales and fulfilment processes and support increasingly complex commercial offers. Hansen’s Communications Suite is centered on a catalog-driven model in which commercial, service and resource definitions are governed centrally and consumed consistently by CPQ, Order Management and adjacent systems. This is important because complex enterprise and wholesale opportunities often include multiple sites, service types, dependencies, approval paths, technical validations and fulfilment handoffs. Enabling Vodaria Group to be ready for </w:t>
          </w:r>
          <w:r>
            <w:rPr>
              <w:i/>
              <w:color w:val="auto"/>
            </w:rPr>
            <w:t>“what’s next”</w:t>
          </w:r>
          <w:r>
            <w:rPr>
              <w:color w:val="auto"/>
            </w:rPr>
            <w:t xml:space="preserve"> is what we do and will bring to Converged BSS Transformation.</w:t>
          </w:r>
        </w:p>
        <w:p w14:paraId="5F034DEF" w14:textId="45B66895" w:rsidR="007F6073" w:rsidRDefault="00000000">
          <w:pPr>
            <w:pStyle w:val="Heading2"/>
          </w:pPr>
          <w:bookmarkStart w:id="103" w:name="_Toc239002240"/>
          <w:r>
            <w:t>Why Hansen is a strong fit for Vodaria Group</w:t>
          </w:r>
          <w:bookmarkEnd w:id="103"/>
          <w:r>
            <w:t xml:space="preserve"> </w:t>
          </w:r>
        </w:p>
        <w:p w14:paraId="5F1AED86" w14:textId="5309FD04" w:rsidR="007F6073" w:rsidRDefault="00000000">
          <w:pPr>
            <w:spacing w:after="100"/>
            <w:rPr>
              <w:color w:val="auto"/>
            </w:rPr>
          </w:pPr>
          <w:r>
            <w:rPr>
              <w:color w:val="auto"/>
            </w:rPr>
            <w:t xml:space="preserve">Hansen offers Vodaria Group a proven industry provider with the scale to deliver, the specialization to understand wholesale &amp; enterprise telecom complexity and the platform orientation to support Converged BSS Transformation as a long-term business transformation. The value of the Hansen proposition is not only the individual software components, but the ability to connect product governance, guided selling, quote validation, order orchestration and operational visibility into a coherent lead-to-order foundation for Vodaria Group's next phase of enterprise growth. </w:t>
          </w:r>
        </w:p>
        <w:p w14:paraId="70B3A577" w14:textId="01D6FC6A" w:rsidR="007F6073" w:rsidRDefault="00000000">
          <w:pPr>
            <w:pStyle w:val="Heading1"/>
          </w:pPr>
          <w:bookmarkStart w:id="104" w:name="_Toc239002241"/>
          <w:r>
            <w:lastRenderedPageBreak/>
            <w:t>References</w:t>
          </w:r>
          <w:bookmarkEnd w:id="104"/>
        </w:p>
        <w:p w14:paraId="62B9794E" w14:textId="5731FC2D" w:rsidR="007F6073" w:rsidRDefault="00000000">
          <w:pPr>
            <w:spacing w:before="0" w:after="0" w:line="300" w:lineRule="atLeast"/>
            <w:rPr>
              <w:rFonts w:eastAsia="Times New Roman" w:cs="Segoe UI"/>
              <w:color w:val="auto"/>
              <w:szCs w:val="22"/>
              <w:lang w:val="en-GB" w:eastAsia="en-GB"/>
            </w:rPr>
          </w:pPr>
          <w:r>
            <w:rPr>
              <w:rFonts w:eastAsia="Times New Roman" w:cs="Segoe UI"/>
              <w:color w:val="auto"/>
              <w:szCs w:val="22"/>
              <w:lang w:val="en-GB" w:eastAsia="en-GB"/>
            </w:rPr>
            <w:t>Hansen will provide relevant telecommunications references subject to customer approval and confidentiality constraints at the appropriate time during the process. While the slide below shows a selection of our global customers, Hansen will focus reference efforts on Airtel, Telefonica, DISH/Echostar and ViaSat due to your focus on Wholesale and Enterprise product suite and required solution.</w:t>
          </w:r>
        </w:p>
        <w:p w14:paraId="5FFEAAF9" w14:textId="77777777" w:rsidR="007F6073" w:rsidRDefault="007F6073">
          <w:pPr>
            <w:spacing w:before="0" w:after="0" w:line="300" w:lineRule="atLeast"/>
            <w:rPr>
              <w:rFonts w:eastAsia="Times New Roman" w:cs="Segoe UI"/>
              <w:color w:val="auto"/>
              <w:szCs w:val="22"/>
              <w:lang w:val="en-GB" w:eastAsia="en-GB"/>
            </w:rPr>
          </w:pPr>
        </w:p>
        <w:p w14:paraId="3A7EA4DE" w14:textId="020AA785" w:rsidR="007F6073" w:rsidRDefault="00000000">
          <w:pPr>
            <w:spacing w:before="0" w:after="0" w:line="300" w:lineRule="atLeast"/>
            <w:rPr>
              <w:rFonts w:eastAsia="Times New Roman" w:cs="Segoe UI"/>
              <w:color w:val="auto"/>
              <w:szCs w:val="22"/>
              <w:lang w:val="en-GB" w:eastAsia="en-GB"/>
            </w:rPr>
          </w:pPr>
          <w:r>
            <w:rPr>
              <w:i/>
              <w:color w:val="7F7F7F"/>
            </w:rPr>
            <w:t>Figure: Vodaria target lead-to-order architecture (Hansen Catalog, CPQ, Order Management integrated with Salesforce CRM).</w:t>
          </w:r>
        </w:p>
        <w:p w14:paraId="20D7B613" w14:textId="77777777" w:rsidR="007F6073" w:rsidRDefault="007F6073">
          <w:pPr>
            <w:spacing w:before="0" w:after="0" w:line="300" w:lineRule="atLeast"/>
            <w:rPr>
              <w:rFonts w:eastAsia="Times New Roman" w:cs="Segoe UI"/>
              <w:color w:val="auto"/>
              <w:szCs w:val="22"/>
              <w:lang w:val="en-GB" w:eastAsia="en-GB"/>
            </w:rPr>
          </w:pPr>
        </w:p>
        <w:p w14:paraId="0C429C55" w14:textId="23BE3C6C" w:rsidR="007F6073" w:rsidRDefault="00000000">
          <w:pPr>
            <w:pStyle w:val="Heading1"/>
          </w:pPr>
          <w:r>
            <w:t xml:space="preserve"> </w:t>
          </w:r>
          <w:bookmarkStart w:id="105" w:name="_Toc239002242"/>
          <w:r>
            <w:t>Commercial Summary</w:t>
          </w:r>
          <w:bookmarkEnd w:id="105"/>
        </w:p>
        <w:p w14:paraId="727419E1" w14:textId="32FBA688" w:rsidR="007F6073" w:rsidRDefault="00000000">
          <w:pPr>
            <w:rPr>
              <w:color w:val="auto"/>
            </w:rPr>
          </w:pPr>
          <w:r>
            <w:rPr>
              <w:color w:val="auto"/>
            </w:rPr>
            <w:t>Hansen proposes a transparent commercial model for Vodaria Group that separates software licence fees, maintenance and support, RGU-based growth, delivery services and SaaS/Managed Services. This structure is intended to give Vodaria Group a clear five-year view of committed costs while preserving flexibility for growth as the Converged BSS Transformation platform scales across wholesale and enterprise lead-to-order operations.</w:t>
          </w:r>
        </w:p>
        <w:p w14:paraId="6B11C4FF" w14:textId="77777777" w:rsidR="007F6073" w:rsidRDefault="00000000">
          <w:pPr>
            <w:rPr>
              <w:color w:val="auto"/>
            </w:rPr>
          </w:pPr>
          <w:r>
            <w:rPr>
              <w:color w:val="auto"/>
            </w:rPr>
            <w:t>The proposed model is designed around three principles: predictable annual investment, objective growth triggers, and controlled renewals. The base annual licence fee covers the agreed in-scope software modules and the existing estimated RGU baseline. As usage grows, additional RGU capacity is priced through defined tiers, with each tier representing approximately ten percent additional capacity above the agreed baseline. Maintenance and support are calculated annually as twenty percent of the total annual licence fees applicable for that year.</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29"/>
            <w:gridCol w:w="3734"/>
            <w:gridCol w:w="4001"/>
          </w:tblGrid>
          <w:tr w:rsidR="007F6073" w14:paraId="14EB236F" w14:textId="77777777">
            <w:trPr>
              <w:tblHeader/>
              <w:jc w:val="center"/>
            </w:trPr>
            <w:tc>
              <w:tcPr>
                <w:tcW w:w="2329" w:type="dxa"/>
                <w:shd w:val="clear" w:color="auto" w:fill="1F4E79"/>
                <w:tcMar>
                  <w:top w:w="100" w:type="dxa"/>
                  <w:left w:w="100" w:type="dxa"/>
                  <w:bottom w:w="100" w:type="dxa"/>
                  <w:right w:w="100" w:type="dxa"/>
                </w:tcMar>
                <w:vAlign w:val="center"/>
              </w:tcPr>
              <w:p w14:paraId="23BF5902" w14:textId="77777777" w:rsidR="007F6073" w:rsidRDefault="00000000">
                <w:pPr>
                  <w:jc w:val="center"/>
                </w:pPr>
                <w:r>
                  <w:rPr>
                    <w:b/>
                    <w:color w:val="FFFFFF"/>
                    <w:sz w:val="17"/>
                  </w:rPr>
                  <w:t>Commercial component</w:t>
                </w:r>
              </w:p>
            </w:tc>
            <w:tc>
              <w:tcPr>
                <w:tcW w:w="3734" w:type="dxa"/>
                <w:shd w:val="clear" w:color="auto" w:fill="1F4E79"/>
                <w:tcMar>
                  <w:top w:w="100" w:type="dxa"/>
                  <w:left w:w="100" w:type="dxa"/>
                  <w:bottom w:w="100" w:type="dxa"/>
                  <w:right w:w="100" w:type="dxa"/>
                </w:tcMar>
                <w:vAlign w:val="center"/>
              </w:tcPr>
              <w:p w14:paraId="7EC66AA1" w14:textId="77777777" w:rsidR="007F6073" w:rsidRDefault="00000000">
                <w:pPr>
                  <w:jc w:val="center"/>
                </w:pPr>
                <w:r>
                  <w:rPr>
                    <w:b/>
                    <w:color w:val="FFFFFF"/>
                    <w:sz w:val="17"/>
                  </w:rPr>
                  <w:t>Pricing treatment</w:t>
                </w:r>
              </w:p>
            </w:tc>
            <w:tc>
              <w:tcPr>
                <w:tcW w:w="4001" w:type="dxa"/>
                <w:shd w:val="clear" w:color="auto" w:fill="1F4E79"/>
                <w:tcMar>
                  <w:top w:w="100" w:type="dxa"/>
                  <w:left w:w="100" w:type="dxa"/>
                  <w:bottom w:w="100" w:type="dxa"/>
                  <w:right w:w="100" w:type="dxa"/>
                </w:tcMar>
                <w:vAlign w:val="center"/>
              </w:tcPr>
              <w:p w14:paraId="1CF59894" w14:textId="76CE190F" w:rsidR="007F6073" w:rsidRDefault="00000000">
                <w:pPr>
                  <w:jc w:val="center"/>
                </w:pPr>
                <w:r>
                  <w:rPr>
                    <w:b/>
                    <w:color w:val="FFFFFF"/>
                    <w:sz w:val="17"/>
                  </w:rPr>
                  <w:t>Purpose / Vodaria Group benefit</w:t>
                </w:r>
              </w:p>
            </w:tc>
          </w:tr>
          <w:tr w:rsidR="007F6073" w14:paraId="679E467F" w14:textId="77777777">
            <w:trPr>
              <w:jc w:val="center"/>
            </w:trPr>
            <w:tc>
              <w:tcPr>
                <w:tcW w:w="2329" w:type="dxa"/>
                <w:tcMar>
                  <w:top w:w="100" w:type="dxa"/>
                  <w:left w:w="100" w:type="dxa"/>
                  <w:bottom w:w="100" w:type="dxa"/>
                  <w:right w:w="100" w:type="dxa"/>
                </w:tcMar>
                <w:vAlign w:val="center"/>
              </w:tcPr>
              <w:p w14:paraId="1BBB1F9C" w14:textId="77777777" w:rsidR="007F6073" w:rsidRDefault="00000000">
                <w:r>
                  <w:rPr>
                    <w:sz w:val="17"/>
                  </w:rPr>
                  <w:t>Annual software licence</w:t>
                </w:r>
              </w:p>
            </w:tc>
            <w:tc>
              <w:tcPr>
                <w:tcW w:w="3734" w:type="dxa"/>
                <w:tcMar>
                  <w:top w:w="100" w:type="dxa"/>
                  <w:left w:w="100" w:type="dxa"/>
                  <w:bottom w:w="100" w:type="dxa"/>
                  <w:right w:w="100" w:type="dxa"/>
                </w:tcMar>
                <w:vAlign w:val="center"/>
              </w:tcPr>
              <w:p w14:paraId="74B865AE" w14:textId="77777777" w:rsidR="007F6073" w:rsidRDefault="00000000">
                <w:r>
                  <w:rPr>
                    <w:sz w:val="17"/>
                  </w:rPr>
                  <w:t>Fixed annual fee for the initial five-year term, covering agreed Hansen software modules and the agreed baseline RGU volume.</w:t>
                </w:r>
              </w:p>
            </w:tc>
            <w:tc>
              <w:tcPr>
                <w:tcW w:w="4001" w:type="dxa"/>
                <w:tcMar>
                  <w:top w:w="100" w:type="dxa"/>
                  <w:left w:w="100" w:type="dxa"/>
                  <w:bottom w:w="100" w:type="dxa"/>
                  <w:right w:w="100" w:type="dxa"/>
                </w:tcMar>
                <w:vAlign w:val="center"/>
              </w:tcPr>
              <w:p w14:paraId="6121C563" w14:textId="77777777" w:rsidR="007F6073" w:rsidRDefault="00000000">
                <w:r>
                  <w:rPr>
                    <w:sz w:val="17"/>
                  </w:rPr>
                  <w:t>Creates predictable contracted licence cost for the core Converged BSS Transformation CPQ/OM capability.</w:t>
                </w:r>
              </w:p>
            </w:tc>
          </w:tr>
          <w:tr w:rsidR="007F6073" w14:paraId="2D1A08EC" w14:textId="77777777">
            <w:trPr>
              <w:jc w:val="center"/>
            </w:trPr>
            <w:tc>
              <w:tcPr>
                <w:tcW w:w="2329" w:type="dxa"/>
                <w:shd w:val="clear" w:color="auto" w:fill="F2F2F2"/>
                <w:tcMar>
                  <w:top w:w="100" w:type="dxa"/>
                  <w:left w:w="100" w:type="dxa"/>
                  <w:bottom w:w="100" w:type="dxa"/>
                  <w:right w:w="100" w:type="dxa"/>
                </w:tcMar>
                <w:vAlign w:val="center"/>
              </w:tcPr>
              <w:p w14:paraId="3E0366AE" w14:textId="77777777" w:rsidR="007F6073" w:rsidRDefault="00000000">
                <w:r>
                  <w:rPr>
                    <w:sz w:val="17"/>
                  </w:rPr>
                  <w:t>RGU growth component</w:t>
                </w:r>
              </w:p>
            </w:tc>
            <w:tc>
              <w:tcPr>
                <w:tcW w:w="3734" w:type="dxa"/>
                <w:shd w:val="clear" w:color="auto" w:fill="F2F2F2"/>
                <w:tcMar>
                  <w:top w:w="100" w:type="dxa"/>
                  <w:left w:w="100" w:type="dxa"/>
                  <w:bottom w:w="100" w:type="dxa"/>
                  <w:right w:w="100" w:type="dxa"/>
                </w:tcMar>
                <w:vAlign w:val="center"/>
              </w:tcPr>
              <w:p w14:paraId="2386F44F" w14:textId="77777777" w:rsidR="007F6073" w:rsidRDefault="00000000">
                <w:r>
                  <w:rPr>
                    <w:sz w:val="17"/>
                  </w:rPr>
                  <w:t>Tiered annual growth fee triggered only when actual or contracted RGUs exceed the included baseline threshold.</w:t>
                </w:r>
              </w:p>
            </w:tc>
            <w:tc>
              <w:tcPr>
                <w:tcW w:w="4001" w:type="dxa"/>
                <w:shd w:val="clear" w:color="auto" w:fill="F2F2F2"/>
                <w:tcMar>
                  <w:top w:w="100" w:type="dxa"/>
                  <w:left w:w="100" w:type="dxa"/>
                  <w:bottom w:w="100" w:type="dxa"/>
                  <w:right w:w="100" w:type="dxa"/>
                </w:tcMar>
                <w:vAlign w:val="center"/>
              </w:tcPr>
              <w:p w14:paraId="0B573F0A" w14:textId="77777777" w:rsidR="007F6073" w:rsidRDefault="00000000">
                <w:r>
                  <w:rPr>
                    <w:sz w:val="17"/>
                  </w:rPr>
                  <w:t>Allows Vodaria Group to scale without renegotiating the full commercial model each year.</w:t>
                </w:r>
              </w:p>
            </w:tc>
          </w:tr>
          <w:tr w:rsidR="007F6073" w14:paraId="54718E9D" w14:textId="77777777">
            <w:trPr>
              <w:jc w:val="center"/>
            </w:trPr>
            <w:tc>
              <w:tcPr>
                <w:tcW w:w="2329" w:type="dxa"/>
                <w:tcMar>
                  <w:top w:w="100" w:type="dxa"/>
                  <w:left w:w="100" w:type="dxa"/>
                  <w:bottom w:w="100" w:type="dxa"/>
                  <w:right w:w="100" w:type="dxa"/>
                </w:tcMar>
                <w:vAlign w:val="center"/>
              </w:tcPr>
              <w:p w14:paraId="5AD5189B" w14:textId="77777777" w:rsidR="007F6073" w:rsidRDefault="00000000">
                <w:r>
                  <w:rPr>
                    <w:sz w:val="17"/>
                  </w:rPr>
                  <w:t>Maintenance and support</w:t>
                </w:r>
              </w:p>
            </w:tc>
            <w:tc>
              <w:tcPr>
                <w:tcW w:w="3734" w:type="dxa"/>
                <w:tcMar>
                  <w:top w:w="100" w:type="dxa"/>
                  <w:left w:w="100" w:type="dxa"/>
                  <w:bottom w:w="100" w:type="dxa"/>
                  <w:right w:w="100" w:type="dxa"/>
                </w:tcMar>
                <w:vAlign w:val="center"/>
              </w:tcPr>
              <w:p w14:paraId="3C1DC81A" w14:textId="77777777" w:rsidR="007F6073" w:rsidRDefault="00000000">
                <w:r>
                  <w:rPr>
                    <w:sz w:val="17"/>
                  </w:rPr>
                  <w:t>20% of total annual licence fees for the applicable year, including base licence and any activated RGU growth tier fees.</w:t>
                </w:r>
              </w:p>
            </w:tc>
            <w:tc>
              <w:tcPr>
                <w:tcW w:w="4001" w:type="dxa"/>
                <w:tcMar>
                  <w:top w:w="100" w:type="dxa"/>
                  <w:left w:w="100" w:type="dxa"/>
                  <w:bottom w:w="100" w:type="dxa"/>
                  <w:right w:w="100" w:type="dxa"/>
                </w:tcMar>
                <w:vAlign w:val="center"/>
              </w:tcPr>
              <w:p w14:paraId="5D926675" w14:textId="77777777" w:rsidR="007F6073" w:rsidRDefault="00000000">
                <w:r>
                  <w:rPr>
                    <w:sz w:val="17"/>
                  </w:rPr>
                  <w:t>Aligns support charges to the software footprint being supported.</w:t>
                </w:r>
              </w:p>
            </w:tc>
          </w:tr>
          <w:tr w:rsidR="007F6073" w14:paraId="21F84F9E" w14:textId="77777777">
            <w:trPr>
              <w:jc w:val="center"/>
            </w:trPr>
            <w:tc>
              <w:tcPr>
                <w:tcW w:w="2329" w:type="dxa"/>
                <w:shd w:val="clear" w:color="auto" w:fill="F2F2F2"/>
                <w:tcMar>
                  <w:top w:w="100" w:type="dxa"/>
                  <w:left w:w="100" w:type="dxa"/>
                  <w:bottom w:w="100" w:type="dxa"/>
                  <w:right w:w="100" w:type="dxa"/>
                </w:tcMar>
                <w:vAlign w:val="center"/>
              </w:tcPr>
              <w:p w14:paraId="2378FD65" w14:textId="77777777" w:rsidR="007F6073" w:rsidRDefault="00000000">
                <w:r>
                  <w:rPr>
                    <w:sz w:val="17"/>
                  </w:rPr>
                  <w:t>Delivery services</w:t>
                </w:r>
              </w:p>
            </w:tc>
            <w:tc>
              <w:tcPr>
                <w:tcW w:w="3734" w:type="dxa"/>
                <w:shd w:val="clear" w:color="auto" w:fill="F2F2F2"/>
                <w:tcMar>
                  <w:top w:w="100" w:type="dxa"/>
                  <w:left w:w="100" w:type="dxa"/>
                  <w:bottom w:w="100" w:type="dxa"/>
                  <w:right w:w="100" w:type="dxa"/>
                </w:tcMar>
                <w:vAlign w:val="center"/>
              </w:tcPr>
              <w:p w14:paraId="739DD5CB" w14:textId="1299830C" w:rsidR="007F6073" w:rsidRDefault="00000000">
                <w:r>
                  <w:rPr>
                    <w:sz w:val="17"/>
                  </w:rPr>
                  <w:t>To be inserted as a separate one-time or phase-based services fee schedule to cover the deployment, integration and training services.</w:t>
                </w:r>
              </w:p>
            </w:tc>
            <w:tc>
              <w:tcPr>
                <w:tcW w:w="4001" w:type="dxa"/>
                <w:shd w:val="clear" w:color="auto" w:fill="F2F2F2"/>
                <w:tcMar>
                  <w:top w:w="100" w:type="dxa"/>
                  <w:left w:w="100" w:type="dxa"/>
                  <w:bottom w:w="100" w:type="dxa"/>
                  <w:right w:w="100" w:type="dxa"/>
                </w:tcMar>
                <w:vAlign w:val="center"/>
              </w:tcPr>
              <w:p w14:paraId="091FBF3D" w14:textId="71D00FF5" w:rsidR="007F6073" w:rsidRDefault="00000000">
                <w:r>
                  <w:rPr>
                    <w:sz w:val="17"/>
                  </w:rPr>
                  <w:t>Keeps implementation services transparent, fixed price and distinct from recurring software fees.</w:t>
                </w:r>
              </w:p>
            </w:tc>
          </w:tr>
          <w:tr w:rsidR="007F6073" w14:paraId="695F5217" w14:textId="77777777">
            <w:trPr>
              <w:jc w:val="center"/>
            </w:trPr>
            <w:tc>
              <w:tcPr>
                <w:tcW w:w="2329" w:type="dxa"/>
                <w:tcMar>
                  <w:top w:w="100" w:type="dxa"/>
                  <w:left w:w="100" w:type="dxa"/>
                  <w:bottom w:w="100" w:type="dxa"/>
                  <w:right w:w="100" w:type="dxa"/>
                </w:tcMar>
                <w:vAlign w:val="center"/>
              </w:tcPr>
              <w:p w14:paraId="4E132CAD" w14:textId="0C4E8390" w:rsidR="007F6073" w:rsidRDefault="00000000">
                <w:r>
                  <w:rPr>
                    <w:sz w:val="17"/>
                  </w:rPr>
                  <w:lastRenderedPageBreak/>
                  <w:t>SaaS/Managed services</w:t>
                </w:r>
              </w:p>
            </w:tc>
            <w:tc>
              <w:tcPr>
                <w:tcW w:w="3734" w:type="dxa"/>
                <w:tcMar>
                  <w:top w:w="100" w:type="dxa"/>
                  <w:left w:w="100" w:type="dxa"/>
                  <w:bottom w:w="100" w:type="dxa"/>
                  <w:right w:w="100" w:type="dxa"/>
                </w:tcMar>
                <w:vAlign w:val="center"/>
              </w:tcPr>
              <w:p w14:paraId="50A5BF3D" w14:textId="11701A2F" w:rsidR="007F6073" w:rsidRDefault="00000000">
                <w:r>
                  <w:rPr>
                    <w:sz w:val="17"/>
                  </w:rPr>
                  <w:t>Hansen is proposing a Managed Services solution which includes the required AWS infrastructure and Hansen services to operate, monitor and maintain the Vodaria Group solution.</w:t>
                </w:r>
              </w:p>
            </w:tc>
            <w:tc>
              <w:tcPr>
                <w:tcW w:w="4001" w:type="dxa"/>
                <w:tcMar>
                  <w:top w:w="100" w:type="dxa"/>
                  <w:left w:w="100" w:type="dxa"/>
                  <w:bottom w:w="100" w:type="dxa"/>
                  <w:right w:w="100" w:type="dxa"/>
                </w:tcMar>
                <w:vAlign w:val="center"/>
              </w:tcPr>
              <w:p w14:paraId="01A67190" w14:textId="6767852C" w:rsidR="007F6073" w:rsidRDefault="00000000">
                <w:r>
                  <w:rPr>
                    <w:sz w:val="17"/>
                  </w:rPr>
                  <w:t>Provides a SaaS/managed services offering to remove risks from the operating model. Hansen provides flexibility to right size these services for Vodaria Group.</w:t>
                </w:r>
              </w:p>
            </w:tc>
          </w:tr>
          <w:tr w:rsidR="007F6073" w14:paraId="69FCCD99" w14:textId="77777777">
            <w:trPr>
              <w:jc w:val="center"/>
            </w:trPr>
            <w:tc>
              <w:tcPr>
                <w:tcW w:w="2329" w:type="dxa"/>
                <w:shd w:val="clear" w:color="auto" w:fill="F2F2F2"/>
                <w:tcMar>
                  <w:top w:w="100" w:type="dxa"/>
                  <w:left w:w="100" w:type="dxa"/>
                  <w:bottom w:w="100" w:type="dxa"/>
                  <w:right w:w="100" w:type="dxa"/>
                </w:tcMar>
                <w:vAlign w:val="center"/>
              </w:tcPr>
              <w:p w14:paraId="08DD1FB7" w14:textId="77777777" w:rsidR="007F6073" w:rsidRDefault="00000000">
                <w:r>
                  <w:rPr>
                    <w:sz w:val="17"/>
                  </w:rPr>
                  <w:t>Renewal protection</w:t>
                </w:r>
              </w:p>
            </w:tc>
            <w:tc>
              <w:tcPr>
                <w:tcW w:w="3734" w:type="dxa"/>
                <w:shd w:val="clear" w:color="auto" w:fill="F2F2F2"/>
                <w:tcMar>
                  <w:top w:w="100" w:type="dxa"/>
                  <w:left w:w="100" w:type="dxa"/>
                  <w:bottom w:w="100" w:type="dxa"/>
                  <w:right w:w="100" w:type="dxa"/>
                </w:tcMar>
                <w:vAlign w:val="center"/>
              </w:tcPr>
              <w:p w14:paraId="261668E1" w14:textId="057F75D9" w:rsidR="007F6073" w:rsidRDefault="00000000">
                <w:r>
                  <w:rPr>
                    <w:sz w:val="17"/>
                  </w:rPr>
                  <w:t>Renewal indexation linked to CPI and advance notice provisions.</w:t>
                </w:r>
              </w:p>
            </w:tc>
            <w:tc>
              <w:tcPr>
                <w:tcW w:w="4001" w:type="dxa"/>
                <w:shd w:val="clear" w:color="auto" w:fill="F2F2F2"/>
                <w:tcMar>
                  <w:top w:w="100" w:type="dxa"/>
                  <w:left w:w="100" w:type="dxa"/>
                  <w:bottom w:w="100" w:type="dxa"/>
                  <w:right w:w="100" w:type="dxa"/>
                </w:tcMar>
                <w:vAlign w:val="center"/>
              </w:tcPr>
              <w:p w14:paraId="44C23876" w14:textId="77777777" w:rsidR="007F6073" w:rsidRDefault="00000000">
                <w:r>
                  <w:rPr>
                    <w:sz w:val="17"/>
                  </w:rPr>
                  <w:t>Limits surprise increases and gives procurement a defensible long-term cost framework.</w:t>
                </w:r>
              </w:p>
            </w:tc>
          </w:tr>
        </w:tbl>
        <w:p w14:paraId="22685268" w14:textId="77777777" w:rsidR="007F6073" w:rsidRDefault="007F6073"/>
        <w:p w14:paraId="5FD6236E" w14:textId="0BCD14C2" w:rsidR="007F6073" w:rsidRDefault="00000000">
          <w:pPr>
            <w:pStyle w:val="Heading2"/>
          </w:pPr>
          <w:r>
            <w:t xml:space="preserve"> </w:t>
          </w:r>
          <w:bookmarkStart w:id="106" w:name="_Toc239002243"/>
          <w:r>
            <w:t>Commercial Assumptions</w:t>
          </w:r>
          <w:bookmarkEnd w:id="106"/>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69"/>
            <w:gridCol w:w="7595"/>
          </w:tblGrid>
          <w:tr w:rsidR="007F6073" w14:paraId="5C75A289" w14:textId="77777777">
            <w:trPr>
              <w:tblHeader/>
              <w:jc w:val="center"/>
            </w:trPr>
            <w:tc>
              <w:tcPr>
                <w:tcW w:w="2469" w:type="dxa"/>
                <w:shd w:val="clear" w:color="auto" w:fill="1F4E79"/>
                <w:tcMar>
                  <w:top w:w="100" w:type="dxa"/>
                  <w:left w:w="100" w:type="dxa"/>
                  <w:bottom w:w="100" w:type="dxa"/>
                  <w:right w:w="100" w:type="dxa"/>
                </w:tcMar>
                <w:vAlign w:val="center"/>
              </w:tcPr>
              <w:p w14:paraId="351A0E60" w14:textId="77777777" w:rsidR="007F6073" w:rsidRDefault="00000000">
                <w:pPr>
                  <w:jc w:val="center"/>
                </w:pPr>
                <w:r>
                  <w:rPr>
                    <w:b/>
                    <w:color w:val="FFFFFF"/>
                    <w:sz w:val="17"/>
                  </w:rPr>
                  <w:t>Assumption category</w:t>
                </w:r>
              </w:p>
            </w:tc>
            <w:tc>
              <w:tcPr>
                <w:tcW w:w="7595" w:type="dxa"/>
                <w:shd w:val="clear" w:color="auto" w:fill="1F4E79"/>
                <w:tcMar>
                  <w:top w:w="100" w:type="dxa"/>
                  <w:left w:w="100" w:type="dxa"/>
                  <w:bottom w:w="100" w:type="dxa"/>
                  <w:right w:w="100" w:type="dxa"/>
                </w:tcMar>
                <w:vAlign w:val="center"/>
              </w:tcPr>
              <w:p w14:paraId="43A6436E" w14:textId="780F34FE" w:rsidR="007F6073" w:rsidRDefault="00000000">
                <w:pPr>
                  <w:jc w:val="center"/>
                </w:pPr>
                <w:r>
                  <w:rPr>
                    <w:b/>
                    <w:color w:val="FFFFFF"/>
                    <w:sz w:val="17"/>
                  </w:rPr>
                  <w:t>Assumption</w:t>
                </w:r>
              </w:p>
            </w:tc>
          </w:tr>
          <w:tr w:rsidR="007F6073" w14:paraId="5899D7D3" w14:textId="77777777">
            <w:trPr>
              <w:jc w:val="center"/>
            </w:trPr>
            <w:tc>
              <w:tcPr>
                <w:tcW w:w="2469" w:type="dxa"/>
                <w:tcMar>
                  <w:top w:w="100" w:type="dxa"/>
                  <w:left w:w="100" w:type="dxa"/>
                  <w:bottom w:w="100" w:type="dxa"/>
                  <w:right w:w="100" w:type="dxa"/>
                </w:tcMar>
                <w:vAlign w:val="center"/>
              </w:tcPr>
              <w:p w14:paraId="27E937DD" w14:textId="77777777" w:rsidR="007F6073" w:rsidRDefault="00000000">
                <w:r>
                  <w:rPr>
                    <w:sz w:val="17"/>
                  </w:rPr>
                  <w:t>Initial term</w:t>
                </w:r>
              </w:p>
            </w:tc>
            <w:tc>
              <w:tcPr>
                <w:tcW w:w="7595" w:type="dxa"/>
                <w:tcMar>
                  <w:top w:w="100" w:type="dxa"/>
                  <w:left w:w="100" w:type="dxa"/>
                  <w:bottom w:w="100" w:type="dxa"/>
                  <w:right w:w="100" w:type="dxa"/>
                </w:tcMar>
                <w:vAlign w:val="center"/>
              </w:tcPr>
              <w:p w14:paraId="3910E7D0" w14:textId="77777777" w:rsidR="007F6073" w:rsidRDefault="00000000">
                <w:r>
                  <w:rPr>
                    <w:sz w:val="17"/>
                  </w:rPr>
                  <w:t>Five-year initial committed term from the production start date or contract effective date, as agreed in the final agreement.</w:t>
                </w:r>
              </w:p>
            </w:tc>
          </w:tr>
          <w:tr w:rsidR="007F6073" w14:paraId="141DA31C" w14:textId="77777777">
            <w:trPr>
              <w:jc w:val="center"/>
            </w:trPr>
            <w:tc>
              <w:tcPr>
                <w:tcW w:w="2469" w:type="dxa"/>
                <w:tcMar>
                  <w:top w:w="100" w:type="dxa"/>
                  <w:left w:w="100" w:type="dxa"/>
                  <w:bottom w:w="100" w:type="dxa"/>
                  <w:right w:w="100" w:type="dxa"/>
                </w:tcMar>
              </w:tcPr>
              <w:p w14:paraId="20F99B83" w14:textId="77777777" w:rsidR="007F6073" w:rsidRDefault="00000000">
                <w:pPr>
                  <w:rPr>
                    <w:sz w:val="17"/>
                  </w:rPr>
                </w:pPr>
                <w:r>
                  <w:rPr>
                    <w:sz w:val="17"/>
                    <w:szCs w:val="17"/>
                  </w:rPr>
                  <w:t>Currency</w:t>
                </w:r>
              </w:p>
            </w:tc>
            <w:tc>
              <w:tcPr>
                <w:tcW w:w="7595" w:type="dxa"/>
                <w:tcMar>
                  <w:top w:w="100" w:type="dxa"/>
                  <w:left w:w="100" w:type="dxa"/>
                  <w:bottom w:w="100" w:type="dxa"/>
                  <w:right w:w="100" w:type="dxa"/>
                </w:tcMar>
              </w:tcPr>
              <w:p w14:paraId="22CFAC9C" w14:textId="77777777" w:rsidR="007F6073" w:rsidRDefault="00000000">
                <w:pPr>
                  <w:rPr>
                    <w:sz w:val="17"/>
                  </w:rPr>
                </w:pPr>
                <w:r>
                  <w:rPr>
                    <w:sz w:val="17"/>
                    <w:szCs w:val="17"/>
                  </w:rPr>
                  <w:t xml:space="preserve">All prices are in Euros unless otherwise specifically noted. </w:t>
                </w:r>
              </w:p>
            </w:tc>
          </w:tr>
          <w:tr w:rsidR="007F6073" w14:paraId="2D1BFFA5" w14:textId="77777777">
            <w:trPr>
              <w:jc w:val="center"/>
            </w:trPr>
            <w:tc>
              <w:tcPr>
                <w:tcW w:w="2469" w:type="dxa"/>
                <w:tcMar>
                  <w:top w:w="100" w:type="dxa"/>
                  <w:left w:w="100" w:type="dxa"/>
                  <w:bottom w:w="100" w:type="dxa"/>
                  <w:right w:w="100" w:type="dxa"/>
                </w:tcMar>
                <w:vAlign w:val="center"/>
              </w:tcPr>
              <w:p w14:paraId="500712C2" w14:textId="77777777" w:rsidR="007F6073" w:rsidRDefault="00000000">
                <w:r>
                  <w:rPr>
                    <w:sz w:val="17"/>
                  </w:rPr>
                  <w:t>Baseline RGUs</w:t>
                </w:r>
              </w:p>
            </w:tc>
            <w:tc>
              <w:tcPr>
                <w:tcW w:w="7595" w:type="dxa"/>
                <w:tcMar>
                  <w:top w:w="100" w:type="dxa"/>
                  <w:left w:w="100" w:type="dxa"/>
                  <w:bottom w:w="100" w:type="dxa"/>
                  <w:right w:w="100" w:type="dxa"/>
                </w:tcMar>
                <w:vAlign w:val="center"/>
              </w:tcPr>
              <w:p w14:paraId="3A676F0C" w14:textId="686DF703" w:rsidR="007F6073" w:rsidRDefault="00000000">
                <w:r>
                  <w:rPr>
                    <w:sz w:val="17"/>
                  </w:rPr>
                  <w:t>The annual base licence covers Vodaria Group's existing estimated number of RGUs: 28 million subscribers.</w:t>
                </w:r>
              </w:p>
            </w:tc>
          </w:tr>
          <w:tr w:rsidR="007F6073" w14:paraId="7714E308" w14:textId="77777777">
            <w:trPr>
              <w:jc w:val="center"/>
            </w:trPr>
            <w:tc>
              <w:tcPr>
                <w:tcW w:w="2469" w:type="dxa"/>
                <w:tcMar>
                  <w:top w:w="100" w:type="dxa"/>
                  <w:left w:w="100" w:type="dxa"/>
                  <w:bottom w:w="100" w:type="dxa"/>
                  <w:right w:w="100" w:type="dxa"/>
                </w:tcMar>
                <w:vAlign w:val="center"/>
              </w:tcPr>
              <w:p w14:paraId="262B2014" w14:textId="77777777" w:rsidR="007F6073" w:rsidRDefault="00000000">
                <w:r>
                  <w:rPr>
                    <w:sz w:val="17"/>
                  </w:rPr>
                  <w:t>Modules included</w:t>
                </w:r>
              </w:p>
            </w:tc>
            <w:tc>
              <w:tcPr>
                <w:tcW w:w="7595" w:type="dxa"/>
                <w:tcMar>
                  <w:top w:w="100" w:type="dxa"/>
                  <w:left w:w="100" w:type="dxa"/>
                  <w:bottom w:w="100" w:type="dxa"/>
                  <w:right w:w="100" w:type="dxa"/>
                </w:tcMar>
                <w:vAlign w:val="center"/>
              </w:tcPr>
              <w:p w14:paraId="5F7A6F83" w14:textId="785E5752" w:rsidR="007F6073" w:rsidRDefault="00000000">
                <w:r>
                  <w:rPr>
                    <w:sz w:val="17"/>
                  </w:rPr>
                  <w:t>The licence covers the Hansen software modules listed in the software schedule: Hansen Catalog, Hansen CPQ, Hansen OM, Hansen Portfolio, Hansen Informatics, and Hansen Sales Navigator.</w:t>
                </w:r>
              </w:p>
            </w:tc>
          </w:tr>
          <w:tr w:rsidR="007F6073" w14:paraId="42823B75" w14:textId="77777777">
            <w:trPr>
              <w:jc w:val="center"/>
            </w:trPr>
            <w:tc>
              <w:tcPr>
                <w:tcW w:w="2469" w:type="dxa"/>
                <w:tcMar>
                  <w:top w:w="100" w:type="dxa"/>
                  <w:left w:w="100" w:type="dxa"/>
                  <w:bottom w:w="100" w:type="dxa"/>
                  <w:right w:w="100" w:type="dxa"/>
                </w:tcMar>
                <w:vAlign w:val="center"/>
              </w:tcPr>
              <w:p w14:paraId="7756A011" w14:textId="77777777" w:rsidR="007F6073" w:rsidRDefault="00000000">
                <w:r>
                  <w:rPr>
                    <w:sz w:val="17"/>
                  </w:rPr>
                  <w:t>Geographic / legal entities</w:t>
                </w:r>
              </w:p>
            </w:tc>
            <w:tc>
              <w:tcPr>
                <w:tcW w:w="7595" w:type="dxa"/>
                <w:tcMar>
                  <w:top w:w="100" w:type="dxa"/>
                  <w:left w:w="100" w:type="dxa"/>
                  <w:bottom w:w="100" w:type="dxa"/>
                  <w:right w:w="100" w:type="dxa"/>
                </w:tcMar>
                <w:vAlign w:val="center"/>
              </w:tcPr>
              <w:p w14:paraId="5147973F" w14:textId="77777777" w:rsidR="007F6073" w:rsidRDefault="00000000">
                <w:pPr>
                  <w:rPr>
                    <w:sz w:val="17"/>
                    <w:szCs w:val="17"/>
                  </w:rPr>
                </w:pPr>
                <w:r>
                  <w:rPr>
                    <w:sz w:val="17"/>
                    <w:szCs w:val="17"/>
                  </w:rPr>
                  <w:t>Pricing assumes use by Vodaria Group in Sweden for its global network.</w:t>
                </w:r>
              </w:p>
            </w:tc>
          </w:tr>
          <w:tr w:rsidR="007F6073" w14:paraId="5CF22309" w14:textId="77777777">
            <w:trPr>
              <w:jc w:val="center"/>
            </w:trPr>
            <w:tc>
              <w:tcPr>
                <w:tcW w:w="2469" w:type="dxa"/>
                <w:tcMar>
                  <w:top w:w="100" w:type="dxa"/>
                  <w:left w:w="100" w:type="dxa"/>
                  <w:bottom w:w="100" w:type="dxa"/>
                  <w:right w:w="100" w:type="dxa"/>
                </w:tcMar>
                <w:vAlign w:val="center"/>
              </w:tcPr>
              <w:p w14:paraId="192FBCBE" w14:textId="77777777" w:rsidR="007F6073" w:rsidRDefault="00000000">
                <w:r>
                  <w:rPr>
                    <w:sz w:val="17"/>
                  </w:rPr>
                  <w:t>Environments</w:t>
                </w:r>
              </w:p>
            </w:tc>
            <w:tc>
              <w:tcPr>
                <w:tcW w:w="7595" w:type="dxa"/>
                <w:tcMar>
                  <w:top w:w="100" w:type="dxa"/>
                  <w:left w:w="100" w:type="dxa"/>
                  <w:bottom w:w="100" w:type="dxa"/>
                  <w:right w:w="100" w:type="dxa"/>
                </w:tcMar>
                <w:vAlign w:val="center"/>
              </w:tcPr>
              <w:p w14:paraId="57687234" w14:textId="7D2ACF83" w:rsidR="007F6073" w:rsidRDefault="00000000">
                <w:pPr>
                  <w:rPr>
                    <w:sz w:val="17"/>
                  </w:rPr>
                </w:pPr>
                <w:r>
                  <w:rPr>
                    <w:sz w:val="17"/>
                  </w:rPr>
                  <w:t>Hansen has included 6 environments; Development, Quality Assurance, Systems Integration Testing, User Acceptance Testing Pre-Production, and Production.</w:t>
                </w:r>
              </w:p>
            </w:tc>
          </w:tr>
          <w:tr w:rsidR="007F6073" w14:paraId="28538434" w14:textId="77777777">
            <w:trPr>
              <w:jc w:val="center"/>
            </w:trPr>
            <w:tc>
              <w:tcPr>
                <w:tcW w:w="2469" w:type="dxa"/>
                <w:tcMar>
                  <w:top w:w="100" w:type="dxa"/>
                  <w:left w:w="100" w:type="dxa"/>
                  <w:bottom w:w="100" w:type="dxa"/>
                  <w:right w:w="100" w:type="dxa"/>
                </w:tcMar>
                <w:vAlign w:val="center"/>
              </w:tcPr>
              <w:p w14:paraId="5036EA8F" w14:textId="77777777" w:rsidR="007F6073" w:rsidRDefault="00000000">
                <w:r>
                  <w:rPr>
                    <w:sz w:val="17"/>
                  </w:rPr>
                  <w:t>Taxes and third-party charges</w:t>
                </w:r>
              </w:p>
            </w:tc>
            <w:tc>
              <w:tcPr>
                <w:tcW w:w="7595" w:type="dxa"/>
                <w:tcMar>
                  <w:top w:w="100" w:type="dxa"/>
                  <w:left w:w="100" w:type="dxa"/>
                  <w:bottom w:w="100" w:type="dxa"/>
                  <w:right w:w="100" w:type="dxa"/>
                </w:tcMar>
                <w:vAlign w:val="center"/>
              </w:tcPr>
              <w:p w14:paraId="65D14511" w14:textId="77777777" w:rsidR="007F6073" w:rsidRDefault="00000000">
                <w:r>
                  <w:rPr>
                    <w:sz w:val="17"/>
                  </w:rPr>
                  <w:t>Fees exclude taxes, duties, third-party licence fees, third-party cloud/service charges and customer-side costs unless expressly stated.</w:t>
                </w:r>
              </w:p>
            </w:tc>
          </w:tr>
          <w:tr w:rsidR="007F6073" w14:paraId="618CD25D" w14:textId="77777777">
            <w:trPr>
              <w:jc w:val="center"/>
            </w:trPr>
            <w:tc>
              <w:tcPr>
                <w:tcW w:w="2469" w:type="dxa"/>
                <w:tcMar>
                  <w:top w:w="100" w:type="dxa"/>
                  <w:left w:w="100" w:type="dxa"/>
                  <w:bottom w:w="100" w:type="dxa"/>
                  <w:right w:w="100" w:type="dxa"/>
                </w:tcMar>
                <w:vAlign w:val="center"/>
              </w:tcPr>
              <w:p w14:paraId="27038F5E" w14:textId="77777777" w:rsidR="007F6073" w:rsidRDefault="00000000">
                <w:r>
                  <w:rPr>
                    <w:sz w:val="17"/>
                  </w:rPr>
                  <w:t>Commercial governance</w:t>
                </w:r>
              </w:p>
            </w:tc>
            <w:tc>
              <w:tcPr>
                <w:tcW w:w="7595" w:type="dxa"/>
                <w:tcMar>
                  <w:top w:w="100" w:type="dxa"/>
                  <w:left w:w="100" w:type="dxa"/>
                  <w:bottom w:w="100" w:type="dxa"/>
                  <w:right w:w="100" w:type="dxa"/>
                </w:tcMar>
                <w:vAlign w:val="center"/>
              </w:tcPr>
              <w:p w14:paraId="4E9FBFC5" w14:textId="77777777" w:rsidR="007F6073" w:rsidRDefault="00000000">
                <w:r>
                  <w:rPr>
                    <w:sz w:val="17"/>
                  </w:rPr>
                  <w:t>All prices, discounts, payment milestones, indexation and renewal protections are subject to final scope, commercial and legal approval.</w:t>
                </w:r>
              </w:p>
            </w:tc>
          </w:tr>
          <w:tr w:rsidR="007F6073" w14:paraId="22863656" w14:textId="77777777">
            <w:trPr>
              <w:jc w:val="center"/>
            </w:trPr>
            <w:tc>
              <w:tcPr>
                <w:tcW w:w="2469" w:type="dxa"/>
                <w:tcMar>
                  <w:top w:w="100" w:type="dxa"/>
                  <w:left w:w="100" w:type="dxa"/>
                  <w:bottom w:w="100" w:type="dxa"/>
                  <w:right w:w="100" w:type="dxa"/>
                </w:tcMar>
                <w:vAlign w:val="center"/>
              </w:tcPr>
              <w:p w14:paraId="7883162B" w14:textId="59813452" w:rsidR="007F6073" w:rsidRDefault="00000000">
                <w:pPr>
                  <w:rPr>
                    <w:sz w:val="17"/>
                  </w:rPr>
                </w:pPr>
                <w:r>
                  <w:rPr>
                    <w:sz w:val="17"/>
                  </w:rPr>
                  <w:lastRenderedPageBreak/>
                  <w:t>Confidentiality</w:t>
                </w:r>
              </w:p>
            </w:tc>
            <w:tc>
              <w:tcPr>
                <w:tcW w:w="7595" w:type="dxa"/>
                <w:tcMar>
                  <w:top w:w="100" w:type="dxa"/>
                  <w:left w:w="100" w:type="dxa"/>
                  <w:bottom w:w="100" w:type="dxa"/>
                  <w:right w:w="100" w:type="dxa"/>
                </w:tcMar>
                <w:vAlign w:val="center"/>
              </w:tcPr>
              <w:p w14:paraId="57F664CF" w14:textId="79C49B24" w:rsidR="007F6073" w:rsidRDefault="00000000">
                <w:pPr>
                  <w:rPr>
                    <w:sz w:val="17"/>
                  </w:rPr>
                </w:pPr>
                <w:r>
                  <w:rPr>
                    <w:sz w:val="17"/>
                  </w:rPr>
                  <w:t>Confidentiality language in all documents that this is Hansen confidential information to be used solely for the purpose of adjudicating Hansen’s response.</w:t>
                </w:r>
              </w:p>
            </w:tc>
          </w:tr>
          <w:tr w:rsidR="007F6073" w14:paraId="5A2FC24D" w14:textId="77777777">
            <w:trPr>
              <w:jc w:val="center"/>
            </w:trPr>
            <w:tc>
              <w:tcPr>
                <w:tcW w:w="2469" w:type="dxa"/>
                <w:tcMar>
                  <w:top w:w="100" w:type="dxa"/>
                  <w:left w:w="100" w:type="dxa"/>
                  <w:bottom w:w="100" w:type="dxa"/>
                  <w:right w:w="100" w:type="dxa"/>
                </w:tcMar>
                <w:vAlign w:val="center"/>
              </w:tcPr>
              <w:p w14:paraId="2918F092" w14:textId="61DC4914" w:rsidR="007F6073" w:rsidRDefault="00000000">
                <w:pPr>
                  <w:rPr>
                    <w:sz w:val="17"/>
                  </w:rPr>
                </w:pPr>
                <w:r>
                  <w:rPr>
                    <w:sz w:val="17"/>
                  </w:rPr>
                  <w:t>Pricing</w:t>
                </w:r>
              </w:p>
            </w:tc>
            <w:tc>
              <w:tcPr>
                <w:tcW w:w="7595" w:type="dxa"/>
                <w:tcMar>
                  <w:top w:w="100" w:type="dxa"/>
                  <w:left w:w="100" w:type="dxa"/>
                  <w:bottom w:w="100" w:type="dxa"/>
                  <w:right w:w="100" w:type="dxa"/>
                </w:tcMar>
                <w:vAlign w:val="center"/>
              </w:tcPr>
              <w:p w14:paraId="3CD1DD9E" w14:textId="7C5B12AF" w:rsidR="007F6073" w:rsidRDefault="00000000">
                <w:pPr>
                  <w:rPr>
                    <w:sz w:val="17"/>
                  </w:rPr>
                </w:pPr>
                <w:r>
                  <w:rPr>
                    <w:sz w:val="17"/>
                  </w:rPr>
                  <w:t>Pricing is based on our standard delivery model, to be performed in accordance with our standard terms and conditions.</w:t>
                </w:r>
              </w:p>
            </w:tc>
          </w:tr>
          <w:tr w:rsidR="007F6073" w14:paraId="44ACF8F4" w14:textId="77777777">
            <w:trPr>
              <w:jc w:val="center"/>
            </w:trPr>
            <w:tc>
              <w:tcPr>
                <w:tcW w:w="2469" w:type="dxa"/>
                <w:tcMar>
                  <w:top w:w="100" w:type="dxa"/>
                  <w:left w:w="100" w:type="dxa"/>
                  <w:bottom w:w="100" w:type="dxa"/>
                  <w:right w:w="100" w:type="dxa"/>
                </w:tcMar>
                <w:vAlign w:val="center"/>
              </w:tcPr>
              <w:p w14:paraId="07834DD0" w14:textId="0DB6B642" w:rsidR="007F6073" w:rsidRDefault="00000000">
                <w:pPr>
                  <w:rPr>
                    <w:sz w:val="17"/>
                  </w:rPr>
                </w:pPr>
                <w:r>
                  <w:rPr>
                    <w:sz w:val="17"/>
                  </w:rPr>
                  <w:t>Inflation Adjustments</w:t>
                </w:r>
              </w:p>
            </w:tc>
            <w:tc>
              <w:tcPr>
                <w:tcW w:w="7595" w:type="dxa"/>
                <w:tcMar>
                  <w:top w:w="100" w:type="dxa"/>
                  <w:left w:w="100" w:type="dxa"/>
                  <w:bottom w:w="100" w:type="dxa"/>
                  <w:right w:w="100" w:type="dxa"/>
                </w:tcMar>
                <w:vAlign w:val="center"/>
              </w:tcPr>
              <w:p w14:paraId="534CCEF9" w14:textId="4D6F3FA7" w:rsidR="007F6073" w:rsidRDefault="00000000">
                <w:pPr>
                  <w:rPr>
                    <w:sz w:val="17"/>
                  </w:rPr>
                </w:pPr>
                <w:r>
                  <w:rPr>
                    <w:sz w:val="17"/>
                  </w:rPr>
                  <w:t>All annual and recurring pricing during the Term will be adjusted annually based upon the past year’s CPI rate.</w:t>
                </w:r>
              </w:p>
            </w:tc>
          </w:tr>
        </w:tbl>
        <w:p w14:paraId="726F25E7" w14:textId="77777777" w:rsidR="007F6073" w:rsidRDefault="007F6073"/>
        <w:p w14:paraId="2D0E133E" w14:textId="6E7E61EE" w:rsidR="007F6073" w:rsidRDefault="00000000">
          <w:pPr>
            <w:pStyle w:val="Heading2"/>
          </w:pPr>
          <w:r>
            <w:t xml:space="preserve"> </w:t>
          </w:r>
          <w:bookmarkStart w:id="107" w:name="_Toc239002244"/>
          <w:r>
            <w:t>Annual Software License</w:t>
          </w:r>
          <w:bookmarkEnd w:id="107"/>
        </w:p>
        <w:p w14:paraId="100502F9" w14:textId="2D2D5D77" w:rsidR="007F6073" w:rsidRDefault="00000000">
          <w:pPr>
            <w:rPr>
              <w:color w:val="auto"/>
            </w:rPr>
          </w:pPr>
          <w:r>
            <w:rPr>
              <w:color w:val="auto"/>
            </w:rPr>
            <w:t xml:space="preserve">The annual software licence fee provides Vodaria Group with the right to use the contracted Hansen software modules for the Converged BSS Transformation CPQ and Order Management solution during the initial five-year term. The base licence fee is intended to cover </w:t>
          </w:r>
          <w:r>
            <w:rPr>
              <w:b/>
              <w:bCs/>
              <w:i/>
              <w:iCs/>
              <w:color w:val="auto"/>
            </w:rPr>
            <w:t>Vodaria Group's current estimated RGU baseline</w:t>
          </w:r>
          <w:r>
            <w:rPr>
              <w:color w:val="auto"/>
            </w:rPr>
            <w:t>, so the first tier of growth is only triggered where Vodaria Group exceeds the included RGU capacity threshold defined in the contract.</w:t>
          </w:r>
        </w:p>
        <w:tbl>
          <w:tblPr>
            <w:tblW w:w="0" w:type="auto"/>
            <w:jc w:val="center"/>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Look w:val="04A0" w:firstRow="1" w:lastRow="0" w:firstColumn="1" w:lastColumn="0" w:noHBand="0" w:noVBand="1"/>
          </w:tblPr>
          <w:tblGrid>
            <w:gridCol w:w="10064"/>
          </w:tblGrid>
          <w:tr w:rsidR="007F6073" w14:paraId="2FC2CE24" w14:textId="77777777">
            <w:trPr>
              <w:jc w:val="center"/>
            </w:trPr>
            <w:tc>
              <w:tcPr>
                <w:tcW w:w="10080" w:type="dxa"/>
                <w:shd w:val="clear" w:color="auto" w:fill="D9EAF7"/>
                <w:tcMar>
                  <w:top w:w="120" w:type="dxa"/>
                  <w:left w:w="160" w:type="dxa"/>
                  <w:bottom w:w="120" w:type="dxa"/>
                  <w:right w:w="160" w:type="dxa"/>
                </w:tcMar>
                <w:vAlign w:val="center"/>
              </w:tcPr>
              <w:p w14:paraId="2B4FCEF1" w14:textId="77777777" w:rsidR="007F6073" w:rsidRDefault="00000000">
                <w:r>
                  <w:rPr>
                    <w:b/>
                    <w:color w:val="1F4E79"/>
                    <w:sz w:val="20"/>
                  </w:rPr>
                  <w:t>Total Annual Licence Fee = Base Annual Licence Fee + Activated RGU Growth Tier Fee(s)</w:t>
                </w:r>
              </w:p>
            </w:tc>
          </w:tr>
          <w:tr w:rsidR="007F6073" w14:paraId="27C6C74C" w14:textId="77777777">
            <w:trPr>
              <w:jc w:val="center"/>
            </w:trPr>
            <w:tc>
              <w:tcPr>
                <w:tcW w:w="10080" w:type="dxa"/>
                <w:shd w:val="clear" w:color="auto" w:fill="FFFFFF"/>
                <w:tcMar>
                  <w:top w:w="120" w:type="dxa"/>
                  <w:left w:w="160" w:type="dxa"/>
                  <w:bottom w:w="120" w:type="dxa"/>
                  <w:right w:w="160" w:type="dxa"/>
                </w:tcMar>
                <w:vAlign w:val="center"/>
              </w:tcPr>
              <w:p w14:paraId="5F6B05B5" w14:textId="77777777" w:rsidR="007F6073" w:rsidRDefault="00000000">
                <w:r>
                  <w:rPr>
                    <w:sz w:val="18"/>
                  </w:rPr>
                  <w:t>The base annual licence fee covers the agreed baseline RGU volume. Growth tier fees apply only when the RGU threshold for the relevant tier is exceeded, based on the agreed measurement process.</w:t>
                </w:r>
              </w:p>
            </w:tc>
          </w:tr>
        </w:tbl>
        <w:p w14:paraId="507DD88E" w14:textId="05C27BE9" w:rsidR="007F6073" w:rsidRDefault="00000000">
          <w:pPr>
            <w:pStyle w:val="Heading3"/>
          </w:pPr>
          <w:bookmarkStart w:id="108" w:name="_Toc239002245"/>
          <w:r>
            <w:t>RGU Definition &amp; Assumptions</w:t>
          </w:r>
          <w:bookmarkEnd w:id="108"/>
        </w:p>
        <w:p w14:paraId="6E4A7DB9" w14:textId="77777777" w:rsidR="007F6073" w:rsidRDefault="00000000">
          <w:r>
            <w:t>For the purpose of this response, an RGU (Revenue Generating Unit) is a distinct active, recurring-revenue customer service managed through the Converged BSS Transformation platform and represented within Vodaria Group's customer service inventory, portfolio, or billing environment.</w:t>
          </w:r>
        </w:p>
        <w:p w14:paraId="3AC60C9B" w14:textId="77777777" w:rsidR="007F6073" w:rsidRDefault="00000000">
          <w:r>
            <w:t>An RGU represents a customer-facing service that is active, and billable. It does not include underlying network resources, inventory objects, ports, circuits not directly contracted to a customer, quote lines, order lines, work orders, implementation tasks, or other operational records.</w:t>
          </w:r>
        </w:p>
        <w:p w14:paraId="06E9A3EB" w14:textId="7E63570A" w:rsidR="007F6073" w:rsidRDefault="00000000">
          <w:pPr>
            <w:rPr>
              <w:color w:val="auto"/>
            </w:rPr>
          </w:pPr>
          <w:r>
            <w:rPr>
              <w:color w:val="auto"/>
            </w:rPr>
            <w:t xml:space="preserve">Hansen has based the proposed Converged BSS Transformation commercial model on an initial planning estimate of 28 million subscribers active RGUs, where an RGU is defined as one active, billable, customer-facing service instance managed through the Converged BSS Transformation lead-to-order, order management, portfolio, and billing handoff process. This estimate is intended to represent Vodaria Group's current wholesale and </w:t>
          </w:r>
          <w:r>
            <w:rPr>
              <w:color w:val="auto"/>
            </w:rPr>
            <w:lastRenderedPageBreak/>
            <w:t>enterprise service footprint across in-scope product families and will be validated against Vodaria Group's active customer service inventory or billing system of record prior to contract finalisation.</w:t>
          </w:r>
        </w:p>
        <w:p w14:paraId="4C422A2A" w14:textId="77777777" w:rsidR="007F6073" w:rsidRDefault="00000000">
          <w:pPr>
            <w:rPr>
              <w:color w:val="auto"/>
            </w:rPr>
          </w:pPr>
          <w:r>
            <w:rPr>
              <w:color w:val="auto"/>
            </w:rPr>
            <w:t>The estimate recognises that Vodaria Group's business is not measured by consumer subscribers, but by active wholesale and enterprise services, customer locations, service components, and contracted connectivity products. Growth in RGUs therefore reflects expansion in Vodaria Group's commercial service estate and platform utilisation, rather than simple customer-count growth.</w:t>
          </w:r>
        </w:p>
        <w:p w14:paraId="21586527" w14:textId="77777777" w:rsidR="007F6073" w:rsidRDefault="00000000">
          <w:pPr>
            <w:rPr>
              <w:color w:val="auto"/>
            </w:rPr>
          </w:pPr>
          <w:r>
            <w:rPr>
              <w:color w:val="auto"/>
            </w:rPr>
            <w:t>For pricing purposes, Hansen proposes that the base annual licence includes up to 28 million subscribers RGUs, with additional growth capacity handled through agreed tier bands. Each tier should be measured against the same auditable RGU definition and reviewed annually, unless Vodaria Group prefers a different measurement cadence. For commercial sizing purposes, Hansen has assumed that the Converged BSS Transformation solution will support an active service footprint of approximately 28 million subscribers RGUs, subject to validation during contract finalisation against Vodaria Group's service inventory and/or billing systems of record.</w:t>
          </w:r>
        </w:p>
        <w:p w14:paraId="572D3F1E" w14:textId="77777777" w:rsidR="007F6073" w:rsidRDefault="00000000">
          <w:pPr>
            <w:rPr>
              <w:color w:val="auto"/>
            </w:rPr>
          </w:pPr>
          <w:r>
            <w:rPr>
              <w:color w:val="auto"/>
            </w:rPr>
            <w:t>This estimate reflects Vodaria Group's current and anticipated wholesale and enterprise service footprint and is intended solely as a commercial sizing baseline for software licensing purposes.</w:t>
          </w:r>
        </w:p>
        <w:p w14:paraId="5D4DA1D1" w14:textId="77777777" w:rsidR="007F6073" w:rsidRDefault="00000000">
          <w:pPr>
            <w:rPr>
              <w:color w:val="auto"/>
            </w:rPr>
          </w:pPr>
          <w:r>
            <w:rPr>
              <w:color w:val="auto"/>
            </w:rPr>
            <w:t>The final contracted baseline RGU volume will be mutually agreed following validation of the agreed RGU definition and measurement methodology.</w:t>
          </w:r>
        </w:p>
        <w:p w14:paraId="141D53F9" w14:textId="77777777" w:rsidR="007F6073" w:rsidRDefault="007F6073">
          <w:pPr>
            <w:rPr>
              <w:color w:val="auto"/>
            </w:rPr>
          </w:pPr>
        </w:p>
        <w:p w14:paraId="6522D507" w14:textId="77777777" w:rsidR="007F6073" w:rsidRDefault="00000000">
          <w:pPr>
            <w:pStyle w:val="Heading2"/>
          </w:pPr>
          <w:bookmarkStart w:id="109" w:name="_Toc239002246"/>
          <w:r>
            <w:t>RGU Growth Tier Structure</w:t>
          </w:r>
          <w:bookmarkEnd w:id="109"/>
        </w:p>
        <w:p w14:paraId="0453546C" w14:textId="4FBD0FB1" w:rsidR="007F6073" w:rsidRDefault="00000000">
          <w:pPr>
            <w:rPr>
              <w:color w:val="auto"/>
            </w:rPr>
          </w:pPr>
          <w:r>
            <w:rPr>
              <w:color w:val="auto"/>
            </w:rPr>
            <w:t>The RGU growth component is intended to give Vodaria Group transparent scalability. The base annual licence covers the existing estimated RGU volume assumed to be 28 million subscribers for this pricing proposal. Each additional tier increases the contracted RGU capacity by approximately ten percent of the baseline RGU count. The final thresholds should be calculated once Vodaria Group confirms the agreed baseline RGU figure and the commercial definition of an RGU.</w:t>
          </w:r>
        </w:p>
        <w:p w14:paraId="789C65E8" w14:textId="77777777" w:rsidR="007F6073" w:rsidRDefault="007F6073"/>
        <w:tbl>
          <w:tblPr>
            <w:tblW w:w="7015"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438"/>
            <w:gridCol w:w="1438"/>
            <w:gridCol w:w="2185"/>
          </w:tblGrid>
          <w:tr w:rsidR="007F6073" w14:paraId="67CB2D38" w14:textId="77777777">
            <w:trPr>
              <w:trHeight w:val="250"/>
            </w:trPr>
            <w:tc>
              <w:tcPr>
                <w:tcW w:w="2070" w:type="dxa"/>
                <w:shd w:val="clear" w:color="auto" w:fill="ADD6EA" w:themeFill="accent3" w:themeFillTint="66"/>
              </w:tcPr>
              <w:p w14:paraId="2D99B3CE" w14:textId="5BA3AF38" w:rsidR="007F6073" w:rsidRDefault="00000000">
                <w:pPr>
                  <w:spacing w:before="0" w:after="0" w:line="240" w:lineRule="auto"/>
                  <w:jc w:val="center"/>
                  <w:rPr>
                    <w:rFonts w:eastAsia="Times New Roman" w:cs="Arial"/>
                    <w:b/>
                    <w:bCs/>
                    <w:color w:val="000000"/>
                    <w:sz w:val="20"/>
                    <w:szCs w:val="20"/>
                  </w:rPr>
                </w:pPr>
                <w:r>
                  <w:rPr>
                    <w:rFonts w:eastAsia="Times New Roman" w:cs="Arial"/>
                    <w:b/>
                    <w:bCs/>
                    <w:color w:val="000000"/>
                    <w:sz w:val="20"/>
                    <w:szCs w:val="20"/>
                  </w:rPr>
                  <w:t>Growth Tier</w:t>
                </w:r>
              </w:p>
            </w:tc>
            <w:tc>
              <w:tcPr>
                <w:tcW w:w="1260" w:type="dxa"/>
                <w:shd w:val="clear" w:color="auto" w:fill="ADD6EA" w:themeFill="accent3" w:themeFillTint="66"/>
                <w:noWrap/>
                <w:vAlign w:val="bottom"/>
              </w:tcPr>
              <w:p w14:paraId="7C93A05A" w14:textId="503DEFA7" w:rsidR="007F6073" w:rsidRDefault="00000000">
                <w:pPr>
                  <w:spacing w:before="0" w:after="0" w:line="240" w:lineRule="auto"/>
                  <w:jc w:val="center"/>
                  <w:rPr>
                    <w:rFonts w:eastAsia="Times New Roman" w:cs="Arial"/>
                    <w:b/>
                    <w:bCs/>
                    <w:color w:val="000000"/>
                    <w:sz w:val="20"/>
                    <w:szCs w:val="20"/>
                  </w:rPr>
                </w:pPr>
                <w:r>
                  <w:rPr>
                    <w:rFonts w:eastAsia="Times New Roman" w:cs="Arial"/>
                    <w:b/>
                    <w:bCs/>
                    <w:color w:val="000000"/>
                    <w:sz w:val="20"/>
                    <w:szCs w:val="20"/>
                  </w:rPr>
                  <w:t>Tier Start</w:t>
                </w:r>
              </w:p>
            </w:tc>
            <w:tc>
              <w:tcPr>
                <w:tcW w:w="1350" w:type="dxa"/>
                <w:shd w:val="clear" w:color="auto" w:fill="ADD6EA" w:themeFill="accent3" w:themeFillTint="66"/>
                <w:noWrap/>
                <w:vAlign w:val="bottom"/>
              </w:tcPr>
              <w:p w14:paraId="467B9794" w14:textId="273E3F19" w:rsidR="007F6073" w:rsidRDefault="00000000">
                <w:pPr>
                  <w:spacing w:before="0" w:after="0" w:line="240" w:lineRule="auto"/>
                  <w:jc w:val="center"/>
                  <w:rPr>
                    <w:rFonts w:eastAsia="Times New Roman" w:cs="Arial"/>
                    <w:b/>
                    <w:bCs/>
                    <w:color w:val="000000"/>
                    <w:sz w:val="20"/>
                    <w:szCs w:val="20"/>
                  </w:rPr>
                </w:pPr>
                <w:r>
                  <w:rPr>
                    <w:rFonts w:eastAsia="Times New Roman" w:cs="Arial"/>
                    <w:b/>
                    <w:bCs/>
                    <w:color w:val="000000"/>
                    <w:sz w:val="20"/>
                    <w:szCs w:val="20"/>
                  </w:rPr>
                  <w:t>Tier End</w:t>
                </w:r>
              </w:p>
            </w:tc>
            <w:tc>
              <w:tcPr>
                <w:tcW w:w="2335" w:type="dxa"/>
                <w:shd w:val="clear" w:color="auto" w:fill="ADD6EA" w:themeFill="accent3" w:themeFillTint="66"/>
              </w:tcPr>
              <w:p w14:paraId="0E72DE69" w14:textId="130B25B3" w:rsidR="007F6073" w:rsidRDefault="00000000">
                <w:pPr>
                  <w:spacing w:before="0" w:after="0" w:line="240" w:lineRule="auto"/>
                  <w:jc w:val="center"/>
                  <w:rPr>
                    <w:rFonts w:eastAsia="Times New Roman" w:cs="Arial"/>
                    <w:b/>
                    <w:bCs/>
                    <w:color w:val="000000"/>
                    <w:sz w:val="20"/>
                    <w:szCs w:val="20"/>
                  </w:rPr>
                </w:pPr>
                <w:r>
                  <w:rPr>
                    <w:rFonts w:eastAsia="Times New Roman" w:cs="Arial"/>
                    <w:b/>
                    <w:bCs/>
                    <w:color w:val="000000"/>
                    <w:sz w:val="20"/>
                    <w:szCs w:val="20"/>
                  </w:rPr>
                  <w:t>Cost per RGU Per Month</w:t>
                </w:r>
              </w:p>
            </w:tc>
          </w:tr>
          <w:tr w:rsidR="007F6073" w14:paraId="3578E1E4" w14:textId="48EEAACE">
            <w:trPr>
              <w:trHeight w:val="250"/>
            </w:trPr>
            <w:tc>
              <w:tcPr>
                <w:tcW w:w="2070" w:type="dxa"/>
              </w:tcPr>
              <w:p w14:paraId="4D1B3DD5" w14:textId="2743E562" w:rsidR="007F6073" w:rsidRDefault="00000000">
                <w:pPr>
                  <w:spacing w:before="0" w:after="0" w:line="240" w:lineRule="auto"/>
                  <w:jc w:val="center"/>
                  <w:rPr>
                    <w:rFonts w:eastAsia="Times New Roman" w:cs="Arial"/>
                    <w:color w:val="000000"/>
                    <w:sz w:val="20"/>
                    <w:szCs w:val="20"/>
                  </w:rPr>
                </w:pPr>
                <w:r>
                  <w:rPr>
                    <w:rFonts w:eastAsia="Times New Roman" w:cs="Arial"/>
                    <w:color w:val="000000"/>
                    <w:sz w:val="20"/>
                    <w:szCs w:val="20"/>
                  </w:rPr>
                  <w:t>Growth Tier 1</w:t>
                </w:r>
              </w:p>
            </w:tc>
            <w:tc>
              <w:tcPr>
                <w:tcW w:w="1260" w:type="dxa"/>
                <w:noWrap/>
                <w:vAlign w:val="bottom"/>
                <w:hideMark/>
              </w:tcPr>
              <w:p w14:paraId="4B1F325B" w14:textId="3BA1E6AD"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1350" w:type="dxa"/>
                <w:noWrap/>
                <w:vAlign w:val="bottom"/>
                <w:hideMark/>
              </w:tcPr>
              <w:p w14:paraId="06DBB344" w14:textId="77777777"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2335" w:type="dxa"/>
              </w:tcPr>
              <w:p w14:paraId="071B6A0B" w14:textId="7B53AD14"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€4.17 </w:t>
                </w:r>
              </w:p>
            </w:tc>
          </w:tr>
          <w:tr w:rsidR="007F6073" w14:paraId="3F38EA6E" w14:textId="4DF73BF7">
            <w:trPr>
              <w:trHeight w:val="250"/>
            </w:trPr>
            <w:tc>
              <w:tcPr>
                <w:tcW w:w="2070" w:type="dxa"/>
              </w:tcPr>
              <w:p w14:paraId="1B16AAD8" w14:textId="3AD06925" w:rsidR="007F6073" w:rsidRDefault="00000000">
                <w:pPr>
                  <w:spacing w:before="0" w:after="0" w:line="240" w:lineRule="auto"/>
                  <w:jc w:val="center"/>
                  <w:rPr>
                    <w:rFonts w:eastAsia="Times New Roman" w:cs="Arial"/>
                    <w:color w:val="000000"/>
                    <w:sz w:val="20"/>
                    <w:szCs w:val="20"/>
                  </w:rPr>
                </w:pPr>
                <w:r>
                  <w:rPr>
                    <w:rFonts w:eastAsia="Times New Roman" w:cs="Arial"/>
                    <w:color w:val="000000"/>
                    <w:sz w:val="20"/>
                    <w:szCs w:val="20"/>
                  </w:rPr>
                  <w:t>Growth Tier 2</w:t>
                </w:r>
              </w:p>
            </w:tc>
            <w:tc>
              <w:tcPr>
                <w:tcW w:w="1260" w:type="dxa"/>
                <w:noWrap/>
                <w:vAlign w:val="bottom"/>
                <w:hideMark/>
              </w:tcPr>
              <w:p w14:paraId="797EA56A" w14:textId="5103D531"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1350" w:type="dxa"/>
                <w:noWrap/>
                <w:vAlign w:val="bottom"/>
                <w:hideMark/>
              </w:tcPr>
              <w:p w14:paraId="0A9CDF8D" w14:textId="77777777"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2335" w:type="dxa"/>
              </w:tcPr>
              <w:p w14:paraId="20C44D2C" w14:textId="5473B22E"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€3.75</w:t>
                </w:r>
              </w:p>
            </w:tc>
          </w:tr>
          <w:tr w:rsidR="007F6073" w14:paraId="5FDC9CC9" w14:textId="648D4C12">
            <w:trPr>
              <w:trHeight w:val="260"/>
            </w:trPr>
            <w:tc>
              <w:tcPr>
                <w:tcW w:w="2070" w:type="dxa"/>
              </w:tcPr>
              <w:p w14:paraId="3631BEC6" w14:textId="0E86F6D9" w:rsidR="007F6073" w:rsidRDefault="00000000">
                <w:pPr>
                  <w:spacing w:before="0" w:after="0" w:line="240" w:lineRule="auto"/>
                  <w:jc w:val="center"/>
                  <w:rPr>
                    <w:rFonts w:eastAsia="Times New Roman" w:cs="Arial"/>
                    <w:color w:val="000000"/>
                    <w:sz w:val="20"/>
                    <w:szCs w:val="20"/>
                  </w:rPr>
                </w:pPr>
                <w:r>
                  <w:rPr>
                    <w:rFonts w:eastAsia="Times New Roman" w:cs="Arial"/>
                    <w:color w:val="000000"/>
                    <w:sz w:val="20"/>
                    <w:szCs w:val="20"/>
                  </w:rPr>
                  <w:t>Growth Tier 3</w:t>
                </w:r>
              </w:p>
            </w:tc>
            <w:tc>
              <w:tcPr>
                <w:tcW w:w="1260" w:type="dxa"/>
                <w:noWrap/>
                <w:vAlign w:val="bottom"/>
                <w:hideMark/>
              </w:tcPr>
              <w:p w14:paraId="05865F5F" w14:textId="36A36A4C"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1350" w:type="dxa"/>
                <w:noWrap/>
                <w:vAlign w:val="bottom"/>
                <w:hideMark/>
              </w:tcPr>
              <w:p w14:paraId="0F057816" w14:textId="77777777"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2335" w:type="dxa"/>
              </w:tcPr>
              <w:p w14:paraId="1BAC4AD9" w14:textId="75877C07"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€3.33</w:t>
                </w:r>
              </w:p>
            </w:tc>
          </w:tr>
          <w:tr w:rsidR="007F6073" w14:paraId="6DE42F56" w14:textId="2128EAC5">
            <w:trPr>
              <w:trHeight w:val="250"/>
            </w:trPr>
            <w:tc>
              <w:tcPr>
                <w:tcW w:w="2070" w:type="dxa"/>
              </w:tcPr>
              <w:p w14:paraId="17314E44" w14:textId="477F19F5" w:rsidR="007F6073" w:rsidRDefault="00000000">
                <w:pPr>
                  <w:spacing w:before="0" w:after="0" w:line="240" w:lineRule="auto"/>
                  <w:jc w:val="center"/>
                  <w:rPr>
                    <w:rFonts w:eastAsia="Times New Roman" w:cs="Arial"/>
                    <w:color w:val="000000"/>
                    <w:sz w:val="20"/>
                    <w:szCs w:val="20"/>
                  </w:rPr>
                </w:pPr>
                <w:r>
                  <w:rPr>
                    <w:rFonts w:eastAsia="Times New Roman" w:cs="Arial"/>
                    <w:color w:val="000000"/>
                    <w:sz w:val="20"/>
                    <w:szCs w:val="20"/>
                  </w:rPr>
                  <w:t>Growth Tier 4</w:t>
                </w:r>
              </w:p>
            </w:tc>
            <w:tc>
              <w:tcPr>
                <w:tcW w:w="1260" w:type="dxa"/>
                <w:noWrap/>
                <w:vAlign w:val="bottom"/>
                <w:hideMark/>
              </w:tcPr>
              <w:p w14:paraId="2D77BF16" w14:textId="54D1FF05"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1350" w:type="dxa"/>
                <w:noWrap/>
                <w:vAlign w:val="bottom"/>
                <w:hideMark/>
              </w:tcPr>
              <w:p w14:paraId="65EA7054" w14:textId="77777777"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2335" w:type="dxa"/>
              </w:tcPr>
              <w:p w14:paraId="39C34AA1" w14:textId="69AE1944"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€2.92</w:t>
                </w:r>
              </w:p>
            </w:tc>
          </w:tr>
          <w:tr w:rsidR="007F6073" w14:paraId="378E5DAC" w14:textId="593024FD">
            <w:trPr>
              <w:trHeight w:val="250"/>
            </w:trPr>
            <w:tc>
              <w:tcPr>
                <w:tcW w:w="2070" w:type="dxa"/>
              </w:tcPr>
              <w:p w14:paraId="1D941F92" w14:textId="17AC373D" w:rsidR="007F6073" w:rsidRDefault="00000000">
                <w:pPr>
                  <w:spacing w:before="0" w:after="0" w:line="240" w:lineRule="auto"/>
                  <w:jc w:val="center"/>
                  <w:rPr>
                    <w:rFonts w:eastAsia="Times New Roman" w:cs="Arial"/>
                    <w:color w:val="000000"/>
                    <w:sz w:val="20"/>
                    <w:szCs w:val="20"/>
                  </w:rPr>
                </w:pPr>
                <w:r>
                  <w:rPr>
                    <w:rFonts w:eastAsia="Times New Roman" w:cs="Arial"/>
                    <w:color w:val="000000"/>
                    <w:sz w:val="20"/>
                    <w:szCs w:val="20"/>
                  </w:rPr>
                  <w:t>Growth Tier 5</w:t>
                </w:r>
              </w:p>
            </w:tc>
            <w:tc>
              <w:tcPr>
                <w:tcW w:w="1260" w:type="dxa"/>
                <w:noWrap/>
                <w:vAlign w:val="bottom"/>
                <w:hideMark/>
              </w:tcPr>
              <w:p w14:paraId="65F8FADD" w14:textId="270C4A89"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1350" w:type="dxa"/>
                <w:noWrap/>
                <w:vAlign w:val="bottom"/>
                <w:hideMark/>
              </w:tcPr>
              <w:p w14:paraId="1BBCDD9C" w14:textId="77777777"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2335" w:type="dxa"/>
              </w:tcPr>
              <w:p w14:paraId="2707EC6E" w14:textId="570C484D"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€2.50</w:t>
                </w:r>
              </w:p>
            </w:tc>
          </w:tr>
          <w:tr w:rsidR="007F6073" w14:paraId="4A22EEC3" w14:textId="1B68EA64">
            <w:trPr>
              <w:trHeight w:val="250"/>
            </w:trPr>
            <w:tc>
              <w:tcPr>
                <w:tcW w:w="2070" w:type="dxa"/>
              </w:tcPr>
              <w:p w14:paraId="5ADE9C92" w14:textId="741E2564" w:rsidR="007F6073" w:rsidRDefault="00000000">
                <w:pPr>
                  <w:spacing w:before="0" w:after="0" w:line="240" w:lineRule="auto"/>
                  <w:jc w:val="center"/>
                  <w:rPr>
                    <w:rFonts w:eastAsia="Times New Roman" w:cs="Arial"/>
                    <w:color w:val="000000"/>
                    <w:sz w:val="20"/>
                    <w:szCs w:val="20"/>
                  </w:rPr>
                </w:pPr>
                <w:r>
                  <w:rPr>
                    <w:rFonts w:eastAsia="Times New Roman" w:cs="Arial"/>
                    <w:color w:val="000000"/>
                    <w:sz w:val="20"/>
                    <w:szCs w:val="20"/>
                  </w:rPr>
                  <w:t>Growth Tier 6</w:t>
                </w:r>
              </w:p>
            </w:tc>
            <w:tc>
              <w:tcPr>
                <w:tcW w:w="1260" w:type="dxa"/>
                <w:noWrap/>
                <w:vAlign w:val="bottom"/>
                <w:hideMark/>
              </w:tcPr>
              <w:p w14:paraId="6BAC6B92" w14:textId="1615BC1F"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15% discount </w:t>
                </w:r>
              </w:p>
            </w:tc>
            <w:tc>
              <w:tcPr>
                <w:tcW w:w="1350" w:type="dxa"/>
                <w:noWrap/>
                <w:vAlign w:val="bottom"/>
                <w:hideMark/>
              </w:tcPr>
              <w:p w14:paraId="50A7A2F2" w14:textId="77777777"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 xml:space="preserve">and above </w:t>
                </w:r>
              </w:p>
            </w:tc>
            <w:tc>
              <w:tcPr>
                <w:tcW w:w="2335" w:type="dxa"/>
              </w:tcPr>
              <w:p w14:paraId="22F4C42A" w14:textId="0D3EA2D1" w:rsidR="007F6073" w:rsidRDefault="00000000">
                <w:pPr>
                  <w:spacing w:before="0" w:after="0" w:line="240" w:lineRule="auto"/>
                  <w:jc w:val="right"/>
                  <w:rPr>
                    <w:rFonts w:eastAsia="Times New Roman" w:cs="Arial"/>
                    <w:color w:val="000000"/>
                    <w:sz w:val="20"/>
                    <w:szCs w:val="20"/>
                  </w:rPr>
                </w:pPr>
                <w:r>
                  <w:rPr>
                    <w:rFonts w:eastAsia="Times New Roman" w:cs="Arial"/>
                    <w:color w:val="000000"/>
                    <w:sz w:val="20"/>
                    <w:szCs w:val="20"/>
                  </w:rPr>
                  <w:t>€2.08</w:t>
                </w:r>
              </w:p>
            </w:tc>
          </w:tr>
        </w:tbl>
        <w:p w14:paraId="32C233D3" w14:textId="77777777" w:rsidR="007F6073" w:rsidRDefault="007F6073"/>
        <w:p w14:paraId="1B63760E" w14:textId="0E48131B" w:rsidR="007F6073" w:rsidRDefault="00000000">
          <w:pPr>
            <w:pStyle w:val="Heading3"/>
          </w:pPr>
          <w:bookmarkStart w:id="110" w:name="_Toc239002247"/>
          <w:r>
            <w:t>Delivery Services</w:t>
          </w:r>
          <w:bookmarkEnd w:id="110"/>
        </w:p>
        <w:p w14:paraId="51B4AA09" w14:textId="26E9E460" w:rsidR="007F6073" w:rsidRDefault="00000000">
          <w:r>
            <w:t xml:space="preserve">The Delivery Services pricing is based upon the solution scope and professional services described in </w:t>
          </w:r>
          <w:r>
            <w:rPr>
              <w:b/>
              <w:bCs/>
            </w:rPr>
            <w:t>Volume 2: Transformation &amp; Delivery Proposal</w:t>
          </w:r>
          <w:r>
            <w:t>.  Hansen will agree to delivery these services for a fixed price as noted in the Commercial Pricing section. All fixed prices will be contingent upon joint workshops between Vodaria Group and Hansen with the output being an agreed fixed price scope for the project.</w:t>
          </w:r>
        </w:p>
        <w:p w14:paraId="34AB0C51" w14:textId="77777777" w:rsidR="007F6073" w:rsidRDefault="00000000">
          <w:pPr>
            <w:pStyle w:val="Heading3"/>
          </w:pPr>
          <w:bookmarkStart w:id="111" w:name="_Toc239002248"/>
          <w:r>
            <w:t>Commercial Pricing</w:t>
          </w:r>
          <w:bookmarkEnd w:id="111"/>
        </w:p>
        <w:p w14:paraId="6817162F" w14:textId="0C067736" w:rsidR="007F6073" w:rsidRDefault="00000000">
          <w:r>
            <w:t>The table below lists the commercial pricing estimates for the Hansen solution described within this response document.  Hansen looks forward to walking through and aligning the commercial pricing with the Vodaria Group team.</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699"/>
            <w:gridCol w:w="3342"/>
          </w:tblGrid>
          <w:tr w:rsidR="007F6073" w14:paraId="6ED21770" w14:textId="77777777">
            <w:trPr>
              <w:tblHeader/>
              <w:jc w:val="center"/>
            </w:trPr>
            <w:tc>
              <w:tcPr>
                <w:tcW w:w="2699" w:type="dxa"/>
                <w:shd w:val="clear" w:color="auto" w:fill="1F4E79"/>
                <w:tcMar>
                  <w:top w:w="100" w:type="dxa"/>
                  <w:left w:w="100" w:type="dxa"/>
                  <w:bottom w:w="100" w:type="dxa"/>
                  <w:right w:w="100" w:type="dxa"/>
                </w:tcMar>
                <w:vAlign w:val="center"/>
              </w:tcPr>
              <w:p w14:paraId="2104469C" w14:textId="77777777" w:rsidR="007F6073" w:rsidRDefault="00000000">
                <w:pPr>
                  <w:jc w:val="center"/>
                </w:pPr>
                <w:r>
                  <w:rPr>
                    <w:b/>
                    <w:color w:val="FFFFFF"/>
                    <w:sz w:val="17"/>
                  </w:rPr>
                  <w:t>Line item</w:t>
                </w:r>
              </w:p>
            </w:tc>
            <w:tc>
              <w:tcPr>
                <w:tcW w:w="3342" w:type="dxa"/>
                <w:shd w:val="clear" w:color="auto" w:fill="1F4E79"/>
                <w:tcMar>
                  <w:top w:w="100" w:type="dxa"/>
                  <w:left w:w="100" w:type="dxa"/>
                  <w:bottom w:w="100" w:type="dxa"/>
                  <w:right w:w="100" w:type="dxa"/>
                </w:tcMar>
                <w:vAlign w:val="center"/>
              </w:tcPr>
              <w:p w14:paraId="3C159794" w14:textId="20069C82" w:rsidR="007F6073" w:rsidRDefault="00000000">
                <w:pPr>
                  <w:jc w:val="center"/>
                </w:pPr>
                <w:r>
                  <w:rPr>
                    <w:b/>
                    <w:color w:val="FFFFFF"/>
                    <w:sz w:val="17"/>
                  </w:rPr>
                  <w:t>Cost to Vodaria Group</w:t>
                </w:r>
              </w:p>
            </w:tc>
          </w:tr>
          <w:tr w:rsidR="007F6073" w14:paraId="47251DEA" w14:textId="77777777">
            <w:trPr>
              <w:jc w:val="center"/>
            </w:trPr>
            <w:tc>
              <w:tcPr>
                <w:tcW w:w="2699" w:type="dxa"/>
                <w:tcMar>
                  <w:top w:w="100" w:type="dxa"/>
                  <w:left w:w="100" w:type="dxa"/>
                  <w:bottom w:w="100" w:type="dxa"/>
                  <w:right w:w="100" w:type="dxa"/>
                </w:tcMar>
                <w:vAlign w:val="center"/>
              </w:tcPr>
              <w:p w14:paraId="0CDA1056" w14:textId="77777777" w:rsidR="007F6073" w:rsidRDefault="00000000">
                <w:r>
                  <w:rPr>
                    <w:sz w:val="17"/>
                  </w:rPr>
                  <w:t>Base annual licence fee</w:t>
                </w:r>
              </w:p>
            </w:tc>
            <w:tc>
              <w:tcPr>
                <w:tcW w:w="3342" w:type="dxa"/>
                <w:tcMar>
                  <w:top w:w="100" w:type="dxa"/>
                  <w:left w:w="100" w:type="dxa"/>
                  <w:bottom w:w="100" w:type="dxa"/>
                  <w:right w:w="100" w:type="dxa"/>
                </w:tcMar>
                <w:vAlign w:val="center"/>
              </w:tcPr>
              <w:p w14:paraId="24B17568" w14:textId="00348284" w:rsidR="007F6073" w:rsidRDefault="00000000">
                <w:pPr>
                  <w:jc w:val="center"/>
                </w:pPr>
                <w:r>
                  <w:rPr>
                    <w:sz w:val="17"/>
                  </w:rPr>
                  <w:t>€1.2M per year</w:t>
                </w:r>
              </w:p>
            </w:tc>
          </w:tr>
          <w:tr w:rsidR="007F6073" w14:paraId="1E198E70" w14:textId="77777777">
            <w:trPr>
              <w:jc w:val="center"/>
            </w:trPr>
            <w:tc>
              <w:tcPr>
                <w:tcW w:w="2699" w:type="dxa"/>
                <w:tcMar>
                  <w:top w:w="100" w:type="dxa"/>
                  <w:left w:w="100" w:type="dxa"/>
                  <w:bottom w:w="100" w:type="dxa"/>
                  <w:right w:w="100" w:type="dxa"/>
                </w:tcMar>
                <w:vAlign w:val="center"/>
              </w:tcPr>
              <w:p w14:paraId="75F964EF" w14:textId="77777777" w:rsidR="007F6073" w:rsidRDefault="00000000">
                <w:r>
                  <w:rPr>
                    <w:sz w:val="17"/>
                  </w:rPr>
                  <w:t>Included baseline RGU volume</w:t>
                </w:r>
              </w:p>
            </w:tc>
            <w:tc>
              <w:tcPr>
                <w:tcW w:w="3342" w:type="dxa"/>
                <w:tcMar>
                  <w:top w:w="100" w:type="dxa"/>
                  <w:left w:w="100" w:type="dxa"/>
                  <w:bottom w:w="100" w:type="dxa"/>
                  <w:right w:w="100" w:type="dxa"/>
                </w:tcMar>
                <w:vAlign w:val="center"/>
              </w:tcPr>
              <w:p w14:paraId="7BA2173D" w14:textId="77777777" w:rsidR="007F6073" w:rsidRDefault="00000000">
                <w:pPr>
                  <w:jc w:val="center"/>
                </w:pPr>
                <w:r>
                  <w:rPr>
                    <w:sz w:val="17"/>
                  </w:rPr>
                  <w:t>28 million subscribers</w:t>
                </w:r>
              </w:p>
            </w:tc>
          </w:tr>
          <w:tr w:rsidR="007F6073" w14:paraId="57FAB6AB" w14:textId="77777777">
            <w:trPr>
              <w:jc w:val="center"/>
            </w:trPr>
            <w:tc>
              <w:tcPr>
                <w:tcW w:w="2699" w:type="dxa"/>
                <w:tcMar>
                  <w:top w:w="100" w:type="dxa"/>
                  <w:left w:w="100" w:type="dxa"/>
                  <w:bottom w:w="100" w:type="dxa"/>
                  <w:right w:w="100" w:type="dxa"/>
                </w:tcMar>
                <w:vAlign w:val="center"/>
              </w:tcPr>
              <w:p w14:paraId="39C3840D" w14:textId="7084A81E" w:rsidR="007F6073" w:rsidRDefault="00000000">
                <w:pPr>
                  <w:rPr>
                    <w:sz w:val="17"/>
                  </w:rPr>
                </w:pPr>
                <w:r>
                  <w:rPr>
                    <w:sz w:val="17"/>
                  </w:rPr>
                  <w:t>Maintenance and Support</w:t>
                </w:r>
              </w:p>
            </w:tc>
            <w:tc>
              <w:tcPr>
                <w:tcW w:w="3342" w:type="dxa"/>
                <w:tcMar>
                  <w:top w:w="100" w:type="dxa"/>
                  <w:left w:w="100" w:type="dxa"/>
                  <w:bottom w:w="100" w:type="dxa"/>
                  <w:right w:w="100" w:type="dxa"/>
                </w:tcMar>
                <w:vAlign w:val="center"/>
              </w:tcPr>
              <w:p w14:paraId="1CADBEB1" w14:textId="60ED7438" w:rsidR="007F6073" w:rsidRDefault="00000000">
                <w:pPr>
                  <w:jc w:val="center"/>
                  <w:rPr>
                    <w:sz w:val="17"/>
                  </w:rPr>
                </w:pPr>
                <w:r>
                  <w:rPr>
                    <w:sz w:val="17"/>
                  </w:rPr>
                  <w:t>20% of Annual license and RGU fees</w:t>
                </w:r>
              </w:p>
            </w:tc>
          </w:tr>
          <w:tr w:rsidR="007F6073" w14:paraId="5B89087F" w14:textId="77777777">
            <w:trPr>
              <w:jc w:val="center"/>
            </w:trPr>
            <w:tc>
              <w:tcPr>
                <w:tcW w:w="2699" w:type="dxa"/>
                <w:tcMar>
                  <w:top w:w="100" w:type="dxa"/>
                  <w:left w:w="100" w:type="dxa"/>
                  <w:bottom w:w="100" w:type="dxa"/>
                  <w:right w:w="100" w:type="dxa"/>
                </w:tcMar>
                <w:vAlign w:val="center"/>
              </w:tcPr>
              <w:p w14:paraId="6B3A5A8E" w14:textId="29711995" w:rsidR="007F6073" w:rsidRDefault="00000000">
                <w:pPr>
                  <w:rPr>
                    <w:sz w:val="17"/>
                  </w:rPr>
                </w:pPr>
                <w:r>
                  <w:rPr>
                    <w:sz w:val="17"/>
                  </w:rPr>
                  <w:t xml:space="preserve">Delivery Services - Implementation and Deployment </w:t>
                </w:r>
              </w:p>
            </w:tc>
            <w:tc>
              <w:tcPr>
                <w:tcW w:w="3342" w:type="dxa"/>
                <w:tcMar>
                  <w:top w:w="100" w:type="dxa"/>
                  <w:left w:w="100" w:type="dxa"/>
                  <w:bottom w:w="100" w:type="dxa"/>
                  <w:right w:w="100" w:type="dxa"/>
                </w:tcMar>
                <w:vAlign w:val="center"/>
              </w:tcPr>
              <w:p w14:paraId="38B0DB71" w14:textId="458D4097" w:rsidR="007F6073" w:rsidRDefault="00000000">
                <w:pPr>
                  <w:jc w:val="center"/>
                  <w:rPr>
                    <w:sz w:val="17"/>
                  </w:rPr>
                </w:pPr>
                <w:r>
                  <w:rPr>
                    <w:sz w:val="17"/>
                  </w:rPr>
                  <w:t>€</w:t>
                </w:r>
                <w:r>
                  <w:t xml:space="preserve"> </w:t>
                </w:r>
                <w:r>
                  <w:rPr>
                    <w:sz w:val="17"/>
                  </w:rPr>
                  <w:t>2,782,000 one-time fee</w:t>
                </w:r>
              </w:p>
            </w:tc>
          </w:tr>
          <w:tr w:rsidR="007F6073" w14:paraId="6BD419B4" w14:textId="77777777">
            <w:trPr>
              <w:jc w:val="center"/>
            </w:trPr>
            <w:tc>
              <w:tcPr>
                <w:tcW w:w="2699" w:type="dxa"/>
                <w:tcMar>
                  <w:top w:w="100" w:type="dxa"/>
                  <w:left w:w="100" w:type="dxa"/>
                  <w:bottom w:w="100" w:type="dxa"/>
                  <w:right w:w="100" w:type="dxa"/>
                </w:tcMar>
                <w:vAlign w:val="center"/>
              </w:tcPr>
              <w:p w14:paraId="788F3BE3" w14:textId="2784BCAB" w:rsidR="007F6073" w:rsidRDefault="00000000">
                <w:pPr>
                  <w:rPr>
                    <w:sz w:val="17"/>
                  </w:rPr>
                </w:pPr>
                <w:r>
                  <w:rPr>
                    <w:sz w:val="17"/>
                  </w:rPr>
                  <w:t>SaaS Fees</w:t>
                </w:r>
              </w:p>
            </w:tc>
            <w:tc>
              <w:tcPr>
                <w:tcW w:w="3342" w:type="dxa"/>
                <w:tcMar>
                  <w:top w:w="100" w:type="dxa"/>
                  <w:left w:w="100" w:type="dxa"/>
                  <w:bottom w:w="100" w:type="dxa"/>
                  <w:right w:w="100" w:type="dxa"/>
                </w:tcMar>
                <w:vAlign w:val="center"/>
              </w:tcPr>
              <w:p w14:paraId="29F96176" w14:textId="512F8F16" w:rsidR="007F6073" w:rsidRDefault="00000000">
                <w:pPr>
                  <w:jc w:val="center"/>
                  <w:rPr>
                    <w:sz w:val="17"/>
                  </w:rPr>
                </w:pPr>
                <w:r>
                  <w:rPr>
                    <w:sz w:val="17"/>
                  </w:rPr>
                  <w:t>€1.2M per year</w:t>
                </w:r>
              </w:p>
            </w:tc>
          </w:tr>
        </w:tbl>
        <w:p w14:paraId="2DEDB9C2" w14:textId="77777777" w:rsidR="007F6073" w:rsidRDefault="00000000">
          <w:pPr>
            <w:pStyle w:val="Heading2"/>
          </w:pPr>
          <w:bookmarkStart w:id="112" w:name="_Toc239002249"/>
          <w:r>
            <w:t>Renewal Protection and CPI Indexation</w:t>
          </w:r>
          <w:bookmarkEnd w:id="112"/>
        </w:p>
        <w:p w14:paraId="13FC0A17" w14:textId="77777777" w:rsidR="007F6073" w:rsidRDefault="00000000">
          <w:pPr>
            <w:rPr>
              <w:color w:val="auto"/>
            </w:rPr>
          </w:pPr>
          <w:r>
            <w:rPr>
              <w:color w:val="auto"/>
            </w:rPr>
            <w:t>Hansen recognises that Vodaria Group requires commercial protections that reduce cost uncertainty at renewal and avoid unexpected increases after the initial term. Hansen is prepared to structure renewal pricing around transparent indexation principles, with CPI used as the primary reference mechanism for recurring software and support fees, subject to the final commercial agreement.</w:t>
          </w:r>
        </w:p>
        <w:p w14:paraId="471BDA30" w14:textId="77777777" w:rsidR="007F6073" w:rsidRDefault="00000000">
          <w:pPr>
            <w:rPr>
              <w:color w:val="auto"/>
            </w:rPr>
          </w:pPr>
          <w:r>
            <w:rPr>
              <w:color w:val="auto"/>
            </w:rPr>
            <w:t>The intent is not to leave renewal pricing open-ended. Instead, the renewal mechanism should give Vodaria Group a clear view of how recurring fees may change, when those changes may apply, what notice will be provided, and how any increase is bounded. This provides procurement and finance with a predictable cost-control framework while allowing Hansen to account for normal inflationary movements in operating and support costs.</w:t>
          </w:r>
        </w:p>
        <w:p w14:paraId="0910DEDA" w14:textId="77777777" w:rsidR="007F6073" w:rsidRDefault="00000000">
          <w:pPr>
            <w:pStyle w:val="Heading2"/>
          </w:pPr>
          <w:bookmarkStart w:id="113" w:name="_Toc239002250"/>
          <w:r>
            <w:lastRenderedPageBreak/>
            <w:t>Commercial Exclusions and Change Control</w:t>
          </w:r>
          <w:bookmarkEnd w:id="113"/>
        </w:p>
        <w:p w14:paraId="674204D2" w14:textId="77777777" w:rsidR="007F6073" w:rsidRDefault="00000000">
          <w:pPr>
            <w:rPr>
              <w:color w:val="auto"/>
            </w:rPr>
          </w:pPr>
          <w:r>
            <w:rPr>
              <w:color w:val="auto"/>
            </w:rPr>
            <w:t>The following exclusions should be confirmed in the final commercial response to avoid ambiguity between software fees, delivery services, managed services and third-party responsibilities.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737"/>
            <w:gridCol w:w="7327"/>
          </w:tblGrid>
          <w:tr w:rsidR="007F6073" w14:paraId="5E7A535D" w14:textId="77777777">
            <w:trPr>
              <w:tblHeader/>
              <w:jc w:val="center"/>
            </w:trPr>
            <w:tc>
              <w:tcPr>
                <w:tcW w:w="2880" w:type="dxa"/>
                <w:shd w:val="clear" w:color="auto" w:fill="1F4E79"/>
                <w:tcMar>
                  <w:top w:w="100" w:type="dxa"/>
                  <w:left w:w="100" w:type="dxa"/>
                  <w:bottom w:w="100" w:type="dxa"/>
                  <w:right w:w="100" w:type="dxa"/>
                </w:tcMar>
                <w:vAlign w:val="center"/>
              </w:tcPr>
              <w:p w14:paraId="6ABFCBE5" w14:textId="77777777" w:rsidR="007F6073" w:rsidRDefault="00000000">
                <w:pPr>
                  <w:jc w:val="center"/>
                </w:pPr>
                <w:r>
                  <w:rPr>
                    <w:b/>
                    <w:color w:val="FFFFFF"/>
                    <w:sz w:val="17"/>
                  </w:rPr>
                  <w:t>Exclusion / boundary</w:t>
                </w:r>
              </w:p>
            </w:tc>
            <w:tc>
              <w:tcPr>
                <w:tcW w:w="7920" w:type="dxa"/>
                <w:shd w:val="clear" w:color="auto" w:fill="1F4E79"/>
                <w:tcMar>
                  <w:top w:w="100" w:type="dxa"/>
                  <w:left w:w="100" w:type="dxa"/>
                  <w:bottom w:w="100" w:type="dxa"/>
                  <w:right w:w="100" w:type="dxa"/>
                </w:tcMar>
                <w:vAlign w:val="center"/>
              </w:tcPr>
              <w:p w14:paraId="5AFE07B3" w14:textId="381CFC85" w:rsidR="007F6073" w:rsidRDefault="00000000">
                <w:pPr>
                  <w:jc w:val="center"/>
                </w:pPr>
                <w:r>
                  <w:rPr>
                    <w:b/>
                    <w:color w:val="FFFFFF"/>
                    <w:sz w:val="17"/>
                  </w:rPr>
                  <w:t>Description</w:t>
                </w:r>
              </w:p>
            </w:tc>
          </w:tr>
          <w:tr w:rsidR="007F6073" w14:paraId="5896BD5A" w14:textId="77777777">
            <w:trPr>
              <w:jc w:val="center"/>
            </w:trPr>
            <w:tc>
              <w:tcPr>
                <w:tcW w:w="2880" w:type="dxa"/>
                <w:tcMar>
                  <w:top w:w="100" w:type="dxa"/>
                  <w:left w:w="100" w:type="dxa"/>
                  <w:bottom w:w="100" w:type="dxa"/>
                  <w:right w:w="100" w:type="dxa"/>
                </w:tcMar>
                <w:vAlign w:val="center"/>
              </w:tcPr>
              <w:p w14:paraId="15DD01DC" w14:textId="77777777" w:rsidR="007F6073" w:rsidRDefault="00000000">
                <w:r>
                  <w:rPr>
                    <w:sz w:val="17"/>
                  </w:rPr>
                  <w:t>Out-of-scope modules</w:t>
                </w:r>
              </w:p>
            </w:tc>
            <w:tc>
              <w:tcPr>
                <w:tcW w:w="7920" w:type="dxa"/>
                <w:tcMar>
                  <w:top w:w="100" w:type="dxa"/>
                  <w:left w:w="100" w:type="dxa"/>
                  <w:bottom w:w="100" w:type="dxa"/>
                  <w:right w:w="100" w:type="dxa"/>
                </w:tcMar>
                <w:vAlign w:val="center"/>
              </w:tcPr>
              <w:p w14:paraId="5A9D1E0D" w14:textId="77777777" w:rsidR="007F6073" w:rsidRDefault="00000000">
                <w:r>
                  <w:rPr>
                    <w:sz w:val="17"/>
                  </w:rPr>
                  <w:t>Modules not listed in the software schedule are excluded unless added through an amendment or change request.</w:t>
                </w:r>
              </w:p>
            </w:tc>
          </w:tr>
          <w:tr w:rsidR="007F6073" w14:paraId="143C559D" w14:textId="77777777">
            <w:trPr>
              <w:jc w:val="center"/>
            </w:trPr>
            <w:tc>
              <w:tcPr>
                <w:tcW w:w="2880" w:type="dxa"/>
                <w:shd w:val="clear" w:color="auto" w:fill="F2F2F2"/>
                <w:tcMar>
                  <w:top w:w="100" w:type="dxa"/>
                  <w:left w:w="100" w:type="dxa"/>
                  <w:bottom w:w="100" w:type="dxa"/>
                  <w:right w:w="100" w:type="dxa"/>
                </w:tcMar>
                <w:vAlign w:val="center"/>
              </w:tcPr>
              <w:p w14:paraId="29EAFD5D" w14:textId="77777777" w:rsidR="007F6073" w:rsidRDefault="00000000">
                <w:r>
                  <w:rPr>
                    <w:sz w:val="17"/>
                  </w:rPr>
                  <w:t>Third-party systems and charges</w:t>
                </w:r>
              </w:p>
            </w:tc>
            <w:tc>
              <w:tcPr>
                <w:tcW w:w="7920" w:type="dxa"/>
                <w:shd w:val="clear" w:color="auto" w:fill="F2F2F2"/>
                <w:tcMar>
                  <w:top w:w="100" w:type="dxa"/>
                  <w:left w:w="100" w:type="dxa"/>
                  <w:bottom w:w="100" w:type="dxa"/>
                  <w:right w:w="100" w:type="dxa"/>
                </w:tcMar>
                <w:vAlign w:val="center"/>
              </w:tcPr>
              <w:p w14:paraId="3706A031" w14:textId="79F7E286" w:rsidR="007F6073" w:rsidRDefault="00000000">
                <w:r>
                  <w:rPr>
                    <w:sz w:val="17"/>
                  </w:rPr>
                  <w:t xml:space="preserve">Third-party software, cloud services, marketplace products, partner fees, connectivity charges and external platform costs are excluded unless expressly included. </w:t>
                </w:r>
              </w:p>
            </w:tc>
          </w:tr>
          <w:tr w:rsidR="007F6073" w14:paraId="041B8E8E" w14:textId="77777777">
            <w:trPr>
              <w:jc w:val="center"/>
            </w:trPr>
            <w:tc>
              <w:tcPr>
                <w:tcW w:w="2880" w:type="dxa"/>
                <w:tcMar>
                  <w:top w:w="100" w:type="dxa"/>
                  <w:left w:w="100" w:type="dxa"/>
                  <w:bottom w:w="100" w:type="dxa"/>
                  <w:right w:w="100" w:type="dxa"/>
                </w:tcMar>
                <w:vAlign w:val="center"/>
              </w:tcPr>
              <w:p w14:paraId="69AD2B65" w14:textId="77777777" w:rsidR="007F6073" w:rsidRDefault="00000000">
                <w:r>
                  <w:rPr>
                    <w:sz w:val="17"/>
                  </w:rPr>
                  <w:t>Customer/SI responsibilities</w:t>
                </w:r>
              </w:p>
            </w:tc>
            <w:tc>
              <w:tcPr>
                <w:tcW w:w="7920" w:type="dxa"/>
                <w:tcMar>
                  <w:top w:w="100" w:type="dxa"/>
                  <w:left w:w="100" w:type="dxa"/>
                  <w:bottom w:w="100" w:type="dxa"/>
                  <w:right w:w="100" w:type="dxa"/>
                </w:tcMar>
                <w:vAlign w:val="center"/>
              </w:tcPr>
              <w:p w14:paraId="3366A6D8" w14:textId="77777777" w:rsidR="007F6073" w:rsidRDefault="00000000">
                <w:r>
                  <w:rPr>
                    <w:sz w:val="17"/>
                  </w:rPr>
                  <w:t>Vodaria Group and/or its appointed SI remain responsible for activities allocated to them in the RACI and delivery plan.</w:t>
                </w:r>
              </w:p>
            </w:tc>
          </w:tr>
          <w:tr w:rsidR="007F6073" w14:paraId="3D8C0973" w14:textId="77777777">
            <w:trPr>
              <w:jc w:val="center"/>
            </w:trPr>
            <w:tc>
              <w:tcPr>
                <w:tcW w:w="2880" w:type="dxa"/>
                <w:shd w:val="clear" w:color="auto" w:fill="F2F2F2"/>
                <w:tcMar>
                  <w:top w:w="100" w:type="dxa"/>
                  <w:left w:w="100" w:type="dxa"/>
                  <w:bottom w:w="100" w:type="dxa"/>
                  <w:right w:w="100" w:type="dxa"/>
                </w:tcMar>
                <w:vAlign w:val="center"/>
              </w:tcPr>
              <w:p w14:paraId="30388826" w14:textId="77777777" w:rsidR="007F6073" w:rsidRDefault="00000000">
                <w:r>
                  <w:rPr>
                    <w:sz w:val="17"/>
                  </w:rPr>
                  <w:t>Material scope changes</w:t>
                </w:r>
              </w:p>
            </w:tc>
            <w:tc>
              <w:tcPr>
                <w:tcW w:w="7920" w:type="dxa"/>
                <w:shd w:val="clear" w:color="auto" w:fill="F2F2F2"/>
                <w:tcMar>
                  <w:top w:w="100" w:type="dxa"/>
                  <w:left w:w="100" w:type="dxa"/>
                  <w:bottom w:w="100" w:type="dxa"/>
                  <w:right w:w="100" w:type="dxa"/>
                </w:tcMar>
                <w:vAlign w:val="center"/>
              </w:tcPr>
              <w:p w14:paraId="03CBD3E1" w14:textId="0852E2B2" w:rsidR="007F6073" w:rsidRDefault="00000000">
                <w:r>
                  <w:rPr>
                    <w:sz w:val="17"/>
                  </w:rPr>
                  <w:t>New product families, additional markets, new integrations, additional environments, complex migration scope and additional use cases may require change control.  Hansen will finalize a statement of work as part of the delivery contract to ensure both parties are aligned.</w:t>
                </w:r>
              </w:p>
            </w:tc>
          </w:tr>
          <w:tr w:rsidR="007F6073" w14:paraId="0D98E6F4" w14:textId="77777777">
            <w:trPr>
              <w:jc w:val="center"/>
            </w:trPr>
            <w:tc>
              <w:tcPr>
                <w:tcW w:w="2880" w:type="dxa"/>
                <w:tcMar>
                  <w:top w:w="100" w:type="dxa"/>
                  <w:left w:w="100" w:type="dxa"/>
                  <w:bottom w:w="100" w:type="dxa"/>
                  <w:right w:w="100" w:type="dxa"/>
                </w:tcMar>
                <w:vAlign w:val="center"/>
              </w:tcPr>
              <w:p w14:paraId="405348C9" w14:textId="77777777" w:rsidR="007F6073" w:rsidRDefault="00000000">
                <w:r>
                  <w:rPr>
                    <w:sz w:val="17"/>
                  </w:rPr>
                  <w:t>Custom development</w:t>
                </w:r>
              </w:p>
            </w:tc>
            <w:tc>
              <w:tcPr>
                <w:tcW w:w="7920" w:type="dxa"/>
                <w:tcMar>
                  <w:top w:w="100" w:type="dxa"/>
                  <w:left w:w="100" w:type="dxa"/>
                  <w:bottom w:w="100" w:type="dxa"/>
                  <w:right w:w="100" w:type="dxa"/>
                </w:tcMar>
                <w:vAlign w:val="center"/>
              </w:tcPr>
              <w:p w14:paraId="561C0FD9" w14:textId="2FEC3B9A" w:rsidR="007F6073" w:rsidRDefault="00000000">
                <w:r>
                  <w:rPr>
                    <w:sz w:val="17"/>
                  </w:rPr>
                  <w:t>Custom extensions or product changes not explicitly covered by the requirements or RFP response are subject to impact assessment, roadmap governance, commercial agreement and acceptance criteria.</w:t>
                </w:r>
              </w:p>
            </w:tc>
          </w:tr>
          <w:tr w:rsidR="007F6073" w14:paraId="0764AD8D" w14:textId="77777777">
            <w:trPr>
              <w:jc w:val="center"/>
            </w:trPr>
            <w:tc>
              <w:tcPr>
                <w:tcW w:w="2880" w:type="dxa"/>
                <w:shd w:val="clear" w:color="auto" w:fill="F2F2F2"/>
                <w:tcMar>
                  <w:top w:w="100" w:type="dxa"/>
                  <w:left w:w="100" w:type="dxa"/>
                  <w:bottom w:w="100" w:type="dxa"/>
                  <w:right w:w="100" w:type="dxa"/>
                </w:tcMar>
                <w:vAlign w:val="center"/>
              </w:tcPr>
              <w:p w14:paraId="3DE0E06E" w14:textId="77777777" w:rsidR="007F6073" w:rsidRDefault="00000000">
                <w:r>
                  <w:rPr>
                    <w:sz w:val="17"/>
                  </w:rPr>
                  <w:t>Regulatory/tax changes</w:t>
                </w:r>
              </w:p>
            </w:tc>
            <w:tc>
              <w:tcPr>
                <w:tcW w:w="7920" w:type="dxa"/>
                <w:shd w:val="clear" w:color="auto" w:fill="F2F2F2"/>
                <w:tcMar>
                  <w:top w:w="100" w:type="dxa"/>
                  <w:left w:w="100" w:type="dxa"/>
                  <w:bottom w:w="100" w:type="dxa"/>
                  <w:right w:w="100" w:type="dxa"/>
                </w:tcMar>
                <w:vAlign w:val="center"/>
              </w:tcPr>
              <w:p w14:paraId="770EA1DE" w14:textId="77777777" w:rsidR="007F6073" w:rsidRDefault="00000000">
                <w:r>
                  <w:rPr>
                    <w:sz w:val="17"/>
                  </w:rPr>
                  <w:t>Costs arising from new legal, regulatory, security or tax requirements may be handled through change control unless already included in the agreed scope.</w:t>
                </w:r>
              </w:p>
            </w:tc>
          </w:tr>
        </w:tbl>
        <w:p w14:paraId="3C629CEA" w14:textId="77777777" w:rsidR="007F6073" w:rsidRDefault="007F6073"/>
        <w:p w14:paraId="68BBDD1A" w14:textId="02E9B548" w:rsidR="007F6073" w:rsidRDefault="00000000">
          <w:pPr>
            <w:pStyle w:val="Heading1"/>
          </w:pPr>
          <w:bookmarkStart w:id="114" w:name="_Toc239002251"/>
          <w:r>
            <w:t>ESG &amp; Sustainability</w:t>
          </w:r>
          <w:bookmarkEnd w:id="114"/>
        </w:p>
        <w:p w14:paraId="0A1E0EE2" w14:textId="4DB5B61E" w:rsidR="007F6073" w:rsidRDefault="00000000">
          <w:pPr>
            <w:spacing w:before="0" w:after="0" w:line="300" w:lineRule="atLeast"/>
            <w:rPr>
              <w:rFonts w:eastAsia="Times New Roman" w:cs="Segoe UI"/>
              <w:color w:val="auto"/>
              <w:szCs w:val="22"/>
              <w:lang w:val="en-AU" w:eastAsia="en-GB"/>
            </w:rPr>
          </w:pPr>
          <w:r>
            <w:rPr>
              <w:rFonts w:eastAsia="Times New Roman" w:cs="Segoe UI"/>
              <w:color w:val="auto"/>
              <w:szCs w:val="22"/>
              <w:lang w:val="en-AU" w:eastAsia="en-GB"/>
            </w:rPr>
            <w:t xml:space="preserve">Hansen Technologies' approach to sustainability, climate-related matters, responsible sourcing and corporate governance is detailed in our FY25 Annual Report and FY25 Sustainability Data Book, both available on our website. </w:t>
          </w:r>
          <w:hyperlink r:id="rId25" w:history="1">
            <w:r>
              <w:rPr>
                <w:rStyle w:val="Hyperlink"/>
                <w:rFonts w:asciiTheme="minorHAnsi" w:eastAsia="Times New Roman" w:hAnsiTheme="minorHAnsi" w:cs="Segoe UI"/>
                <w:szCs w:val="22"/>
                <w:lang w:val="en-AU" w:eastAsia="en-GB"/>
              </w:rPr>
              <w:t>Financial Reports &amp; Presentations — Hansen Technologies</w:t>
            </w:r>
          </w:hyperlink>
        </w:p>
        <w:p w14:paraId="77325991" w14:textId="77777777" w:rsidR="007F6073" w:rsidRDefault="007F6073">
          <w:pPr>
            <w:spacing w:before="0" w:after="0" w:line="300" w:lineRule="atLeast"/>
            <w:rPr>
              <w:rFonts w:eastAsia="Times New Roman" w:cs="Segoe UI"/>
              <w:color w:val="auto"/>
              <w:szCs w:val="22"/>
              <w:lang w:val="en-AU" w:eastAsia="en-GB"/>
            </w:rPr>
          </w:pPr>
        </w:p>
        <w:p w14:paraId="61A2FEDE" w14:textId="77777777" w:rsidR="007F6073" w:rsidRDefault="00000000">
          <w:pPr>
            <w:spacing w:before="0" w:after="0" w:line="300" w:lineRule="atLeast"/>
            <w:rPr>
              <w:rFonts w:eastAsia="Times New Roman" w:cs="Segoe UI"/>
              <w:color w:val="auto"/>
              <w:szCs w:val="22"/>
              <w:lang w:val="en-AU" w:eastAsia="en-GB"/>
            </w:rPr>
          </w:pPr>
          <w:r>
            <w:rPr>
              <w:rFonts w:eastAsia="Times New Roman" w:cs="Segoe UI"/>
              <w:color w:val="auto"/>
              <w:szCs w:val="22"/>
              <w:lang w:val="en-AU" w:eastAsia="en-GB"/>
            </w:rPr>
            <w:t>Our most current sustainability disclosures, including greenhouse gas emissions, climate-related initiatives, responsible business practices and ESG performance metrics, will be published in our FY26 Annual Report and FY26 Sustainability Data Book on 19 October 2026.</w:t>
          </w:r>
        </w:p>
        <w:p w14:paraId="451879C4" w14:textId="77777777" w:rsidR="007F6073" w:rsidRDefault="007F6073">
          <w:pPr>
            <w:spacing w:before="0" w:after="0" w:line="300" w:lineRule="atLeast"/>
            <w:rPr>
              <w:rFonts w:eastAsia="Times New Roman" w:cs="Segoe UI"/>
              <w:color w:val="auto"/>
              <w:szCs w:val="22"/>
              <w:lang w:val="en-AU" w:eastAsia="en-GB"/>
            </w:rPr>
          </w:pPr>
        </w:p>
        <w:p w14:paraId="57043C5A" w14:textId="7A956B0D" w:rsidR="007F6073" w:rsidRDefault="00000000">
          <w:pPr>
            <w:spacing w:before="0" w:after="0" w:line="300" w:lineRule="atLeast"/>
            <w:rPr>
              <w:rFonts w:eastAsia="Times New Roman" w:cs="Segoe UI"/>
              <w:color w:val="auto"/>
              <w:szCs w:val="22"/>
              <w:lang w:val="en-AU" w:eastAsia="en-GB"/>
            </w:rPr>
          </w:pPr>
          <w:r>
            <w:rPr>
              <w:rFonts w:eastAsia="Times New Roman" w:cs="Segoe UI"/>
              <w:color w:val="auto"/>
              <w:szCs w:val="22"/>
              <w:lang w:val="en-AU" w:eastAsia="en-GB"/>
            </w:rPr>
            <w:lastRenderedPageBreak/>
            <w:t xml:space="preserve">Additional information regarding our environmental management and social practices is available in the following Hansen policies and resources, all publicly available on our website: </w:t>
          </w:r>
          <w:hyperlink r:id="rId26" w:history="1">
            <w:r>
              <w:rPr>
                <w:rStyle w:val="Hyperlink"/>
                <w:rFonts w:asciiTheme="minorHAnsi" w:eastAsia="Times New Roman" w:hAnsiTheme="minorHAnsi" w:cs="Segoe UI"/>
                <w:szCs w:val="22"/>
                <w:lang w:val="en-AU" w:eastAsia="en-GB"/>
              </w:rPr>
              <w:t>Hansen Investor Relations — Hansen Technologies</w:t>
            </w:r>
          </w:hyperlink>
        </w:p>
        <w:p w14:paraId="588C34F7" w14:textId="09DA99DE" w:rsidR="007F6073" w:rsidRDefault="00000000">
          <w:pPr>
            <w:numPr>
              <w:ilvl w:val="0"/>
              <w:numId w:val="16"/>
            </w:numPr>
            <w:spacing w:before="0" w:after="0" w:line="300" w:lineRule="atLeast"/>
            <w:rPr>
              <w:rFonts w:eastAsia="Times New Roman" w:cs="Segoe UI"/>
              <w:b/>
              <w:bCs/>
              <w:color w:val="auto"/>
              <w:szCs w:val="22"/>
              <w:lang w:val="en-AU" w:eastAsia="en-GB"/>
            </w:rPr>
          </w:pPr>
          <w:hyperlink r:id="rId27" w:tgtFrame="_blank" w:history="1">
            <w:r>
              <w:rPr>
                <w:rStyle w:val="Hyperlink"/>
                <w:rFonts w:asciiTheme="minorHAnsi" w:eastAsia="Times New Roman" w:hAnsiTheme="minorHAnsi" w:cs="Segoe UI"/>
                <w:b w:val="0"/>
                <w:bCs/>
                <w:szCs w:val="22"/>
                <w:lang w:val="en-AU" w:eastAsia="en-GB"/>
              </w:rPr>
              <w:t>Environmental &amp; Climate Change Policy</w:t>
            </w:r>
          </w:hyperlink>
        </w:p>
        <w:p w14:paraId="15D8D3A1" w14:textId="15D82308" w:rsidR="007F6073" w:rsidRDefault="00000000">
          <w:pPr>
            <w:numPr>
              <w:ilvl w:val="0"/>
              <w:numId w:val="16"/>
            </w:numPr>
            <w:spacing w:before="0" w:after="0" w:line="300" w:lineRule="atLeast"/>
            <w:rPr>
              <w:rFonts w:eastAsia="Times New Roman" w:cs="Segoe UI"/>
              <w:b/>
              <w:bCs/>
              <w:color w:val="auto"/>
              <w:szCs w:val="22"/>
              <w:lang w:val="en-AU" w:eastAsia="en-GB"/>
            </w:rPr>
          </w:pPr>
          <w:hyperlink r:id="rId28" w:history="1">
            <w:r>
              <w:rPr>
                <w:rStyle w:val="Hyperlink"/>
                <w:rFonts w:asciiTheme="minorHAnsi" w:eastAsia="Times New Roman" w:hAnsiTheme="minorHAnsi" w:cs="Segoe UI"/>
                <w:b w:val="0"/>
                <w:bCs/>
                <w:szCs w:val="22"/>
                <w:lang w:val="en-AU" w:eastAsia="en-GB"/>
              </w:rPr>
              <w:t>Waste &amp; E-Waste Management Policy</w:t>
            </w:r>
          </w:hyperlink>
        </w:p>
        <w:p w14:paraId="3A3B908B" w14:textId="54BCAB70" w:rsidR="007F6073" w:rsidRDefault="00000000">
          <w:pPr>
            <w:numPr>
              <w:ilvl w:val="0"/>
              <w:numId w:val="16"/>
            </w:numPr>
            <w:spacing w:before="0" w:after="0" w:line="300" w:lineRule="atLeast"/>
            <w:rPr>
              <w:rFonts w:eastAsia="Times New Roman" w:cs="Segoe UI"/>
              <w:b/>
              <w:bCs/>
              <w:color w:val="auto"/>
              <w:szCs w:val="22"/>
              <w:lang w:val="en-AU" w:eastAsia="en-GB"/>
            </w:rPr>
          </w:pPr>
          <w:hyperlink r:id="rId29" w:tgtFrame="_blank" w:history="1">
            <w:r>
              <w:rPr>
                <w:rStyle w:val="Hyperlink"/>
                <w:rFonts w:asciiTheme="minorHAnsi" w:eastAsia="Times New Roman" w:hAnsiTheme="minorHAnsi" w:cs="Segoe UI"/>
                <w:b w:val="0"/>
                <w:bCs/>
                <w:szCs w:val="22"/>
                <w:lang w:val="en-AU" w:eastAsia="en-GB"/>
              </w:rPr>
              <w:t>Supplier Code of Conduct</w:t>
            </w:r>
          </w:hyperlink>
        </w:p>
        <w:p w14:paraId="1A250229" w14:textId="42100CB1" w:rsidR="007F6073" w:rsidRDefault="00000000">
          <w:pPr>
            <w:numPr>
              <w:ilvl w:val="0"/>
              <w:numId w:val="16"/>
            </w:numPr>
            <w:spacing w:before="0" w:after="0" w:line="300" w:lineRule="atLeast"/>
            <w:rPr>
              <w:rFonts w:eastAsia="Times New Roman" w:cs="Segoe UI"/>
              <w:b/>
              <w:bCs/>
              <w:color w:val="auto"/>
              <w:szCs w:val="22"/>
              <w:lang w:val="en-AU" w:eastAsia="en-GB"/>
            </w:rPr>
          </w:pPr>
          <w:hyperlink r:id="rId30" w:tgtFrame="_blank" w:history="1">
            <w:r>
              <w:rPr>
                <w:rStyle w:val="Hyperlink"/>
                <w:rFonts w:asciiTheme="minorHAnsi" w:eastAsia="Times New Roman" w:hAnsiTheme="minorHAnsi" w:cs="Segoe UI"/>
                <w:b w:val="0"/>
                <w:bCs/>
                <w:szCs w:val="22"/>
                <w:lang w:val="en-AU" w:eastAsia="en-GB"/>
              </w:rPr>
              <w:t>Global Code of Conduct</w:t>
            </w:r>
          </w:hyperlink>
        </w:p>
        <w:p w14:paraId="18D09452" w14:textId="78F94692" w:rsidR="007F6073" w:rsidRDefault="00000000">
          <w:pPr>
            <w:numPr>
              <w:ilvl w:val="0"/>
              <w:numId w:val="16"/>
            </w:numPr>
            <w:spacing w:before="0" w:after="0" w:line="300" w:lineRule="atLeast"/>
            <w:rPr>
              <w:rFonts w:eastAsia="Times New Roman" w:cs="Segoe UI"/>
              <w:b/>
              <w:bCs/>
              <w:color w:val="auto"/>
              <w:szCs w:val="22"/>
              <w:lang w:val="en-AU" w:eastAsia="en-GB"/>
            </w:rPr>
          </w:pPr>
          <w:hyperlink r:id="rId31" w:tgtFrame="_blank" w:history="1">
            <w:r>
              <w:rPr>
                <w:rStyle w:val="Hyperlink"/>
                <w:rFonts w:asciiTheme="minorHAnsi" w:eastAsia="Times New Roman" w:hAnsiTheme="minorHAnsi" w:cs="Segoe UI"/>
                <w:b w:val="0"/>
                <w:bCs/>
                <w:szCs w:val="22"/>
                <w:lang w:val="en-AU" w:eastAsia="en-GB"/>
              </w:rPr>
              <w:t>Human Rights Policy</w:t>
            </w:r>
          </w:hyperlink>
        </w:p>
        <w:p w14:paraId="14D6D4D3" w14:textId="61182015" w:rsidR="007F6073" w:rsidRDefault="00000000">
          <w:pPr>
            <w:numPr>
              <w:ilvl w:val="0"/>
              <w:numId w:val="16"/>
            </w:numPr>
            <w:spacing w:before="0" w:after="0" w:line="300" w:lineRule="atLeast"/>
            <w:rPr>
              <w:rFonts w:eastAsia="Times New Roman" w:cs="Segoe UI"/>
              <w:b/>
              <w:bCs/>
              <w:color w:val="auto"/>
              <w:szCs w:val="22"/>
              <w:lang w:val="en-AU" w:eastAsia="en-GB"/>
            </w:rPr>
          </w:pPr>
          <w:hyperlink r:id="rId32" w:history="1">
            <w:r>
              <w:rPr>
                <w:rStyle w:val="Hyperlink"/>
                <w:rFonts w:asciiTheme="minorHAnsi" w:eastAsia="Times New Roman" w:hAnsiTheme="minorHAnsi" w:cs="Segoe UI"/>
                <w:b w:val="0"/>
                <w:bCs/>
                <w:szCs w:val="22"/>
                <w:lang w:val="en-AU" w:eastAsia="en-GB"/>
              </w:rPr>
              <w:t>Corporate sustainability webpage</w:t>
            </w:r>
          </w:hyperlink>
        </w:p>
        <w:p w14:paraId="10AF5DA0" w14:textId="77777777" w:rsidR="007F6073" w:rsidRDefault="00000000">
          <w:pPr>
            <w:spacing w:before="0" w:after="0" w:line="300" w:lineRule="atLeast"/>
            <w:rPr>
              <w:rFonts w:eastAsia="Times New Roman" w:cs="Segoe UI"/>
              <w:color w:val="auto"/>
              <w:szCs w:val="22"/>
              <w:lang w:val="en-AU" w:eastAsia="en-GB"/>
            </w:rPr>
          </w:pPr>
          <w:r>
            <w:rPr>
              <w:rFonts w:eastAsia="Times New Roman" w:cs="Segoe UI"/>
              <w:color w:val="auto"/>
              <w:szCs w:val="22"/>
              <w:lang w:val="en-AU" w:eastAsia="en-GB"/>
            </w:rPr>
            <w:t>Hansen also participates in independent ESG assessments. Our latest EcoVadis Scorecard (Bronze Medal) is attached and provides further information on our performance across environmental, labour and human rights, ethics and sustainable procurement topics.</w:t>
          </w:r>
        </w:p>
        <w:p w14:paraId="32A774BB" w14:textId="77777777" w:rsidR="007F6073" w:rsidRDefault="007F6073">
          <w:pPr>
            <w:spacing w:before="0" w:after="0" w:line="300" w:lineRule="atLeast"/>
            <w:rPr>
              <w:rFonts w:eastAsia="Times New Roman" w:cs="Segoe UI"/>
              <w:color w:val="auto"/>
              <w:szCs w:val="22"/>
              <w:lang w:val="en-AU" w:eastAsia="en-GB"/>
            </w:rPr>
          </w:pPr>
        </w:p>
        <w:p w14:paraId="5D35E6D9" w14:textId="77777777" w:rsidR="007F6073" w:rsidRDefault="00000000">
          <w:pPr>
            <w:spacing w:before="0" w:after="0" w:line="300" w:lineRule="atLeast"/>
            <w:rPr>
              <w:rFonts w:eastAsia="Times New Roman" w:cs="Segoe UI"/>
              <w:color w:val="auto"/>
              <w:szCs w:val="22"/>
              <w:lang w:val="en-AU" w:eastAsia="en-GB"/>
            </w:rPr>
          </w:pPr>
          <w:r>
            <w:rPr>
              <w:rFonts w:eastAsia="Times New Roman" w:cs="Segoe UI"/>
              <w:color w:val="auto"/>
              <w:szCs w:val="22"/>
              <w:lang w:val="en-AU" w:eastAsia="en-GB"/>
            </w:rPr>
            <w:t>Together, these documents provide a comprehensive overview of Hansen's sustainability commitments, carbon reduction activities, responsible sourcing practices, accessibility and inclusion initiatives, and broader ESG performance.</w:t>
          </w:r>
        </w:p>
        <w:p w14:paraId="3CCC935E" w14:textId="77777777" w:rsidR="007F6073" w:rsidRDefault="007F6073">
          <w:pPr>
            <w:spacing w:before="0" w:after="0" w:line="300" w:lineRule="atLeast"/>
            <w:rPr>
              <w:rFonts w:eastAsia="Times New Roman" w:cs="Segoe UI"/>
              <w:color w:val="auto"/>
              <w:szCs w:val="22"/>
              <w:lang w:val="en-AU" w:eastAsia="en-GB"/>
            </w:rPr>
          </w:pPr>
        </w:p>
        <w:p w14:paraId="65BB9828" w14:textId="03AB6A41" w:rsidR="007F6073" w:rsidRDefault="00000000">
          <w:pPr>
            <w:spacing w:before="0" w:after="0" w:line="300" w:lineRule="atLeast"/>
            <w:rPr>
              <w:rFonts w:eastAsia="Times New Roman" w:cs="Segoe UI"/>
              <w:color w:val="auto"/>
              <w:szCs w:val="22"/>
              <w:lang w:val="en-AU" w:eastAsia="en-GB"/>
            </w:rPr>
          </w:pPr>
          <w:r>
            <w:rPr>
              <w:rFonts w:eastAsia="Times New Roman" w:cs="Segoe UI"/>
              <w:color w:val="auto"/>
              <w:szCs w:val="22"/>
              <w:lang w:val="en-AU" w:eastAsia="en-GB"/>
            </w:rPr>
            <w:t>Please see Appendix E for Hansen response to Vodaria Group environmental requirements</w:t>
          </w:r>
        </w:p>
        <w:p w14:paraId="6975A3B3" w14:textId="77777777" w:rsidR="007F6073" w:rsidRDefault="007F6073"/>
        <w:p w14:paraId="3A47C651" w14:textId="5ADC4659" w:rsidR="007F6073" w:rsidRDefault="00000000">
          <w:pPr>
            <w:pStyle w:val="Heading1"/>
          </w:pPr>
          <w:bookmarkStart w:id="115" w:name="_Toc239002252"/>
          <w:r>
            <w:t>Appendix A - Compliance Summary</w:t>
          </w:r>
          <w:bookmarkEnd w:id="115"/>
        </w:p>
        <w:tbl>
          <w:tblPr>
            <w:tblW w:w="0" w:type="auto"/>
            <w:jc w:val="center"/>
            <w:tblLook w:val="04A0" w:firstRow="1" w:lastRow="0" w:firstColumn="1" w:lastColumn="0" w:noHBand="0" w:noVBand="1"/>
          </w:tblPr>
          <w:tblGrid>
            <w:gridCol w:w="3312"/>
            <w:gridCol w:w="1152"/>
            <w:gridCol w:w="1728"/>
            <w:gridCol w:w="1728"/>
            <w:gridCol w:w="2016"/>
          </w:tblGrid>
          <w:tr w:rsidR="007F6073" w14:paraId="7D3A05D9" w14:textId="77777777">
            <w:trPr>
              <w:jc w:val="center"/>
            </w:trPr>
            <w:tc>
              <w:tcPr>
                <w:tcW w:w="3312" w:type="dxa"/>
                <w:shd w:val="clear" w:color="auto" w:fill="C00000"/>
                <w:vAlign w:val="center"/>
              </w:tcPr>
              <w:p w14:paraId="6E8FF394" w14:textId="77777777" w:rsidR="007F6073" w:rsidRDefault="00000000">
                <w:r>
                  <w:rPr>
                    <w:b/>
                    <w:color w:val="FFFFFF"/>
                  </w:rPr>
                  <w:t>Requirement set</w:t>
                </w:r>
              </w:p>
            </w:tc>
            <w:tc>
              <w:tcPr>
                <w:tcW w:w="1152" w:type="dxa"/>
                <w:shd w:val="clear" w:color="auto" w:fill="C00000"/>
                <w:vAlign w:val="center"/>
              </w:tcPr>
              <w:p w14:paraId="23807306" w14:textId="77777777" w:rsidR="007F6073" w:rsidRDefault="00000000">
                <w:r>
                  <w:rPr>
                    <w:b/>
                    <w:color w:val="FFFFFF"/>
                  </w:rPr>
                  <w:t>Total</w:t>
                </w:r>
              </w:p>
            </w:tc>
            <w:tc>
              <w:tcPr>
                <w:tcW w:w="1728" w:type="dxa"/>
                <w:shd w:val="clear" w:color="auto" w:fill="C00000"/>
                <w:vAlign w:val="center"/>
              </w:tcPr>
              <w:p w14:paraId="11C96335" w14:textId="77777777" w:rsidR="007F6073" w:rsidRDefault="00000000">
                <w:r>
                  <w:rPr>
                    <w:b/>
                    <w:color w:val="FFFFFF"/>
                  </w:rPr>
                  <w:t>Fully compliant</w:t>
                </w:r>
              </w:p>
            </w:tc>
            <w:tc>
              <w:tcPr>
                <w:tcW w:w="1728" w:type="dxa"/>
                <w:shd w:val="clear" w:color="auto" w:fill="C00000"/>
                <w:vAlign w:val="center"/>
              </w:tcPr>
              <w:p w14:paraId="75EF9A4E" w14:textId="77777777" w:rsidR="007F6073" w:rsidRDefault="00000000">
                <w:r>
                  <w:rPr>
                    <w:b/>
                    <w:color w:val="FFFFFF"/>
                  </w:rPr>
                  <w:t>Partially compliant</w:t>
                </w:r>
              </w:p>
            </w:tc>
            <w:tc>
              <w:tcPr>
                <w:tcW w:w="2016" w:type="dxa"/>
                <w:shd w:val="clear" w:color="auto" w:fill="C00000"/>
                <w:vAlign w:val="center"/>
              </w:tcPr>
              <w:p w14:paraId="03FF8911" w14:textId="77777777" w:rsidR="007F6073" w:rsidRDefault="00000000">
                <w:r>
                  <w:rPr>
                    <w:b/>
                    <w:color w:val="FFFFFF"/>
                  </w:rPr>
                  <w:t>Not compliant / gap</w:t>
                </w:r>
              </w:p>
            </w:tc>
          </w:tr>
          <w:tr w:rsidR="007F6073" w14:paraId="4798BDA2" w14:textId="77777777">
            <w:trPr>
              <w:jc w:val="center"/>
            </w:trPr>
            <w:tc>
              <w:tcPr>
                <w:tcW w:w="3312" w:type="dxa"/>
                <w:shd w:val="clear" w:color="auto" w:fill="F2F2F2"/>
                <w:vAlign w:val="center"/>
              </w:tcPr>
              <w:p w14:paraId="35FF4A46" w14:textId="77777777" w:rsidR="007F6073" w:rsidRDefault="00000000">
                <w:r>
                  <w:rPr>
                    <w:b/>
                  </w:rPr>
                  <w:t>CPQ Requirements</w:t>
                </w:r>
              </w:p>
            </w:tc>
            <w:tc>
              <w:tcPr>
                <w:tcW w:w="1152" w:type="dxa"/>
                <w:vAlign w:val="center"/>
              </w:tcPr>
              <w:p w14:paraId="1DD11D66" w14:textId="77777777" w:rsidR="007F6073" w:rsidRDefault="00000000">
                <w:r>
                  <w:t>361</w:t>
                </w:r>
              </w:p>
            </w:tc>
            <w:tc>
              <w:tcPr>
                <w:tcW w:w="1728" w:type="dxa"/>
                <w:vAlign w:val="center"/>
              </w:tcPr>
              <w:p w14:paraId="7A618DD8" w14:textId="6AF04242" w:rsidR="007F6073" w:rsidRDefault="00000000">
                <w:r>
                  <w:t>210</w:t>
                </w:r>
              </w:p>
            </w:tc>
            <w:tc>
              <w:tcPr>
                <w:tcW w:w="1728" w:type="dxa"/>
                <w:vAlign w:val="center"/>
              </w:tcPr>
              <w:p w14:paraId="0B8B95BA" w14:textId="62D18553" w:rsidR="007F6073" w:rsidRDefault="00000000">
                <w:r>
                  <w:t>119</w:t>
                </w:r>
              </w:p>
            </w:tc>
            <w:tc>
              <w:tcPr>
                <w:tcW w:w="2016" w:type="dxa"/>
                <w:vAlign w:val="center"/>
              </w:tcPr>
              <w:p w14:paraId="04FBB699" w14:textId="5065239A" w:rsidR="007F6073" w:rsidRDefault="00000000">
                <w:r>
                  <w:t>32</w:t>
                </w:r>
              </w:p>
            </w:tc>
          </w:tr>
          <w:tr w:rsidR="007F6073" w14:paraId="4781160D" w14:textId="77777777">
            <w:trPr>
              <w:jc w:val="center"/>
            </w:trPr>
            <w:tc>
              <w:tcPr>
                <w:tcW w:w="3312" w:type="dxa"/>
                <w:shd w:val="clear" w:color="auto" w:fill="F2F2F2"/>
                <w:vAlign w:val="center"/>
              </w:tcPr>
              <w:p w14:paraId="49AFD694" w14:textId="77777777" w:rsidR="007F6073" w:rsidRDefault="00000000">
                <w:r>
                  <w:rPr>
                    <w:b/>
                  </w:rPr>
                  <w:t>OM Requirements</w:t>
                </w:r>
              </w:p>
            </w:tc>
            <w:tc>
              <w:tcPr>
                <w:tcW w:w="1152" w:type="dxa"/>
                <w:vAlign w:val="center"/>
              </w:tcPr>
              <w:p w14:paraId="79C7C6BA" w14:textId="77777777" w:rsidR="007F6073" w:rsidRDefault="00000000">
                <w:r>
                  <w:t>296</w:t>
                </w:r>
              </w:p>
            </w:tc>
            <w:tc>
              <w:tcPr>
                <w:tcW w:w="1728" w:type="dxa"/>
                <w:vAlign w:val="center"/>
              </w:tcPr>
              <w:p w14:paraId="001FBB0B" w14:textId="36AC5580" w:rsidR="007F6073" w:rsidRDefault="00000000">
                <w:r>
                  <w:t>240</w:t>
                </w:r>
              </w:p>
            </w:tc>
            <w:tc>
              <w:tcPr>
                <w:tcW w:w="1728" w:type="dxa"/>
                <w:vAlign w:val="center"/>
              </w:tcPr>
              <w:p w14:paraId="5C575702" w14:textId="47DD38B8" w:rsidR="007F6073" w:rsidRDefault="00000000">
                <w:r>
                  <w:t>55</w:t>
                </w:r>
              </w:p>
            </w:tc>
            <w:tc>
              <w:tcPr>
                <w:tcW w:w="2016" w:type="dxa"/>
                <w:vAlign w:val="center"/>
              </w:tcPr>
              <w:p w14:paraId="1DB1C28B" w14:textId="77777777" w:rsidR="007F6073" w:rsidRDefault="00000000">
                <w:r>
                  <w:t>1</w:t>
                </w:r>
              </w:p>
            </w:tc>
          </w:tr>
          <w:tr w:rsidR="007F6073" w14:paraId="4727DB6B" w14:textId="77777777">
            <w:trPr>
              <w:jc w:val="center"/>
            </w:trPr>
            <w:tc>
              <w:tcPr>
                <w:tcW w:w="3312" w:type="dxa"/>
                <w:shd w:val="clear" w:color="auto" w:fill="F2F2F2"/>
                <w:vAlign w:val="center"/>
              </w:tcPr>
              <w:p w14:paraId="3E37DC78" w14:textId="77777777" w:rsidR="007F6073" w:rsidRDefault="00000000">
                <w:r>
                  <w:rPr>
                    <w:b/>
                  </w:rPr>
                  <w:t>IT &amp; General Requirements</w:t>
                </w:r>
              </w:p>
            </w:tc>
            <w:tc>
              <w:tcPr>
                <w:tcW w:w="1152" w:type="dxa"/>
                <w:vAlign w:val="center"/>
              </w:tcPr>
              <w:p w14:paraId="0011C914" w14:textId="77777777" w:rsidR="007F6073" w:rsidRDefault="00000000">
                <w:r>
                  <w:t>84</w:t>
                </w:r>
              </w:p>
            </w:tc>
            <w:tc>
              <w:tcPr>
                <w:tcW w:w="1728" w:type="dxa"/>
                <w:vAlign w:val="center"/>
              </w:tcPr>
              <w:p w14:paraId="455BC3CE" w14:textId="53AA793B" w:rsidR="007F6073" w:rsidRDefault="00000000">
                <w:r>
                  <w:t>64</w:t>
                </w:r>
              </w:p>
            </w:tc>
            <w:tc>
              <w:tcPr>
                <w:tcW w:w="1728" w:type="dxa"/>
                <w:vAlign w:val="center"/>
              </w:tcPr>
              <w:p w14:paraId="6C7390DF" w14:textId="7EE3BC2F" w:rsidR="007F6073" w:rsidRDefault="00000000">
                <w:r>
                  <w:t>17</w:t>
                </w:r>
              </w:p>
            </w:tc>
            <w:tc>
              <w:tcPr>
                <w:tcW w:w="2016" w:type="dxa"/>
                <w:vAlign w:val="center"/>
              </w:tcPr>
              <w:p w14:paraId="2889BD17" w14:textId="70E9D88E" w:rsidR="007F6073" w:rsidRDefault="00000000">
                <w:r>
                  <w:t>3</w:t>
                </w:r>
              </w:p>
            </w:tc>
          </w:tr>
          <w:tr w:rsidR="007F6073" w14:paraId="6D0D44DD" w14:textId="77777777">
            <w:trPr>
              <w:jc w:val="center"/>
            </w:trPr>
            <w:tc>
              <w:tcPr>
                <w:tcW w:w="3312" w:type="dxa"/>
                <w:shd w:val="clear" w:color="auto" w:fill="F2F2F2"/>
                <w:vAlign w:val="center"/>
              </w:tcPr>
              <w:p w14:paraId="5F197D53" w14:textId="77777777" w:rsidR="007F6073" w:rsidRDefault="00000000">
                <w:r>
                  <w:rPr>
                    <w:b/>
                  </w:rPr>
                  <w:t>Professional Services / SaaS</w:t>
                </w:r>
              </w:p>
            </w:tc>
            <w:tc>
              <w:tcPr>
                <w:tcW w:w="1152" w:type="dxa"/>
                <w:vAlign w:val="center"/>
              </w:tcPr>
              <w:p w14:paraId="6FE9B0BE" w14:textId="77777777" w:rsidR="007F6073" w:rsidRDefault="00000000">
                <w:r>
                  <w:t>16</w:t>
                </w:r>
              </w:p>
            </w:tc>
            <w:tc>
              <w:tcPr>
                <w:tcW w:w="1728" w:type="dxa"/>
                <w:vAlign w:val="center"/>
              </w:tcPr>
              <w:p w14:paraId="732E4FD2" w14:textId="77777777" w:rsidR="007F6073" w:rsidRDefault="00000000">
                <w:r>
                  <w:t>16</w:t>
                </w:r>
              </w:p>
            </w:tc>
            <w:tc>
              <w:tcPr>
                <w:tcW w:w="1728" w:type="dxa"/>
                <w:vAlign w:val="center"/>
              </w:tcPr>
              <w:p w14:paraId="52B93395" w14:textId="77777777" w:rsidR="007F6073" w:rsidRDefault="00000000">
                <w:r>
                  <w:t>0</w:t>
                </w:r>
              </w:p>
            </w:tc>
            <w:tc>
              <w:tcPr>
                <w:tcW w:w="2016" w:type="dxa"/>
                <w:vAlign w:val="center"/>
              </w:tcPr>
              <w:p w14:paraId="25FCC48E" w14:textId="77777777" w:rsidR="007F6073" w:rsidRDefault="00000000">
                <w:r>
                  <w:t>0</w:t>
                </w:r>
              </w:p>
            </w:tc>
          </w:tr>
          <w:tr w:rsidR="007F6073" w14:paraId="2AE0E520" w14:textId="77777777">
            <w:trPr>
              <w:jc w:val="center"/>
            </w:trPr>
            <w:tc>
              <w:tcPr>
                <w:tcW w:w="3312" w:type="dxa"/>
                <w:shd w:val="clear" w:color="auto" w:fill="F2F2F2"/>
                <w:vAlign w:val="center"/>
              </w:tcPr>
              <w:p w14:paraId="3117C4DA" w14:textId="77777777" w:rsidR="007F6073" w:rsidRDefault="00000000">
                <w:r>
                  <w:rPr>
                    <w:b/>
                  </w:rPr>
                  <w:t>Total</w:t>
                </w:r>
              </w:p>
            </w:tc>
            <w:tc>
              <w:tcPr>
                <w:tcW w:w="1152" w:type="dxa"/>
                <w:vAlign w:val="center"/>
              </w:tcPr>
              <w:p w14:paraId="77E7AEB1" w14:textId="77777777" w:rsidR="007F6073" w:rsidRDefault="00000000">
                <w:r>
                  <w:t>757</w:t>
                </w:r>
              </w:p>
            </w:tc>
            <w:tc>
              <w:tcPr>
                <w:tcW w:w="1728" w:type="dxa"/>
                <w:vAlign w:val="center"/>
              </w:tcPr>
              <w:p w14:paraId="0E25B1CB" w14:textId="5D6002D7" w:rsidR="007F6073" w:rsidRDefault="00000000">
                <w:r>
                  <w:t>530</w:t>
                </w:r>
              </w:p>
            </w:tc>
            <w:tc>
              <w:tcPr>
                <w:tcW w:w="1728" w:type="dxa"/>
                <w:vAlign w:val="center"/>
              </w:tcPr>
              <w:p w14:paraId="57226507" w14:textId="6CC5579F" w:rsidR="007F6073" w:rsidRDefault="00000000">
                <w:r>
                  <w:t>191</w:t>
                </w:r>
              </w:p>
            </w:tc>
            <w:tc>
              <w:tcPr>
                <w:tcW w:w="2016" w:type="dxa"/>
                <w:vAlign w:val="center"/>
              </w:tcPr>
              <w:p w14:paraId="5D8AA4CB" w14:textId="4A22AFEA" w:rsidR="007F6073" w:rsidRDefault="00000000">
                <w:r>
                  <w:t>36</w:t>
                </w:r>
              </w:p>
            </w:tc>
          </w:tr>
        </w:tbl>
        <w:p w14:paraId="4F0DBD1B" w14:textId="77777777" w:rsidR="007F6073" w:rsidRDefault="007F6073">
          <w:pPr>
            <w:spacing w:before="0" w:line="278" w:lineRule="auto"/>
          </w:pPr>
        </w:p>
        <w:p w14:paraId="4DCE0455" w14:textId="4F83B134" w:rsidR="007F6073" w:rsidRDefault="00000000">
          <w:pPr>
            <w:pStyle w:val="Heading1"/>
          </w:pPr>
          <w:bookmarkStart w:id="116" w:name="_Toc239002253"/>
          <w:r>
            <w:lastRenderedPageBreak/>
            <w:t>Appendix B – Environmental Requirement mapping</w:t>
          </w:r>
          <w:bookmarkEnd w:id="116"/>
        </w:p>
        <w:tbl>
          <w:tblPr>
            <w:tblW w:w="0" w:type="auto"/>
            <w:tblCellSpacing w:w="15" w:type="dxa"/>
            <w:tblCellMar>
              <w:left w:w="0" w:type="dxa"/>
              <w:right w:w="0" w:type="dxa"/>
            </w:tblCellMar>
            <w:tblLook w:val="04A0" w:firstRow="1" w:lastRow="0" w:firstColumn="1" w:lastColumn="0" w:noHBand="0" w:noVBand="1"/>
          </w:tblPr>
          <w:tblGrid>
            <w:gridCol w:w="441"/>
            <w:gridCol w:w="9619"/>
          </w:tblGrid>
          <w:tr w:rsidR="007F6073" w14:paraId="2FE3EB0F" w14:textId="77777777">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13C00CB7" w14:textId="77777777" w:rsidR="007F6073" w:rsidRDefault="00000000">
                <w:pPr>
                  <w:rPr>
                    <w:rFonts w:ascii="Arial Nova Light" w:hAnsi="Arial Nova Light"/>
                    <w:b/>
                    <w:bCs/>
                    <w:color w:val="262B31"/>
                    <w:szCs w:val="22"/>
                  </w:rPr>
                </w:pPr>
                <w:r>
                  <w:rPr>
                    <w:rFonts w:ascii="Arial Nova Light" w:hAnsi="Arial Nova Light"/>
                    <w:b/>
                    <w:bCs/>
                    <w:color w:val="262B31"/>
                    <w:szCs w:val="22"/>
                  </w:rPr>
                  <w:t>Ref</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49B495CE" w14:textId="77777777" w:rsidR="007F6073" w:rsidRDefault="00000000">
                <w:pPr>
                  <w:rPr>
                    <w:rFonts w:ascii="Arial Nova Light" w:hAnsi="Arial Nova Light"/>
                    <w:b/>
                    <w:bCs/>
                    <w:color w:val="262B31"/>
                    <w:szCs w:val="22"/>
                  </w:rPr>
                </w:pPr>
                <w:r>
                  <w:rPr>
                    <w:rFonts w:ascii="Arial Nova Light" w:hAnsi="Arial Nova Light"/>
                    <w:b/>
                    <w:bCs/>
                    <w:color w:val="262B31"/>
                    <w:szCs w:val="22"/>
                  </w:rPr>
                  <w:t>Hansen Response</w:t>
                </w:r>
              </w:p>
            </w:tc>
          </w:tr>
          <w:tr w:rsidR="007F6073" w14:paraId="4A6F5305"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55BD7584" w14:textId="77777777" w:rsidR="007F6073" w:rsidRDefault="00000000">
                <w:pPr>
                  <w:rPr>
                    <w:rFonts w:ascii="Arial Nova Light" w:hAnsi="Arial Nova Light"/>
                    <w:color w:val="262B31"/>
                    <w:szCs w:val="22"/>
                  </w:rPr>
                </w:pPr>
                <w:r>
                  <w:rPr>
                    <w:rFonts w:ascii="Arial Nova Light" w:hAnsi="Arial Nova Light"/>
                    <w:b/>
                    <w:bCs/>
                    <w:color w:val="262B31"/>
                    <w:szCs w:val="22"/>
                  </w:rPr>
                  <w:t>A.1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60522557" w14:textId="77777777" w:rsidR="007F6073" w:rsidRDefault="00000000">
                <w:pPr>
                  <w:rPr>
                    <w:rFonts w:ascii="Arial Nova Light" w:hAnsi="Arial Nova Light"/>
                    <w:color w:val="262B31"/>
                    <w:szCs w:val="22"/>
                  </w:rPr>
                </w:pPr>
                <w:r>
                  <w:rPr>
                    <w:rFonts w:ascii="Arial Nova Light" w:hAnsi="Arial Nova Light"/>
                    <w:color w:val="262B31"/>
                    <w:szCs w:val="22"/>
                  </w:rPr>
                  <w:t>Hansen Technologies maintains documentation relating to its products and services, including product information, implementation documentation, user documentation and relevant sustainability disclosures. Sustainability, climate and governance information is publicly available through Hansen's annual reporting and corporate disclosures. Additional information may be provided upon reasonable request, subject to confidentiality and intellectual property considerations.</w:t>
                </w:r>
              </w:p>
            </w:tc>
          </w:tr>
          <w:tr w:rsidR="007F6073" w14:paraId="779EFDF9"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BD0CD8B" w14:textId="77777777" w:rsidR="007F6073" w:rsidRDefault="00000000">
                <w:pPr>
                  <w:rPr>
                    <w:rFonts w:ascii="Arial Nova Light" w:hAnsi="Arial Nova Light"/>
                    <w:color w:val="262B31"/>
                    <w:szCs w:val="22"/>
                  </w:rPr>
                </w:pPr>
                <w:r>
                  <w:rPr>
                    <w:rFonts w:ascii="Arial Nova Light" w:hAnsi="Arial Nova Light"/>
                    <w:b/>
                    <w:bCs/>
                    <w:color w:val="262B31"/>
                    <w:szCs w:val="22"/>
                  </w:rPr>
                  <w:t>A.2</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46A2877" w14:textId="77777777" w:rsidR="007F6073" w:rsidRDefault="00000000">
                <w:pPr>
                  <w:rPr>
                    <w:rFonts w:ascii="Arial Nova Light" w:hAnsi="Arial Nova Light"/>
                    <w:color w:val="262B31"/>
                    <w:szCs w:val="22"/>
                  </w:rPr>
                </w:pPr>
                <w:r>
                  <w:rPr>
                    <w:rFonts w:ascii="Arial Nova Light" w:hAnsi="Arial Nova Light"/>
                    <w:color w:val="262B31"/>
                    <w:szCs w:val="22"/>
                  </w:rPr>
                  <w:t>Hansen Technologies will provide reasonable assistance and relevant information required to support customer compliance with applicable environmental regulations where applicable to the products and services supplied. Hansen can also provide relevant information relating to emissions, environmental performance and sustainability all available on our website.</w:t>
                </w:r>
              </w:p>
            </w:tc>
          </w:tr>
          <w:tr w:rsidR="007F6073" w14:paraId="79FEA471"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98221C2" w14:textId="77777777" w:rsidR="007F6073" w:rsidRDefault="00000000">
                <w:pPr>
                  <w:rPr>
                    <w:rFonts w:ascii="Arial Nova Light" w:hAnsi="Arial Nova Light"/>
                    <w:color w:val="262B31"/>
                    <w:szCs w:val="22"/>
                  </w:rPr>
                </w:pPr>
                <w:r>
                  <w:rPr>
                    <w:rFonts w:ascii="Arial Nova Light" w:hAnsi="Arial Nova Light"/>
                    <w:b/>
                    <w:bCs/>
                    <w:color w:val="262B31"/>
                    <w:szCs w:val="22"/>
                  </w:rPr>
                  <w:t>A.3</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055E353" w14:textId="77777777" w:rsidR="007F6073" w:rsidRDefault="00000000">
                <w:pPr>
                  <w:rPr>
                    <w:rFonts w:ascii="Arial Nova Light" w:hAnsi="Arial Nova Light"/>
                    <w:color w:val="262B31"/>
                    <w:szCs w:val="22"/>
                  </w:rPr>
                </w:pPr>
                <w:r>
                  <w:rPr>
                    <w:rFonts w:ascii="Arial Nova Light" w:hAnsi="Arial Nova Light"/>
                    <w:color w:val="262B31"/>
                    <w:szCs w:val="22"/>
                  </w:rPr>
                  <w:t>Hansen maintains governance, risk management and compliance processes to identify, assess and manage environmental, health and safety risks associated with its operations and service delivery. Material sustainability-related risks and opportunities are reviewed through Hansen's enterprise risk management and sustainability governance framework and reported to senior management, the Audit and Risk Committee and the Board as appropriate.</w:t>
                </w:r>
              </w:p>
            </w:tc>
          </w:tr>
        </w:tbl>
        <w:p w14:paraId="38F77338" w14:textId="77777777" w:rsidR="007F6073" w:rsidRDefault="007F6073">
          <w:pPr>
            <w:rPr>
              <w:rFonts w:ascii="Arial Nova Light" w:eastAsiaTheme="minorHAnsi" w:hAnsi="Arial Nova Light" w:cs="Aptos"/>
              <w:b/>
              <w:bCs/>
              <w:color w:val="262B31"/>
              <w:szCs w:val="22"/>
              <w:lang w:val="en-AU"/>
            </w:rPr>
          </w:pPr>
        </w:p>
        <w:p w14:paraId="080C106D" w14:textId="77777777" w:rsidR="007F6073" w:rsidRDefault="00000000">
          <w:pPr>
            <w:rPr>
              <w:rFonts w:ascii="Arial Nova Light" w:hAnsi="Arial Nova Light"/>
              <w:b/>
              <w:bCs/>
              <w:color w:val="262B31"/>
              <w:szCs w:val="22"/>
              <w:lang w:val="en-AU"/>
            </w:rPr>
          </w:pPr>
          <w:r>
            <w:rPr>
              <w:rFonts w:ascii="Arial Nova Light" w:hAnsi="Arial Nova Light"/>
              <w:b/>
              <w:bCs/>
              <w:color w:val="262B31"/>
              <w:szCs w:val="22"/>
              <w:lang w:val="en-AU"/>
            </w:rPr>
            <w:t>B. Materials / Substances</w:t>
          </w:r>
        </w:p>
        <w:tbl>
          <w:tblPr>
            <w:tblW w:w="0" w:type="auto"/>
            <w:tblCellSpacing w:w="15" w:type="dxa"/>
            <w:tblCellMar>
              <w:left w:w="0" w:type="dxa"/>
              <w:right w:w="0" w:type="dxa"/>
            </w:tblCellMar>
            <w:tblLook w:val="04A0" w:firstRow="1" w:lastRow="0" w:firstColumn="1" w:lastColumn="0" w:noHBand="0" w:noVBand="1"/>
          </w:tblPr>
          <w:tblGrid>
            <w:gridCol w:w="440"/>
            <w:gridCol w:w="9620"/>
          </w:tblGrid>
          <w:tr w:rsidR="007F6073" w14:paraId="4AEA0BEF" w14:textId="77777777">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51DEDA59" w14:textId="77777777" w:rsidR="007F6073" w:rsidRDefault="00000000">
                <w:pPr>
                  <w:rPr>
                    <w:rFonts w:ascii="Arial Nova Light" w:hAnsi="Arial Nova Light"/>
                    <w:b/>
                    <w:bCs/>
                    <w:color w:val="262B31"/>
                    <w:szCs w:val="22"/>
                    <w:lang w:val="en-GB"/>
                  </w:rPr>
                </w:pPr>
                <w:r>
                  <w:rPr>
                    <w:rFonts w:ascii="Arial Nova Light" w:hAnsi="Arial Nova Light"/>
                    <w:b/>
                    <w:bCs/>
                    <w:color w:val="262B31"/>
                    <w:szCs w:val="22"/>
                  </w:rPr>
                  <w:t>Ref</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6D6B5D60" w14:textId="77777777" w:rsidR="007F6073" w:rsidRDefault="00000000">
                <w:pPr>
                  <w:rPr>
                    <w:rFonts w:ascii="Arial Nova Light" w:hAnsi="Arial Nova Light"/>
                    <w:b/>
                    <w:bCs/>
                    <w:color w:val="262B31"/>
                    <w:szCs w:val="22"/>
                  </w:rPr>
                </w:pPr>
                <w:r>
                  <w:rPr>
                    <w:rFonts w:ascii="Arial Nova Light" w:hAnsi="Arial Nova Light"/>
                    <w:b/>
                    <w:bCs/>
                    <w:color w:val="262B31"/>
                    <w:szCs w:val="22"/>
                  </w:rPr>
                  <w:t>Hansen Response</w:t>
                </w:r>
              </w:p>
            </w:tc>
          </w:tr>
          <w:tr w:rsidR="007F6073" w14:paraId="595624C9"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FD8A492" w14:textId="77777777" w:rsidR="007F6073" w:rsidRDefault="00000000">
                <w:pPr>
                  <w:rPr>
                    <w:rFonts w:ascii="Arial Nova Light" w:hAnsi="Arial Nova Light"/>
                    <w:color w:val="262B31"/>
                    <w:szCs w:val="22"/>
                  </w:rPr>
                </w:pPr>
                <w:r>
                  <w:rPr>
                    <w:rFonts w:ascii="Arial Nova Light" w:hAnsi="Arial Nova Light"/>
                    <w:b/>
                    <w:bCs/>
                    <w:color w:val="262B31"/>
                    <w:szCs w:val="22"/>
                  </w:rPr>
                  <w:t>B.1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52E393A" w14:textId="77777777" w:rsidR="007F6073" w:rsidRDefault="00000000">
                <w:pPr>
                  <w:rPr>
                    <w:rFonts w:ascii="Arial Nova Light" w:hAnsi="Arial Nova Light"/>
                    <w:color w:val="262B31"/>
                    <w:szCs w:val="22"/>
                  </w:rPr>
                </w:pPr>
                <w:r>
                  <w:rPr>
                    <w:rFonts w:ascii="Arial Nova Light" w:hAnsi="Arial Nova Light"/>
                    <w:color w:val="262B31"/>
                    <w:szCs w:val="22"/>
                  </w:rPr>
                  <w:t>Hansen Technologies is primarily a software and services provider and does not manufacture products containing controlled substances. For any hardware or third-party equipment supplied as part of a customer solution, Hansen will work with relevant manufacturers and suppliers to obtain information regarding SVHC substances and applicable regulatory compliance where requested.</w:t>
                </w:r>
              </w:p>
            </w:tc>
          </w:tr>
          <w:tr w:rsidR="007F6073" w14:paraId="65EC19BF"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58CE0E22" w14:textId="77777777" w:rsidR="007F6073" w:rsidRDefault="00000000">
                <w:pPr>
                  <w:rPr>
                    <w:rFonts w:ascii="Arial Nova Light" w:hAnsi="Arial Nova Light"/>
                    <w:color w:val="262B31"/>
                    <w:szCs w:val="22"/>
                  </w:rPr>
                </w:pPr>
                <w:r>
                  <w:rPr>
                    <w:rFonts w:ascii="Arial Nova Light" w:hAnsi="Arial Nova Light"/>
                    <w:b/>
                    <w:bCs/>
                    <w:color w:val="262B31"/>
                    <w:szCs w:val="22"/>
                  </w:rPr>
                  <w:t>B.2</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4010364" w14:textId="77777777" w:rsidR="007F6073" w:rsidRDefault="00000000">
                <w:pPr>
                  <w:rPr>
                    <w:rFonts w:ascii="Arial Nova Light" w:hAnsi="Arial Nova Light"/>
                    <w:color w:val="262B31"/>
                    <w:szCs w:val="22"/>
                  </w:rPr>
                </w:pPr>
                <w:r>
                  <w:rPr>
                    <w:rFonts w:ascii="Arial Nova Light" w:hAnsi="Arial Nova Light"/>
                    <w:color w:val="262B31"/>
                    <w:szCs w:val="22"/>
                  </w:rPr>
                  <w:t>Where Hansen supplies hardware or procures hardware on behalf of customers, information regarding material composition, recyclability and recycled content can be obtained from the relevant manufacturer or supplier where available upon request.</w:t>
                </w:r>
              </w:p>
            </w:tc>
          </w:tr>
          <w:tr w:rsidR="007F6073" w14:paraId="2A6EB1DE"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DA4AF7F" w14:textId="77777777" w:rsidR="007F6073" w:rsidRDefault="00000000">
                <w:pPr>
                  <w:rPr>
                    <w:rFonts w:ascii="Arial Nova Light" w:hAnsi="Arial Nova Light"/>
                    <w:color w:val="262B31"/>
                    <w:szCs w:val="22"/>
                  </w:rPr>
                </w:pPr>
                <w:r>
                  <w:rPr>
                    <w:rFonts w:ascii="Arial Nova Light" w:hAnsi="Arial Nova Light"/>
                    <w:b/>
                    <w:bCs/>
                    <w:color w:val="262B31"/>
                    <w:szCs w:val="22"/>
                  </w:rPr>
                  <w:t>B.3</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1ED5F53" w14:textId="77777777" w:rsidR="007F6073" w:rsidRDefault="00000000">
                <w:pPr>
                  <w:rPr>
                    <w:rFonts w:ascii="Arial Nova Light" w:hAnsi="Arial Nova Light"/>
                    <w:color w:val="262B31"/>
                    <w:szCs w:val="22"/>
                  </w:rPr>
                </w:pPr>
                <w:r>
                  <w:rPr>
                    <w:rFonts w:ascii="Arial Nova Light" w:hAnsi="Arial Nova Light"/>
                    <w:color w:val="262B31"/>
                    <w:szCs w:val="22"/>
                  </w:rPr>
                  <w:t xml:space="preserve">Hansen maintains policies and procedures to identify, assess and manage environmental risks associated with its operations and suppliers. Known material environmental, health and safety risks </w:t>
                </w:r>
                <w:r>
                  <w:rPr>
                    <w:rFonts w:ascii="Arial Nova Light" w:hAnsi="Arial Nova Light"/>
                    <w:color w:val="262B31"/>
                    <w:szCs w:val="22"/>
                  </w:rPr>
                  <w:lastRenderedPageBreak/>
                  <w:t>associated with products and services supplied to customers will be disclosed where applicable and available.</w:t>
                </w:r>
              </w:p>
            </w:tc>
          </w:tr>
        </w:tbl>
        <w:p w14:paraId="73AA6CC2" w14:textId="77777777" w:rsidR="007F6073" w:rsidRDefault="007F6073">
          <w:pPr>
            <w:rPr>
              <w:rFonts w:ascii="Arial Nova Light" w:eastAsiaTheme="minorHAnsi" w:hAnsi="Arial Nova Light" w:cs="Aptos"/>
              <w:b/>
              <w:bCs/>
              <w:color w:val="262B31"/>
              <w:szCs w:val="22"/>
              <w:lang w:val="en-AU"/>
            </w:rPr>
          </w:pPr>
        </w:p>
        <w:p w14:paraId="6C1B49E2" w14:textId="77777777" w:rsidR="007F6073" w:rsidRDefault="007F6073">
          <w:pPr>
            <w:rPr>
              <w:rFonts w:ascii="Arial Nova Light" w:hAnsi="Arial Nova Light"/>
              <w:b/>
              <w:bCs/>
              <w:color w:val="262B31"/>
              <w:szCs w:val="22"/>
              <w:lang w:val="en-AU"/>
            </w:rPr>
          </w:pPr>
        </w:p>
        <w:p w14:paraId="6DEE433B" w14:textId="77777777" w:rsidR="007F6073" w:rsidRDefault="00000000">
          <w:pPr>
            <w:rPr>
              <w:rFonts w:ascii="Arial Nova Light" w:hAnsi="Arial Nova Light"/>
              <w:b/>
              <w:bCs/>
              <w:color w:val="262B31"/>
              <w:szCs w:val="22"/>
              <w:lang w:val="en-AU"/>
            </w:rPr>
          </w:pPr>
          <w:r>
            <w:rPr>
              <w:rFonts w:ascii="Arial Nova Light" w:hAnsi="Arial Nova Light"/>
              <w:b/>
              <w:bCs/>
              <w:color w:val="262B31"/>
              <w:szCs w:val="22"/>
              <w:lang w:val="en-AU"/>
            </w:rPr>
            <w:t>C. Recycling and Residual Product Management</w:t>
          </w:r>
        </w:p>
        <w:tbl>
          <w:tblPr>
            <w:tblW w:w="0" w:type="auto"/>
            <w:tblCellSpacing w:w="15" w:type="dxa"/>
            <w:tblCellMar>
              <w:left w:w="0" w:type="dxa"/>
              <w:right w:w="0" w:type="dxa"/>
            </w:tblCellMar>
            <w:tblLook w:val="04A0" w:firstRow="1" w:lastRow="0" w:firstColumn="1" w:lastColumn="0" w:noHBand="0" w:noVBand="1"/>
          </w:tblPr>
          <w:tblGrid>
            <w:gridCol w:w="456"/>
            <w:gridCol w:w="9604"/>
          </w:tblGrid>
          <w:tr w:rsidR="007F6073" w14:paraId="25674F1A" w14:textId="77777777">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6896306F" w14:textId="77777777" w:rsidR="007F6073" w:rsidRDefault="00000000">
                <w:pPr>
                  <w:rPr>
                    <w:rFonts w:ascii="Arial Nova Light" w:hAnsi="Arial Nova Light"/>
                    <w:b/>
                    <w:bCs/>
                    <w:color w:val="262B31"/>
                    <w:szCs w:val="22"/>
                    <w:lang w:val="en-GB"/>
                  </w:rPr>
                </w:pPr>
                <w:r>
                  <w:rPr>
                    <w:rFonts w:ascii="Arial Nova Light" w:hAnsi="Arial Nova Light"/>
                    <w:b/>
                    <w:bCs/>
                    <w:color w:val="262B31"/>
                    <w:szCs w:val="22"/>
                  </w:rPr>
                  <w:t>Ref</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64CCF1DB" w14:textId="77777777" w:rsidR="007F6073" w:rsidRDefault="00000000">
                <w:pPr>
                  <w:rPr>
                    <w:rFonts w:ascii="Arial Nova Light" w:hAnsi="Arial Nova Light"/>
                    <w:b/>
                    <w:bCs/>
                    <w:color w:val="262B31"/>
                    <w:szCs w:val="22"/>
                  </w:rPr>
                </w:pPr>
                <w:r>
                  <w:rPr>
                    <w:rFonts w:ascii="Arial Nova Light" w:hAnsi="Arial Nova Light"/>
                    <w:b/>
                    <w:bCs/>
                    <w:color w:val="262B31"/>
                    <w:szCs w:val="22"/>
                  </w:rPr>
                  <w:t>Hansen Response</w:t>
                </w:r>
              </w:p>
            </w:tc>
          </w:tr>
          <w:tr w:rsidR="007F6073" w14:paraId="60A5F307"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7526B8B" w14:textId="77777777" w:rsidR="007F6073" w:rsidRDefault="00000000">
                <w:pPr>
                  <w:rPr>
                    <w:rFonts w:ascii="Arial Nova Light" w:hAnsi="Arial Nova Light"/>
                    <w:color w:val="262B31"/>
                    <w:szCs w:val="22"/>
                  </w:rPr>
                </w:pPr>
                <w:r>
                  <w:rPr>
                    <w:rFonts w:ascii="Arial Nova Light" w:hAnsi="Arial Nova Light"/>
                    <w:b/>
                    <w:bCs/>
                    <w:color w:val="262B31"/>
                    <w:szCs w:val="22"/>
                  </w:rPr>
                  <w:t>C.1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FF477D4" w14:textId="77777777" w:rsidR="007F6073" w:rsidRDefault="00000000">
                <w:pPr>
                  <w:rPr>
                    <w:rFonts w:ascii="Arial Nova Light" w:hAnsi="Arial Nova Light"/>
                    <w:color w:val="262B31"/>
                    <w:szCs w:val="22"/>
                  </w:rPr>
                </w:pPr>
                <w:r>
                  <w:rPr>
                    <w:rFonts w:ascii="Arial Nova Light" w:hAnsi="Arial Nova Light"/>
                    <w:color w:val="262B31"/>
                    <w:szCs w:val="22"/>
                  </w:rPr>
                  <w:t>Hansen Technologies is primarily a software and services provider and generally does not operate product take-back programs. Where hardware is supplied by Hansen, end-of-life management arrangements may be discussed on a case-by-case basis with customers and relevant equipment manufacturers.</w:t>
                </w:r>
              </w:p>
            </w:tc>
          </w:tr>
          <w:tr w:rsidR="007F6073" w14:paraId="618E42E5"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59694CDA" w14:textId="77777777" w:rsidR="007F6073" w:rsidRDefault="00000000">
                <w:pPr>
                  <w:rPr>
                    <w:rFonts w:ascii="Arial Nova Light" w:hAnsi="Arial Nova Light"/>
                    <w:color w:val="262B31"/>
                    <w:szCs w:val="22"/>
                  </w:rPr>
                </w:pPr>
                <w:r>
                  <w:rPr>
                    <w:rFonts w:ascii="Arial Nova Light" w:hAnsi="Arial Nova Light"/>
                    <w:b/>
                    <w:bCs/>
                    <w:color w:val="262B31"/>
                    <w:szCs w:val="22"/>
                  </w:rPr>
                  <w:t>C.2</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7B623F5" w14:textId="77777777" w:rsidR="007F6073" w:rsidRDefault="00000000">
                <w:pPr>
                  <w:rPr>
                    <w:rFonts w:ascii="Arial Nova Light" w:hAnsi="Arial Nova Light"/>
                    <w:color w:val="262B31"/>
                    <w:szCs w:val="22"/>
                  </w:rPr>
                </w:pPr>
                <w:r>
                  <w:rPr>
                    <w:rFonts w:ascii="Arial Nova Light" w:hAnsi="Arial Nova Light"/>
                    <w:color w:val="262B31"/>
                    <w:szCs w:val="22"/>
                  </w:rPr>
                  <w:t>Where recycling services are engaged directly by Hansen in connection with supplied hardware, Hansen seeks to utilise reputable recycling providers that maintain recognised environmental management certifications or equivalent environmental controls.</w:t>
                </w:r>
              </w:p>
            </w:tc>
          </w:tr>
          <w:tr w:rsidR="007F6073" w14:paraId="6370B56F"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9A943AE" w14:textId="77777777" w:rsidR="007F6073" w:rsidRDefault="00000000">
                <w:pPr>
                  <w:rPr>
                    <w:rFonts w:ascii="Arial Nova Light" w:hAnsi="Arial Nova Light"/>
                    <w:color w:val="262B31"/>
                    <w:szCs w:val="22"/>
                  </w:rPr>
                </w:pPr>
                <w:r>
                  <w:rPr>
                    <w:rFonts w:ascii="Arial Nova Light" w:hAnsi="Arial Nova Light"/>
                    <w:b/>
                    <w:bCs/>
                    <w:color w:val="262B31"/>
                    <w:szCs w:val="22"/>
                  </w:rPr>
                  <w:t>C.3</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5D9620AF" w14:textId="77777777" w:rsidR="007F6073" w:rsidRDefault="00000000">
                <w:pPr>
                  <w:rPr>
                    <w:rFonts w:ascii="Arial Nova Light" w:hAnsi="Arial Nova Light"/>
                    <w:color w:val="262B31"/>
                    <w:szCs w:val="22"/>
                  </w:rPr>
                </w:pPr>
                <w:r>
                  <w:rPr>
                    <w:rFonts w:ascii="Arial Nova Light" w:hAnsi="Arial Nova Light"/>
                    <w:color w:val="262B31"/>
                    <w:szCs w:val="22"/>
                  </w:rPr>
                  <w:t>Not applicable to Hansen-developed software products. Where third-party hardware is supplied, responsibility for product design and recyclability remains with the original equipment manufacturer.</w:t>
                </w:r>
              </w:p>
            </w:tc>
          </w:tr>
          <w:tr w:rsidR="007F6073" w14:paraId="04F60226"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5ED57AF" w14:textId="77777777" w:rsidR="007F6073" w:rsidRDefault="00000000">
                <w:pPr>
                  <w:rPr>
                    <w:rFonts w:ascii="Arial Nova Light" w:hAnsi="Arial Nova Light"/>
                    <w:color w:val="262B31"/>
                    <w:szCs w:val="22"/>
                  </w:rPr>
                </w:pPr>
                <w:r>
                  <w:rPr>
                    <w:rFonts w:ascii="Arial Nova Light" w:hAnsi="Arial Nova Light"/>
                    <w:b/>
                    <w:bCs/>
                    <w:color w:val="262B31"/>
                    <w:szCs w:val="22"/>
                  </w:rPr>
                  <w:t>C.4</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D49D826" w14:textId="77777777" w:rsidR="007F6073" w:rsidRDefault="00000000">
                <w:pPr>
                  <w:rPr>
                    <w:rFonts w:ascii="Arial Nova Light" w:hAnsi="Arial Nova Light"/>
                    <w:color w:val="262B31"/>
                    <w:szCs w:val="22"/>
                  </w:rPr>
                </w:pPr>
                <w:r>
                  <w:rPr>
                    <w:rFonts w:ascii="Arial Nova Light" w:hAnsi="Arial Nova Light"/>
                    <w:color w:val="262B31"/>
                    <w:szCs w:val="22"/>
                  </w:rPr>
                  <w:t>Not applicable to Hansen-developed software products. For third-party equipment supplied to customers, Hansen relies on manufacturer product design and environmental compliance documentation.</w:t>
                </w:r>
              </w:p>
            </w:tc>
          </w:tr>
        </w:tbl>
        <w:p w14:paraId="6CBD2533" w14:textId="77777777" w:rsidR="007F6073" w:rsidRDefault="007F6073">
          <w:pPr>
            <w:rPr>
              <w:rFonts w:ascii="Arial Nova Light" w:eastAsiaTheme="minorHAnsi" w:hAnsi="Arial Nova Light" w:cs="Aptos"/>
              <w:b/>
              <w:bCs/>
              <w:color w:val="262B31"/>
              <w:szCs w:val="22"/>
              <w:lang w:val="en-AU"/>
            </w:rPr>
          </w:pPr>
        </w:p>
        <w:p w14:paraId="2F48F49D" w14:textId="77777777" w:rsidR="007F6073" w:rsidRDefault="00000000">
          <w:pPr>
            <w:rPr>
              <w:rFonts w:ascii="Arial Nova Light" w:hAnsi="Arial Nova Light"/>
              <w:b/>
              <w:bCs/>
              <w:color w:val="262B31"/>
              <w:szCs w:val="22"/>
              <w:lang w:val="en-AU"/>
            </w:rPr>
          </w:pPr>
          <w:r>
            <w:rPr>
              <w:rFonts w:ascii="Arial Nova Light" w:hAnsi="Arial Nova Light"/>
              <w:b/>
              <w:bCs/>
              <w:color w:val="262B31"/>
              <w:szCs w:val="22"/>
              <w:lang w:val="en-AU"/>
            </w:rPr>
            <w:t>D. Energy</w:t>
          </w:r>
        </w:p>
        <w:tbl>
          <w:tblPr>
            <w:tblW w:w="0" w:type="auto"/>
            <w:tblCellSpacing w:w="15" w:type="dxa"/>
            <w:tblCellMar>
              <w:left w:w="0" w:type="dxa"/>
              <w:right w:w="0" w:type="dxa"/>
            </w:tblCellMar>
            <w:tblLook w:val="04A0" w:firstRow="1" w:lastRow="0" w:firstColumn="1" w:lastColumn="0" w:noHBand="0" w:noVBand="1"/>
          </w:tblPr>
          <w:tblGrid>
            <w:gridCol w:w="576"/>
            <w:gridCol w:w="9484"/>
          </w:tblGrid>
          <w:tr w:rsidR="007F6073" w14:paraId="4539B085" w14:textId="77777777">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1CDCF1D8" w14:textId="77777777" w:rsidR="007F6073" w:rsidRDefault="00000000">
                <w:pPr>
                  <w:rPr>
                    <w:rFonts w:ascii="Arial Nova Light" w:hAnsi="Arial Nova Light"/>
                    <w:b/>
                    <w:bCs/>
                    <w:color w:val="262B31"/>
                    <w:szCs w:val="22"/>
                    <w:lang w:val="en-GB"/>
                  </w:rPr>
                </w:pPr>
                <w:r>
                  <w:rPr>
                    <w:rFonts w:ascii="Arial Nova Light" w:hAnsi="Arial Nova Light"/>
                    <w:b/>
                    <w:bCs/>
                    <w:color w:val="262B31"/>
                    <w:szCs w:val="22"/>
                  </w:rPr>
                  <w:t>Ref</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6336B7E5" w14:textId="77777777" w:rsidR="007F6073" w:rsidRDefault="00000000">
                <w:pPr>
                  <w:rPr>
                    <w:rFonts w:ascii="Arial Nova Light" w:hAnsi="Arial Nova Light"/>
                    <w:b/>
                    <w:bCs/>
                    <w:color w:val="262B31"/>
                    <w:szCs w:val="22"/>
                  </w:rPr>
                </w:pPr>
                <w:r>
                  <w:rPr>
                    <w:rFonts w:ascii="Arial Nova Light" w:hAnsi="Arial Nova Light"/>
                    <w:b/>
                    <w:bCs/>
                    <w:color w:val="262B31"/>
                    <w:szCs w:val="22"/>
                  </w:rPr>
                  <w:t>Hansen Response</w:t>
                </w:r>
              </w:p>
            </w:tc>
          </w:tr>
          <w:tr w:rsidR="007F6073" w14:paraId="40579625"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5135C079" w14:textId="77777777" w:rsidR="007F6073" w:rsidRDefault="00000000">
                <w:pPr>
                  <w:rPr>
                    <w:rFonts w:ascii="Arial Nova Light" w:hAnsi="Arial Nova Light"/>
                    <w:color w:val="262B31"/>
                    <w:szCs w:val="22"/>
                  </w:rPr>
                </w:pPr>
                <w:r>
                  <w:rPr>
                    <w:rFonts w:ascii="Arial Nova Light" w:hAnsi="Arial Nova Light"/>
                    <w:b/>
                    <w:bCs/>
                    <w:color w:val="262B31"/>
                    <w:szCs w:val="22"/>
                  </w:rPr>
                  <w:t>D.1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1625B9DA" w14:textId="77777777" w:rsidR="007F6073" w:rsidRDefault="00000000">
                <w:pPr>
                  <w:rPr>
                    <w:rFonts w:ascii="Arial Nova Light" w:hAnsi="Arial Nova Light"/>
                    <w:color w:val="262B31"/>
                    <w:szCs w:val="22"/>
                  </w:rPr>
                </w:pPr>
                <w:r>
                  <w:rPr>
                    <w:rFonts w:ascii="Arial Nova Light" w:hAnsi="Arial Nova Light"/>
                    <w:color w:val="262B31"/>
                    <w:szCs w:val="22"/>
                  </w:rPr>
                  <w:t>Hansen incorporates sustainability and energy efficiency considerations into product development and operational practices. Employees involved in software design, architecture and development are expected to apply efficient design principles, including optimisation of system performance, infrastructure utilisation and resource consumption.</w:t>
                </w:r>
              </w:p>
            </w:tc>
          </w:tr>
          <w:tr w:rsidR="007F6073" w14:paraId="36DBD4CD"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B27DAE3" w14:textId="77777777" w:rsidR="007F6073" w:rsidRDefault="00000000">
                <w:pPr>
                  <w:rPr>
                    <w:rFonts w:ascii="Arial Nova Light" w:hAnsi="Arial Nova Light"/>
                    <w:color w:val="262B31"/>
                    <w:szCs w:val="22"/>
                  </w:rPr>
                </w:pPr>
                <w:r>
                  <w:rPr>
                    <w:rFonts w:ascii="Arial Nova Light" w:hAnsi="Arial Nova Light"/>
                    <w:b/>
                    <w:bCs/>
                    <w:color w:val="262B31"/>
                    <w:szCs w:val="22"/>
                  </w:rPr>
                  <w:lastRenderedPageBreak/>
                  <w:t>D.2</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43052150" w14:textId="77777777" w:rsidR="007F6073" w:rsidRDefault="00000000">
                <w:pPr>
                  <w:rPr>
                    <w:rFonts w:ascii="Arial Nova Light" w:hAnsi="Arial Nova Light"/>
                    <w:color w:val="262B31"/>
                    <w:szCs w:val="22"/>
                  </w:rPr>
                </w:pPr>
                <w:r>
                  <w:rPr>
                    <w:rFonts w:ascii="Arial Nova Light" w:hAnsi="Arial Nova Light"/>
                    <w:color w:val="262B31"/>
                    <w:szCs w:val="22"/>
                  </w:rPr>
                  <w:t>Hansen can provide information regarding its approach to improving the efficiency and performance of software products and cloud-hosted solutions upon request.</w:t>
                </w:r>
              </w:p>
            </w:tc>
          </w:tr>
          <w:tr w:rsidR="007F6073" w14:paraId="48FD998B"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A7F950A" w14:textId="77777777" w:rsidR="007F6073" w:rsidRDefault="00000000">
                <w:pPr>
                  <w:rPr>
                    <w:rFonts w:ascii="Arial Nova Light" w:hAnsi="Arial Nova Light"/>
                    <w:color w:val="262B31"/>
                    <w:szCs w:val="22"/>
                  </w:rPr>
                </w:pPr>
                <w:r>
                  <w:rPr>
                    <w:rFonts w:ascii="Arial Nova Light" w:hAnsi="Arial Nova Light"/>
                    <w:b/>
                    <w:bCs/>
                    <w:color w:val="262B31"/>
                    <w:szCs w:val="22"/>
                  </w:rPr>
                  <w:t>D.3</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B856EEE" w14:textId="77777777" w:rsidR="007F6073" w:rsidRDefault="00000000">
                <w:pPr>
                  <w:rPr>
                    <w:rFonts w:ascii="Arial Nova Light" w:hAnsi="Arial Nova Light"/>
                    <w:color w:val="262B31"/>
                    <w:szCs w:val="22"/>
                  </w:rPr>
                </w:pPr>
                <w:r>
                  <w:rPr>
                    <w:rFonts w:ascii="Arial Nova Light" w:hAnsi="Arial Nova Light"/>
                    <w:color w:val="262B31"/>
                    <w:szCs w:val="22"/>
                  </w:rPr>
                  <w:t>Hansen continually seeks to improve the efficiency of its software solutions through product innovation, optimisation of processing requirements and efficient utilisation of computing resources.</w:t>
                </w:r>
              </w:p>
            </w:tc>
          </w:tr>
          <w:tr w:rsidR="007F6073" w14:paraId="13726BA9"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43F857B7" w14:textId="77777777" w:rsidR="007F6073" w:rsidRDefault="00000000">
                <w:pPr>
                  <w:rPr>
                    <w:rFonts w:ascii="Arial Nova Light" w:hAnsi="Arial Nova Light"/>
                    <w:color w:val="262B31"/>
                    <w:szCs w:val="22"/>
                  </w:rPr>
                </w:pPr>
                <w:r>
                  <w:rPr>
                    <w:rFonts w:ascii="Arial Nova Light" w:hAnsi="Arial Nova Light"/>
                    <w:b/>
                    <w:bCs/>
                    <w:color w:val="262B31"/>
                    <w:szCs w:val="22"/>
                  </w:rPr>
                  <w:t>D.4</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949E8BD" w14:textId="77777777" w:rsidR="007F6073" w:rsidRDefault="00000000">
                <w:pPr>
                  <w:rPr>
                    <w:rFonts w:ascii="Arial Nova Light" w:hAnsi="Arial Nova Light"/>
                    <w:color w:val="262B31"/>
                    <w:szCs w:val="22"/>
                  </w:rPr>
                </w:pPr>
                <w:r>
                  <w:rPr>
                    <w:rFonts w:ascii="Arial Nova Light" w:hAnsi="Arial Nova Light"/>
                    <w:color w:val="262B31"/>
                    <w:szCs w:val="22"/>
                  </w:rPr>
                  <w:t>Hansen software solutions support deployment architectures and infrastructure configurations that enable customers and hosting providers to optimise resource utilisation and manage capacity requirements.</w:t>
                </w:r>
              </w:p>
            </w:tc>
          </w:tr>
          <w:tr w:rsidR="007F6073" w14:paraId="22C08A2D"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798F36F" w14:textId="77777777" w:rsidR="007F6073" w:rsidRDefault="00000000">
                <w:pPr>
                  <w:rPr>
                    <w:rFonts w:ascii="Arial Nova Light" w:hAnsi="Arial Nova Light"/>
                    <w:color w:val="262B31"/>
                    <w:szCs w:val="22"/>
                  </w:rPr>
                </w:pPr>
                <w:r>
                  <w:rPr>
                    <w:rFonts w:ascii="Arial Nova Light" w:hAnsi="Arial Nova Light"/>
                    <w:b/>
                    <w:bCs/>
                    <w:color w:val="262B31"/>
                    <w:szCs w:val="22"/>
                  </w:rPr>
                  <w:t>D.5</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1BFB647" w14:textId="77777777" w:rsidR="007F6073" w:rsidRDefault="00000000">
                <w:pPr>
                  <w:rPr>
                    <w:rFonts w:ascii="Arial Nova Light" w:hAnsi="Arial Nova Light"/>
                    <w:color w:val="262B31"/>
                    <w:szCs w:val="22"/>
                  </w:rPr>
                </w:pPr>
                <w:r>
                  <w:rPr>
                    <w:rFonts w:ascii="Arial Nova Light" w:hAnsi="Arial Nova Light"/>
                    <w:color w:val="262B31"/>
                    <w:szCs w:val="22"/>
                  </w:rPr>
                  <w:t>Not applicable. Hansen primarily supplies software and services rather than telecommunications equipment with specified power consumption characteristics.</w:t>
                </w:r>
              </w:p>
            </w:tc>
          </w:tr>
          <w:tr w:rsidR="007F6073" w14:paraId="5B97D685"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4F81A5A8" w14:textId="77777777" w:rsidR="007F6073" w:rsidRDefault="00000000">
                <w:pPr>
                  <w:rPr>
                    <w:rFonts w:ascii="Arial Nova Light" w:hAnsi="Arial Nova Light"/>
                    <w:color w:val="262B31"/>
                    <w:szCs w:val="22"/>
                  </w:rPr>
                </w:pPr>
                <w:r>
                  <w:rPr>
                    <w:rFonts w:ascii="Arial Nova Light" w:hAnsi="Arial Nova Light"/>
                    <w:b/>
                    <w:bCs/>
                    <w:color w:val="262B31"/>
                    <w:szCs w:val="22"/>
                  </w:rPr>
                  <w:t>D.6</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BBCF88C" w14:textId="77777777" w:rsidR="007F6073" w:rsidRDefault="00000000">
                <w:pPr>
                  <w:rPr>
                    <w:rFonts w:ascii="Arial Nova Light" w:hAnsi="Arial Nova Light"/>
                    <w:color w:val="262B31"/>
                    <w:szCs w:val="22"/>
                  </w:rPr>
                </w:pPr>
                <w:r>
                  <w:rPr>
                    <w:rFonts w:ascii="Arial Nova Light" w:hAnsi="Arial Nova Light"/>
                    <w:color w:val="262B31"/>
                    <w:szCs w:val="22"/>
                  </w:rPr>
                  <w:t>Not applicable. Hansen does not manufacture or design electrical equipment requiring fuse specifications.</w:t>
                </w:r>
              </w:p>
            </w:tc>
          </w:tr>
          <w:tr w:rsidR="007F6073" w14:paraId="7C5CF726"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6B0D86FA" w14:textId="77777777" w:rsidR="007F6073" w:rsidRDefault="00000000">
                <w:pPr>
                  <w:rPr>
                    <w:rFonts w:ascii="Arial Nova Light" w:hAnsi="Arial Nova Light"/>
                    <w:color w:val="262B31"/>
                    <w:szCs w:val="22"/>
                  </w:rPr>
                </w:pPr>
                <w:r>
                  <w:rPr>
                    <w:rFonts w:ascii="Arial Nova Light" w:hAnsi="Arial Nova Light"/>
                    <w:b/>
                    <w:bCs/>
                    <w:color w:val="262B31"/>
                    <w:szCs w:val="22"/>
                  </w:rPr>
                  <w:t>D.7</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1001CC9" w14:textId="77777777" w:rsidR="007F6073" w:rsidRDefault="00000000">
                <w:pPr>
                  <w:rPr>
                    <w:rFonts w:ascii="Arial Nova Light" w:hAnsi="Arial Nova Light"/>
                    <w:color w:val="262B31"/>
                    <w:szCs w:val="22"/>
                  </w:rPr>
                </w:pPr>
                <w:r>
                  <w:rPr>
                    <w:rFonts w:ascii="Arial Nova Light" w:hAnsi="Arial Nova Light"/>
                    <w:color w:val="262B31"/>
                    <w:szCs w:val="22"/>
                  </w:rPr>
                  <w:t>Hansen software solutions are generally designed to support high availability, resilience and recovery following infrastructure interruptions, subject to customer deployment architecture and operational procedures.</w:t>
                </w:r>
              </w:p>
            </w:tc>
          </w:tr>
          <w:tr w:rsidR="007F6073" w14:paraId="6002644B"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15826C7D" w14:textId="77777777" w:rsidR="007F6073" w:rsidRDefault="00000000">
                <w:pPr>
                  <w:rPr>
                    <w:rFonts w:ascii="Arial Nova Light" w:hAnsi="Arial Nova Light"/>
                    <w:color w:val="262B31"/>
                    <w:szCs w:val="22"/>
                  </w:rPr>
                </w:pPr>
                <w:r>
                  <w:rPr>
                    <w:rFonts w:ascii="Arial Nova Light" w:hAnsi="Arial Nova Light"/>
                    <w:b/>
                    <w:bCs/>
                    <w:color w:val="262B31"/>
                    <w:szCs w:val="22"/>
                  </w:rPr>
                  <w:t>D.8</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4788A3D8" w14:textId="77777777" w:rsidR="007F6073" w:rsidRDefault="00000000">
                <w:pPr>
                  <w:rPr>
                    <w:rFonts w:ascii="Arial Nova Light" w:hAnsi="Arial Nova Light"/>
                    <w:color w:val="262B31"/>
                    <w:szCs w:val="22"/>
                  </w:rPr>
                </w:pPr>
                <w:r>
                  <w:rPr>
                    <w:rFonts w:ascii="Arial Nova Light" w:hAnsi="Arial Nova Light"/>
                    <w:color w:val="262B31"/>
                    <w:szCs w:val="22"/>
                  </w:rPr>
                  <w:t>Not applicable. Hansen does not manufacture broadband communication equipment.</w:t>
                </w:r>
              </w:p>
            </w:tc>
          </w:tr>
          <w:tr w:rsidR="007F6073" w14:paraId="2A7A1257"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56CE6E62" w14:textId="77777777" w:rsidR="007F6073" w:rsidRDefault="00000000">
                <w:pPr>
                  <w:rPr>
                    <w:rFonts w:ascii="Arial Nova Light" w:hAnsi="Arial Nova Light"/>
                    <w:color w:val="262B31"/>
                    <w:szCs w:val="22"/>
                  </w:rPr>
                </w:pPr>
                <w:r>
                  <w:rPr>
                    <w:rFonts w:ascii="Arial Nova Light" w:hAnsi="Arial Nova Light"/>
                    <w:b/>
                    <w:bCs/>
                    <w:color w:val="262B31"/>
                    <w:szCs w:val="22"/>
                  </w:rPr>
                  <w:t>D.9</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486D76F9" w14:textId="77777777" w:rsidR="007F6073" w:rsidRDefault="00000000">
                <w:pPr>
                  <w:rPr>
                    <w:rFonts w:ascii="Arial Nova Light" w:hAnsi="Arial Nova Light"/>
                    <w:color w:val="262B31"/>
                    <w:szCs w:val="22"/>
                  </w:rPr>
                </w:pPr>
                <w:r>
                  <w:rPr>
                    <w:rFonts w:ascii="Arial Nova Light" w:hAnsi="Arial Nova Light"/>
                    <w:color w:val="262B31"/>
                    <w:szCs w:val="22"/>
                  </w:rPr>
                  <w:t>Hansen's software solutions can support customer efforts to improve data centre energy efficiency through efficient application design, cloud optimisation and scalable architecture. For cloud-hosted solutions, Hansen works with leading cloud providers that maintain recognised energy efficiency and sustainability programs.</w:t>
                </w:r>
              </w:p>
            </w:tc>
          </w:tr>
          <w:tr w:rsidR="007F6073" w14:paraId="21A0C042"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81E4BF4" w14:textId="77777777" w:rsidR="007F6073" w:rsidRDefault="00000000">
                <w:pPr>
                  <w:rPr>
                    <w:rFonts w:ascii="Arial Nova Light" w:hAnsi="Arial Nova Light"/>
                    <w:color w:val="262B31"/>
                    <w:szCs w:val="22"/>
                  </w:rPr>
                </w:pPr>
                <w:r>
                  <w:rPr>
                    <w:rFonts w:ascii="Arial Nova Light" w:hAnsi="Arial Nova Light"/>
                    <w:b/>
                    <w:bCs/>
                    <w:color w:val="262B31"/>
                    <w:szCs w:val="22"/>
                  </w:rPr>
                  <w:t>D.10</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D5499E5" w14:textId="77777777" w:rsidR="007F6073" w:rsidRDefault="00000000">
                <w:pPr>
                  <w:rPr>
                    <w:rFonts w:ascii="Arial Nova Light" w:hAnsi="Arial Nova Light"/>
                    <w:color w:val="262B31"/>
                    <w:szCs w:val="22"/>
                  </w:rPr>
                </w:pPr>
                <w:r>
                  <w:rPr>
                    <w:rFonts w:ascii="Arial Nova Light" w:hAnsi="Arial Nova Light"/>
                    <w:color w:val="262B31"/>
                    <w:szCs w:val="22"/>
                  </w:rPr>
                  <w:t>Not applicable. Hansen does not manufacture or supply external power supplies.</w:t>
                </w:r>
              </w:p>
            </w:tc>
          </w:tr>
          <w:tr w:rsidR="007F6073" w14:paraId="44D42C5D"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EFC6431" w14:textId="77777777" w:rsidR="007F6073" w:rsidRDefault="00000000">
                <w:pPr>
                  <w:rPr>
                    <w:rFonts w:ascii="Arial Nova Light" w:hAnsi="Arial Nova Light"/>
                    <w:color w:val="262B31"/>
                    <w:szCs w:val="22"/>
                  </w:rPr>
                </w:pPr>
                <w:r>
                  <w:rPr>
                    <w:rFonts w:ascii="Arial Nova Light" w:hAnsi="Arial Nova Light"/>
                    <w:b/>
                    <w:bCs/>
                    <w:color w:val="262B31"/>
                    <w:szCs w:val="22"/>
                  </w:rPr>
                  <w:t>D.11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239C78D4" w14:textId="77777777" w:rsidR="007F6073" w:rsidRDefault="00000000">
                <w:pPr>
                  <w:rPr>
                    <w:rFonts w:ascii="Arial Nova Light" w:hAnsi="Arial Nova Light"/>
                    <w:color w:val="262B31"/>
                    <w:szCs w:val="22"/>
                  </w:rPr>
                </w:pPr>
                <w:r>
                  <w:rPr>
                    <w:rFonts w:ascii="Arial Nova Light" w:hAnsi="Arial Nova Light"/>
                    <w:color w:val="262B31"/>
                    <w:szCs w:val="22"/>
                  </w:rPr>
                  <w:t>Hansen procures office equipment from established vendors and generally seeks to purchase equipment meeting recognised efficiency standards, including Energy Star or equivalent certifications where available and applicable.</w:t>
                </w:r>
              </w:p>
            </w:tc>
          </w:tr>
          <w:tr w:rsidR="007F6073" w14:paraId="25F2897E"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1AB6D357" w14:textId="77777777" w:rsidR="007F6073" w:rsidRDefault="00000000">
                <w:pPr>
                  <w:rPr>
                    <w:rFonts w:ascii="Arial Nova Light" w:hAnsi="Arial Nova Light"/>
                    <w:color w:val="262B31"/>
                    <w:szCs w:val="22"/>
                  </w:rPr>
                </w:pPr>
                <w:r>
                  <w:rPr>
                    <w:rFonts w:ascii="Arial Nova Light" w:hAnsi="Arial Nova Light"/>
                    <w:b/>
                    <w:bCs/>
                    <w:color w:val="262B31"/>
                    <w:szCs w:val="22"/>
                  </w:rPr>
                  <w:lastRenderedPageBreak/>
                  <w:t>D.12</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2D66521" w14:textId="77777777" w:rsidR="007F6073" w:rsidRDefault="00000000">
                <w:pPr>
                  <w:rPr>
                    <w:rFonts w:ascii="Arial Nova Light" w:hAnsi="Arial Nova Light"/>
                    <w:color w:val="262B31"/>
                    <w:szCs w:val="22"/>
                  </w:rPr>
                </w:pPr>
                <w:r>
                  <w:rPr>
                    <w:rFonts w:ascii="Arial Nova Light" w:hAnsi="Arial Nova Light"/>
                    <w:color w:val="262B31"/>
                    <w:szCs w:val="22"/>
                  </w:rPr>
                  <w:t>Hansen seeks to procure office equipment from reputable suppliers that meet recognised environmental and sustainability standards, including TCO Certified products where available and appropriate.</w:t>
                </w:r>
              </w:p>
            </w:tc>
          </w:tr>
        </w:tbl>
        <w:p w14:paraId="64916CD4" w14:textId="77777777" w:rsidR="007F6073" w:rsidRDefault="007F6073">
          <w:pPr>
            <w:rPr>
              <w:rFonts w:ascii="Arial Nova Light" w:eastAsiaTheme="minorHAnsi" w:hAnsi="Arial Nova Light" w:cs="Aptos"/>
              <w:b/>
              <w:bCs/>
              <w:color w:val="262B31"/>
              <w:szCs w:val="22"/>
              <w:lang w:val="en-AU"/>
            </w:rPr>
          </w:pPr>
        </w:p>
        <w:p w14:paraId="3A08FADA" w14:textId="77777777" w:rsidR="007F6073" w:rsidRDefault="00000000">
          <w:pPr>
            <w:rPr>
              <w:rFonts w:ascii="Arial Nova Light" w:hAnsi="Arial Nova Light"/>
              <w:b/>
              <w:bCs/>
              <w:color w:val="262B31"/>
              <w:szCs w:val="22"/>
              <w:lang w:val="en-AU"/>
            </w:rPr>
          </w:pPr>
          <w:r>
            <w:rPr>
              <w:rFonts w:ascii="Arial Nova Light" w:hAnsi="Arial Nova Light"/>
              <w:b/>
              <w:bCs/>
              <w:color w:val="262B31"/>
              <w:szCs w:val="22"/>
              <w:lang w:val="en-AU"/>
            </w:rPr>
            <w:t>E. Batteries</w:t>
          </w:r>
        </w:p>
        <w:tbl>
          <w:tblPr>
            <w:tblW w:w="0" w:type="auto"/>
            <w:tblCellSpacing w:w="15" w:type="dxa"/>
            <w:tblCellMar>
              <w:left w:w="0" w:type="dxa"/>
              <w:right w:w="0" w:type="dxa"/>
            </w:tblCellMar>
            <w:tblLook w:val="04A0" w:firstRow="1" w:lastRow="0" w:firstColumn="1" w:lastColumn="0" w:noHBand="0" w:noVBand="1"/>
          </w:tblPr>
          <w:tblGrid>
            <w:gridCol w:w="428"/>
            <w:gridCol w:w="9632"/>
          </w:tblGrid>
          <w:tr w:rsidR="007F6073" w14:paraId="0A1F6076" w14:textId="77777777">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058C3E03" w14:textId="77777777" w:rsidR="007F6073" w:rsidRDefault="00000000">
                <w:pPr>
                  <w:rPr>
                    <w:rFonts w:ascii="Arial Nova Light" w:hAnsi="Arial Nova Light"/>
                    <w:b/>
                    <w:bCs/>
                    <w:color w:val="262B31"/>
                    <w:szCs w:val="22"/>
                    <w:lang w:val="en-GB"/>
                  </w:rPr>
                </w:pPr>
                <w:r>
                  <w:rPr>
                    <w:rFonts w:ascii="Arial Nova Light" w:hAnsi="Arial Nova Light"/>
                    <w:b/>
                    <w:bCs/>
                    <w:color w:val="262B31"/>
                    <w:szCs w:val="22"/>
                  </w:rPr>
                  <w:t>Ref</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7033B122" w14:textId="77777777" w:rsidR="007F6073" w:rsidRDefault="00000000">
                <w:pPr>
                  <w:rPr>
                    <w:rFonts w:ascii="Arial Nova Light" w:hAnsi="Arial Nova Light"/>
                    <w:b/>
                    <w:bCs/>
                    <w:color w:val="262B31"/>
                    <w:szCs w:val="22"/>
                  </w:rPr>
                </w:pPr>
                <w:r>
                  <w:rPr>
                    <w:rFonts w:ascii="Arial Nova Light" w:hAnsi="Arial Nova Light"/>
                    <w:b/>
                    <w:bCs/>
                    <w:color w:val="262B31"/>
                    <w:szCs w:val="22"/>
                  </w:rPr>
                  <w:t>Hansen Response</w:t>
                </w:r>
              </w:p>
            </w:tc>
          </w:tr>
          <w:tr w:rsidR="007F6073" w14:paraId="7A2C439F"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0C45320" w14:textId="77777777" w:rsidR="007F6073" w:rsidRDefault="00000000">
                <w:pPr>
                  <w:rPr>
                    <w:rFonts w:ascii="Arial Nova Light" w:hAnsi="Arial Nova Light"/>
                    <w:color w:val="262B31"/>
                    <w:szCs w:val="22"/>
                  </w:rPr>
                </w:pPr>
                <w:r>
                  <w:rPr>
                    <w:rFonts w:ascii="Arial Nova Light" w:hAnsi="Arial Nova Light"/>
                    <w:b/>
                    <w:bCs/>
                    <w:color w:val="262B31"/>
                    <w:szCs w:val="22"/>
                  </w:rPr>
                  <w:t>E.1</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6B5DEAC" w14:textId="77777777" w:rsidR="007F6073" w:rsidRDefault="00000000">
                <w:pPr>
                  <w:rPr>
                    <w:rFonts w:ascii="Arial Nova Light" w:hAnsi="Arial Nova Light"/>
                    <w:color w:val="262B31"/>
                    <w:szCs w:val="22"/>
                  </w:rPr>
                </w:pPr>
                <w:r>
                  <w:rPr>
                    <w:rFonts w:ascii="Arial Nova Light" w:hAnsi="Arial Nova Light"/>
                    <w:color w:val="262B31"/>
                    <w:szCs w:val="22"/>
                  </w:rPr>
                  <w:t>Not applicable. Hansen does not manufacture or supply single-use batteries as part of its standard software and services offerings.</w:t>
                </w:r>
              </w:p>
            </w:tc>
          </w:tr>
          <w:tr w:rsidR="007F6073" w14:paraId="33AEEBAA"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F2B347C" w14:textId="77777777" w:rsidR="007F6073" w:rsidRDefault="00000000">
                <w:pPr>
                  <w:rPr>
                    <w:rFonts w:ascii="Arial Nova Light" w:hAnsi="Arial Nova Light"/>
                    <w:color w:val="262B31"/>
                    <w:szCs w:val="22"/>
                  </w:rPr>
                </w:pPr>
                <w:r>
                  <w:rPr>
                    <w:rFonts w:ascii="Arial Nova Light" w:hAnsi="Arial Nova Light"/>
                    <w:b/>
                    <w:bCs/>
                    <w:color w:val="262B31"/>
                    <w:szCs w:val="22"/>
                  </w:rPr>
                  <w:t>E.2</w:t>
                </w:r>
              </w:p>
            </w:tc>
            <w:tc>
              <w:tcPr>
                <w:tcW w:w="0" w:type="auto"/>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7892722" w14:textId="77777777" w:rsidR="007F6073" w:rsidRDefault="00000000">
                <w:pPr>
                  <w:rPr>
                    <w:rFonts w:ascii="Arial Nova Light" w:hAnsi="Arial Nova Light"/>
                    <w:color w:val="262B31"/>
                    <w:szCs w:val="22"/>
                  </w:rPr>
                </w:pPr>
                <w:r>
                  <w:rPr>
                    <w:rFonts w:ascii="Arial Nova Light" w:hAnsi="Arial Nova Light"/>
                    <w:color w:val="262B31"/>
                    <w:szCs w:val="22"/>
                  </w:rPr>
                  <w:t>Not applicable. Hansen does not manufacture or supply environmentally hazardous batteries as part of its standard software and services offerings.</w:t>
                </w:r>
              </w:p>
            </w:tc>
          </w:tr>
        </w:tbl>
        <w:p w14:paraId="3547935C" w14:textId="77777777" w:rsidR="007F6073" w:rsidRDefault="007F6073"/>
        <w:p w14:paraId="4C04B24B" w14:textId="77777777" w:rsidR="007F6073" w:rsidRDefault="00000000">
          <w:pPr>
            <w:sectPr w:rsidR="007F6073">
              <w:pgSz w:w="12240" w:h="15840" w:code="1"/>
              <w:pgMar w:top="1080" w:right="1080" w:bottom="1080" w:left="1080" w:header="720" w:footer="230" w:gutter="0"/>
              <w:cols w:space="720"/>
              <w:titlePg/>
              <w:docGrid w:linePitch="299"/>
            </w:sectPr>
          </w:pPr>
        </w:p>
      </w:sdtContent>
    </w:sdt>
    <w:bookmarkEnd w:id="0" w:displacedByCustomXml="prev"/>
    <w:bookmarkStart w:id="117" w:name="_Hlk43798616" w:displacedByCustomXml="prev"/>
    <w:bookmarkEnd w:id="117"/>
    <w:p w14:paraId="319010AF" w14:textId="27571784" w:rsidR="007F6073" w:rsidRDefault="007F6073">
      <w:pPr>
        <w:tabs>
          <w:tab w:val="center" w:pos="5010"/>
        </w:tabs>
        <w:spacing w:line="240" w:lineRule="auto"/>
        <w:rPr>
          <w:rFonts w:asciiTheme="majorHAnsi" w:hAnsiTheme="majorHAnsi"/>
          <w:szCs w:val="22"/>
        </w:rPr>
        <w:sectPr w:rsidR="007F6073">
          <w:headerReference w:type="even" r:id="rId33"/>
          <w:headerReference w:type="default" r:id="rId34"/>
          <w:footerReference w:type="default" r:id="rId35"/>
          <w:headerReference w:type="first" r:id="rId36"/>
          <w:pgSz w:w="12240" w:h="15840" w:code="1"/>
          <w:pgMar w:top="1080" w:right="1080" w:bottom="1080" w:left="1080" w:header="527" w:footer="227" w:gutter="0"/>
          <w:pgNumType w:start="3"/>
          <w:cols w:space="720"/>
          <w:docGrid w:linePitch="286"/>
        </w:sectPr>
      </w:pPr>
    </w:p>
    <w:p w14:paraId="682296F7" w14:textId="77777777" w:rsidR="007F6073" w:rsidRDefault="007F6073">
      <w:pPr>
        <w:pStyle w:val="Heading1"/>
      </w:pPr>
      <w:bookmarkStart w:id="118" w:name="Overview"/>
      <w:bookmarkEnd w:id="118"/>
    </w:p>
    <w:sectPr w:rsidR="007F6073">
      <w:headerReference w:type="default" r:id="rId37"/>
      <w:footerReference w:type="default" r:id="rId38"/>
      <w:pgSz w:w="12240" w:h="15840" w:code="1"/>
      <w:pgMar w:top="1080" w:right="1080" w:bottom="1080" w:left="1080" w:header="533"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A4090" w14:textId="77777777" w:rsidR="00E80526" w:rsidRDefault="00E80526">
      <w:pPr>
        <w:spacing w:after="0" w:line="240" w:lineRule="auto"/>
      </w:pPr>
      <w:r>
        <w:separator/>
      </w:r>
    </w:p>
    <w:p w14:paraId="51EBD6D6" w14:textId="77777777" w:rsidR="00E80526" w:rsidRDefault="00E80526"/>
    <w:p w14:paraId="5F9DB9C4" w14:textId="77777777" w:rsidR="00E80526" w:rsidRDefault="00E80526"/>
    <w:p w14:paraId="40EC6EDE" w14:textId="77777777" w:rsidR="00E80526" w:rsidRDefault="00E80526"/>
    <w:p w14:paraId="49660C3F" w14:textId="77777777" w:rsidR="00E80526" w:rsidRDefault="00E80526"/>
    <w:p w14:paraId="6AF09F4E" w14:textId="77777777" w:rsidR="00E80526" w:rsidRDefault="00E80526"/>
  </w:endnote>
  <w:endnote w:type="continuationSeparator" w:id="0">
    <w:p w14:paraId="5969D3D0" w14:textId="77777777" w:rsidR="00E80526" w:rsidRDefault="00E80526">
      <w:pPr>
        <w:spacing w:after="0" w:line="240" w:lineRule="auto"/>
      </w:pPr>
      <w:r>
        <w:continuationSeparator/>
      </w:r>
    </w:p>
    <w:p w14:paraId="4BEFA908" w14:textId="77777777" w:rsidR="00E80526" w:rsidRDefault="00E80526"/>
    <w:p w14:paraId="443462E9" w14:textId="77777777" w:rsidR="00E80526" w:rsidRDefault="00E80526"/>
    <w:p w14:paraId="28C357AB" w14:textId="77777777" w:rsidR="00E80526" w:rsidRDefault="00E80526"/>
    <w:p w14:paraId="6906F87C" w14:textId="77777777" w:rsidR="00E80526" w:rsidRDefault="00E80526"/>
    <w:p w14:paraId="4B77A42F" w14:textId="77777777" w:rsidR="00E80526" w:rsidRDefault="00E80526"/>
  </w:endnote>
  <w:endnote w:type="continuationNotice" w:id="1">
    <w:p w14:paraId="552BC75A" w14:textId="77777777" w:rsidR="00E80526" w:rsidRDefault="00E80526">
      <w:pPr>
        <w:spacing w:before="0" w:after="0" w:line="240" w:lineRule="auto"/>
      </w:pPr>
    </w:p>
    <w:p w14:paraId="0B8BB552" w14:textId="77777777" w:rsidR="00E80526" w:rsidRDefault="00E80526"/>
    <w:p w14:paraId="09B7B44E" w14:textId="77777777" w:rsidR="00E80526" w:rsidRDefault="00E805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panose1 w:val="020B0304020202020204"/>
    <w:charset w:val="00"/>
    <w:family w:val="swiss"/>
    <w:pitch w:val="variable"/>
    <w:sig w:usb0="2000028F" w:usb1="00000002"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Nova Cond">
    <w:panose1 w:val="020B0506020202020204"/>
    <w:charset w:val="00"/>
    <w:family w:val="swiss"/>
    <w:pitch w:val="variable"/>
    <w:sig w:usb0="2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w:panose1 w:val="020B05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AD69" w14:textId="77777777" w:rsidR="007F6073" w:rsidRDefault="007F6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21E0" w14:textId="77777777" w:rsidR="007F6073" w:rsidRDefault="00000000">
    <w:pPr>
      <w:jc w:val="right"/>
      <w:rPr>
        <w:sz w:val="20"/>
        <w:szCs w:val="20"/>
      </w:rPr>
    </w:pPr>
    <w:r>
      <w:rPr>
        <w:sz w:val="20"/>
        <w:szCs w:val="20"/>
      </w:rPr>
      <w:t xml:space="preserve">Page </w:t>
    </w:r>
    <w:r>
      <w:rPr>
        <w:b/>
        <w:bCs/>
        <w:sz w:val="20"/>
        <w:szCs w:val="20"/>
      </w:rPr>
      <w:t xml:space="preserve">4 </w:t>
    </w:r>
    <w:r>
      <w:rPr>
        <w:sz w:val="20"/>
        <w:szCs w:val="20"/>
      </w:rPr>
      <w:t xml:space="preserve">of </w:t>
    </w:r>
    <w:r>
      <w:rPr>
        <w:b/>
        <w:bCs/>
        <w:sz w:val="20"/>
        <w:szCs w:val="20"/>
      </w:rPr>
      <w:t xml:space="preserve">5 </w:t>
    </w:r>
  </w:p>
  <w:p w14:paraId="4D3D8FFE" w14:textId="77777777" w:rsidR="007F6073" w:rsidRDefault="00000000">
    <w:pPr>
      <w:pStyle w:val="Footer"/>
      <w:rPr>
        <w:rFonts w:ascii="Arial Nova Cond" w:hAnsi="Arial Nova Cond"/>
        <w:b/>
        <w:caps/>
        <w:sz w:val="20"/>
        <w:szCs w:val="20"/>
        <w:lang w:val="en-CA"/>
      </w:rPr>
    </w:pPr>
    <w:r>
      <w:rPr>
        <w:rFonts w:asciiTheme="majorHAnsi" w:hAnsiTheme="majorHAnsi"/>
        <w:sz w:val="20"/>
        <w:szCs w:val="20"/>
      </w:rPr>
      <w:t>COPYRIGHT © HANSEN | CONFIDENTIAL &amp; PROPRIETARY INFORMATION</w:t>
    </w:r>
  </w:p>
  <w:p w14:paraId="13CC9F4D" w14:textId="5F6061BC" w:rsidR="007F6073" w:rsidRDefault="007F6073">
    <w:pPr>
      <w:jc w:val="center"/>
      <w:rPr>
        <w:rFonts w:asciiTheme="majorHAnsi" w:hAnsiTheme="majorHAns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5BB5" w14:textId="77777777" w:rsidR="007F6073" w:rsidRDefault="007F60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35EA" w14:textId="77777777" w:rsidR="007F6073" w:rsidRDefault="00000000">
    <w:pPr>
      <w:pStyle w:val="Footer"/>
      <w:tabs>
        <w:tab w:val="left" w:pos="3299"/>
        <w:tab w:val="center" w:pos="5400"/>
        <w:tab w:val="right" w:pos="10080"/>
        <w:tab w:val="right" w:pos="10800"/>
      </w:tabs>
      <w:rPr>
        <w:noProof/>
      </w:rPr>
    </w:pPr>
    <w:r>
      <w:rPr>
        <w:rFonts w:ascii="Arial Nova Cond" w:hAnsi="Arial Nova Cond"/>
        <w:b/>
        <w:caps/>
        <w:sz w:val="20"/>
        <w:szCs w:val="20"/>
        <w:lang w:val="en-CA"/>
      </w:rPr>
      <w:tab/>
    </w:r>
    <w:r>
      <w:rPr>
        <w:rFonts w:ascii="Arial Nova Cond" w:hAnsi="Arial Nova Cond"/>
        <w:b/>
        <w:caps/>
        <w:sz w:val="20"/>
        <w:szCs w:val="20"/>
        <w:lang w:val="en-CA"/>
      </w:rPr>
      <w:tab/>
    </w:r>
    <w:r>
      <w:rPr>
        <w:rFonts w:ascii="Arial Nova Cond" w:hAnsi="Arial Nova Cond"/>
        <w:b/>
        <w:caps/>
        <w:sz w:val="20"/>
        <w:szCs w:val="20"/>
        <w:lang w:val="en-CA"/>
      </w:rPr>
      <w:tab/>
    </w:r>
    <w:r>
      <w:rPr>
        <w:rFonts w:ascii="Arial Nova Cond" w:hAnsi="Arial Nova Cond"/>
        <w:b/>
        <w:caps/>
        <w:sz w:val="20"/>
        <w:szCs w:val="20"/>
        <w:lang w:val="en-CA"/>
      </w:rPr>
      <w:tab/>
    </w:r>
    <w:sdt>
      <w:sdtPr>
        <w:id w:val="-1121224846"/>
        <w:docPartObj>
          <w:docPartGallery w:val="Page Numbers (Bottom of Page)"/>
          <w:docPartUnique/>
        </w:docPartObj>
      </w:sdtPr>
      <w:sdtEndPr>
        <w:rPr>
          <w:noProof/>
        </w:rPr>
      </w:sdtEndPr>
      <w:sdtContent>
        <w:sdt>
          <w:sdtPr>
            <w:rPr>
              <w:rFonts w:ascii="Arial Nova Light" w:eastAsia="Times New Roman" w:hAnsi="Arial Nova Light" w:cs="Times New Roman"/>
            </w:rPr>
            <w:id w:val="-1149433646"/>
            <w:docPartObj>
              <w:docPartGallery w:val="Page Numbers (Bottom of Page)"/>
              <w:docPartUnique/>
            </w:docPartObj>
          </w:sdtPr>
          <w:sdtEndPr>
            <w:rPr>
              <w:noProof/>
            </w:rPr>
          </w:sdtEndPr>
          <w:sdtContent>
            <w:r>
              <w:rPr>
                <w:rFonts w:ascii="Arial Nova Light" w:eastAsia="Times New Roman" w:hAnsi="Arial Nova Light" w:cs="Times New Roman"/>
              </w:rPr>
              <w:t xml:space="preserve">Page </w:t>
            </w:r>
            <w:r>
              <w:rPr>
                <w:rFonts w:ascii="Arial Nova Light" w:eastAsia="Times New Roman" w:hAnsi="Arial Nova Light" w:cs="Times New Roman"/>
                <w:b/>
                <w:bCs/>
              </w:rPr>
              <w:fldChar w:fldCharType="begin"/>
            </w:r>
            <w:r>
              <w:rPr>
                <w:rFonts w:ascii="Arial Nova Light" w:eastAsia="Times New Roman" w:hAnsi="Arial Nova Light" w:cs="Times New Roman"/>
                <w:b/>
                <w:bCs/>
              </w:rPr>
              <w:instrText xml:space="preserve"> PAGE  \* Arabic  \* MERGEFORMAT </w:instrText>
            </w:r>
            <w:r>
              <w:rPr>
                <w:rFonts w:ascii="Arial Nova Light" w:eastAsia="Times New Roman" w:hAnsi="Arial Nova Light" w:cs="Times New Roman"/>
                <w:b/>
                <w:bCs/>
              </w:rPr>
              <w:fldChar w:fldCharType="separate"/>
            </w:r>
            <w:r>
              <w:rPr>
                <w:rFonts w:ascii="Arial Nova Light" w:eastAsia="Times New Roman" w:hAnsi="Arial Nova Light" w:cs="Times New Roman"/>
                <w:b/>
                <w:bCs/>
              </w:rPr>
              <w:t>1</w:t>
            </w:r>
            <w:r>
              <w:rPr>
                <w:rFonts w:ascii="Arial Nova Light" w:eastAsia="Times New Roman" w:hAnsi="Arial Nova Light" w:cs="Times New Roman"/>
                <w:b/>
                <w:bCs/>
              </w:rPr>
              <w:fldChar w:fldCharType="end"/>
            </w:r>
            <w:r>
              <w:rPr>
                <w:rFonts w:ascii="Arial Nova Light" w:eastAsia="Times New Roman" w:hAnsi="Arial Nova Light" w:cs="Times New Roman"/>
              </w:rPr>
              <w:t xml:space="preserve"> of </w:t>
            </w:r>
            <w:r>
              <w:rPr>
                <w:rFonts w:ascii="Arial Nova Light" w:eastAsia="Times New Roman" w:hAnsi="Arial Nova Light" w:cs="Times New Roman"/>
                <w:b/>
                <w:bCs/>
              </w:rPr>
              <w:fldChar w:fldCharType="begin"/>
            </w:r>
            <w:r>
              <w:rPr>
                <w:rFonts w:ascii="Arial Nova Light" w:eastAsia="Times New Roman" w:hAnsi="Arial Nova Light" w:cs="Times New Roman"/>
                <w:b/>
                <w:bCs/>
              </w:rPr>
              <w:instrText xml:space="preserve"> NUMPAGES  \* Arabic  \* MERGEFORMAT </w:instrText>
            </w:r>
            <w:r>
              <w:rPr>
                <w:rFonts w:ascii="Arial Nova Light" w:eastAsia="Times New Roman" w:hAnsi="Arial Nova Light" w:cs="Times New Roman"/>
                <w:b/>
                <w:bCs/>
              </w:rPr>
              <w:fldChar w:fldCharType="separate"/>
            </w:r>
            <w:r>
              <w:rPr>
                <w:rFonts w:ascii="Arial Nova Light" w:eastAsia="Times New Roman" w:hAnsi="Arial Nova Light" w:cs="Times New Roman"/>
                <w:b/>
                <w:bCs/>
              </w:rPr>
              <w:t>16</w:t>
            </w:r>
            <w:r>
              <w:rPr>
                <w:rFonts w:ascii="Arial Nova Light" w:eastAsia="Times New Roman" w:hAnsi="Arial Nova Light" w:cs="Times New Roman"/>
                <w:b/>
                <w:bCs/>
              </w:rPr>
              <w:fldChar w:fldCharType="end"/>
            </w:r>
          </w:sdtContent>
        </w:sdt>
      </w:sdtContent>
    </w:sdt>
  </w:p>
  <w:p w14:paraId="6A9E3356" w14:textId="77777777" w:rsidR="007F6073" w:rsidRDefault="00000000">
    <w:pPr>
      <w:pStyle w:val="Footer"/>
      <w:tabs>
        <w:tab w:val="center" w:pos="5040"/>
        <w:tab w:val="left" w:pos="8490"/>
        <w:tab w:val="right" w:pos="10080"/>
      </w:tabs>
      <w:jc w:val="center"/>
      <w:rPr>
        <w:rFonts w:ascii="Arial Nova Cond" w:hAnsi="Arial Nova Cond"/>
        <w:bCs/>
        <w:caps/>
        <w:sz w:val="20"/>
        <w:szCs w:val="20"/>
        <w:lang w:val="en-AU"/>
      </w:rPr>
    </w:pPr>
    <w:r>
      <w:rPr>
        <w:rFonts w:ascii="Arial Nova Cond" w:hAnsi="Arial Nova Cond"/>
        <w:bCs/>
        <w:caps/>
        <w:sz w:val="20"/>
        <w:szCs w:val="20"/>
        <w:lang w:val="en-CA"/>
      </w:rPr>
      <w:t>Copyright © Hansen | Confidential &amp; Proprietary Information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65B0" w14:textId="66F6CBAE" w:rsidR="007F6073" w:rsidRDefault="00000000">
    <w:pPr>
      <w:pStyle w:val="Footer"/>
      <w:tabs>
        <w:tab w:val="left" w:pos="3299"/>
        <w:tab w:val="center" w:pos="5400"/>
        <w:tab w:val="right" w:pos="10080"/>
        <w:tab w:val="right" w:pos="10800"/>
      </w:tabs>
      <w:rPr>
        <w:noProof/>
      </w:rPr>
    </w:pPr>
    <w:r>
      <w:rPr>
        <w:rFonts w:ascii="Arial Nova Cond" w:hAnsi="Arial Nova Cond"/>
        <w:b/>
        <w:caps/>
        <w:sz w:val="20"/>
        <w:szCs w:val="20"/>
        <w:lang w:val="en-CA"/>
      </w:rPr>
      <w:tab/>
    </w:r>
    <w:r>
      <w:rPr>
        <w:rFonts w:ascii="Arial Nova Cond" w:hAnsi="Arial Nova Cond"/>
        <w:b/>
        <w:caps/>
        <w:sz w:val="20"/>
        <w:szCs w:val="20"/>
        <w:lang w:val="en-CA"/>
      </w:rPr>
      <w:tab/>
    </w:r>
    <w:r>
      <w:rPr>
        <w:rFonts w:ascii="Arial Nova Cond" w:hAnsi="Arial Nova Cond"/>
        <w:b/>
        <w:caps/>
        <w:sz w:val="20"/>
        <w:szCs w:val="20"/>
        <w:lang w:val="en-CA"/>
      </w:rPr>
      <w:tab/>
    </w:r>
    <w:r>
      <w:rPr>
        <w:rFonts w:ascii="Arial Nova Cond" w:hAnsi="Arial Nova Cond"/>
        <w:b/>
        <w:caps/>
        <w:sz w:val="20"/>
        <w:szCs w:val="20"/>
        <w:lang w:val="en-CA"/>
      </w:rPr>
      <w:tab/>
    </w:r>
    <w:sdt>
      <w:sdtPr>
        <w:id w:val="-778020556"/>
        <w:docPartObj>
          <w:docPartGallery w:val="Page Numbers (Bottom of Page)"/>
          <w:docPartUnique/>
        </w:docPartObj>
      </w:sdtPr>
      <w:sdtEndPr>
        <w:rPr>
          <w:noProof/>
        </w:rPr>
      </w:sdtEndPr>
      <w:sdtContent>
        <w:sdt>
          <w:sdtPr>
            <w:rPr>
              <w:rFonts w:ascii="Arial Nova Light" w:eastAsia="Times New Roman" w:hAnsi="Arial Nova Light" w:cs="Times New Roman"/>
            </w:rPr>
            <w:id w:val="-969365568"/>
            <w:docPartObj>
              <w:docPartGallery w:val="Page Numbers (Bottom of Page)"/>
              <w:docPartUnique/>
            </w:docPartObj>
          </w:sdtPr>
          <w:sdtEndPr>
            <w:rPr>
              <w:noProof/>
            </w:rPr>
          </w:sdtEndPr>
          <w:sdtContent>
            <w:r>
              <w:rPr>
                <w:rFonts w:ascii="Arial Nova Light" w:eastAsia="Times New Roman" w:hAnsi="Arial Nova Light" w:cs="Times New Roman"/>
              </w:rPr>
              <w:t xml:space="preserve">Page </w:t>
            </w:r>
            <w:r>
              <w:rPr>
                <w:rFonts w:ascii="Arial Nova Light" w:eastAsia="Times New Roman" w:hAnsi="Arial Nova Light" w:cs="Times New Roman"/>
                <w:b/>
                <w:bCs/>
              </w:rPr>
              <w:fldChar w:fldCharType="begin"/>
            </w:r>
            <w:r>
              <w:rPr>
                <w:rFonts w:ascii="Arial Nova Light" w:eastAsia="Times New Roman" w:hAnsi="Arial Nova Light" w:cs="Times New Roman"/>
                <w:b/>
                <w:bCs/>
              </w:rPr>
              <w:instrText xml:space="preserve"> PAGE  \* Arabic  \* MERGEFORMAT </w:instrText>
            </w:r>
            <w:r>
              <w:rPr>
                <w:rFonts w:ascii="Arial Nova Light" w:eastAsia="Times New Roman" w:hAnsi="Arial Nova Light" w:cs="Times New Roman"/>
                <w:b/>
                <w:bCs/>
              </w:rPr>
              <w:fldChar w:fldCharType="separate"/>
            </w:r>
            <w:r>
              <w:rPr>
                <w:rFonts w:ascii="Arial Nova Light" w:eastAsia="Times New Roman" w:hAnsi="Arial Nova Light" w:cs="Times New Roman"/>
                <w:b/>
                <w:bCs/>
              </w:rPr>
              <w:t>1</w:t>
            </w:r>
            <w:r>
              <w:rPr>
                <w:rFonts w:ascii="Arial Nova Light" w:eastAsia="Times New Roman" w:hAnsi="Arial Nova Light" w:cs="Times New Roman"/>
                <w:b/>
                <w:bCs/>
              </w:rPr>
              <w:fldChar w:fldCharType="end"/>
            </w:r>
            <w:r>
              <w:rPr>
                <w:rFonts w:ascii="Arial Nova Light" w:eastAsia="Times New Roman" w:hAnsi="Arial Nova Light" w:cs="Times New Roman"/>
              </w:rPr>
              <w:t xml:space="preserve"> of </w:t>
            </w:r>
            <w:r>
              <w:rPr>
                <w:rFonts w:ascii="Arial Nova Light" w:eastAsia="Times New Roman" w:hAnsi="Arial Nova Light" w:cs="Times New Roman"/>
                <w:b/>
                <w:bCs/>
              </w:rPr>
              <w:fldChar w:fldCharType="begin"/>
            </w:r>
            <w:r>
              <w:rPr>
                <w:rFonts w:ascii="Arial Nova Light" w:eastAsia="Times New Roman" w:hAnsi="Arial Nova Light" w:cs="Times New Roman"/>
                <w:b/>
                <w:bCs/>
              </w:rPr>
              <w:instrText xml:space="preserve"> NUMPAGES  \* Arabic  \* MERGEFORMAT </w:instrText>
            </w:r>
            <w:r>
              <w:rPr>
                <w:rFonts w:ascii="Arial Nova Light" w:eastAsia="Times New Roman" w:hAnsi="Arial Nova Light" w:cs="Times New Roman"/>
                <w:b/>
                <w:bCs/>
              </w:rPr>
              <w:fldChar w:fldCharType="separate"/>
            </w:r>
            <w:r>
              <w:rPr>
                <w:rFonts w:ascii="Arial Nova Light" w:eastAsia="Times New Roman" w:hAnsi="Arial Nova Light" w:cs="Times New Roman"/>
                <w:b/>
                <w:bCs/>
              </w:rPr>
              <w:t>16</w:t>
            </w:r>
            <w:r>
              <w:rPr>
                <w:rFonts w:ascii="Arial Nova Light" w:eastAsia="Times New Roman" w:hAnsi="Arial Nova Light" w:cs="Times New Roman"/>
                <w:b/>
                <w:bCs/>
              </w:rPr>
              <w:fldChar w:fldCharType="end"/>
            </w:r>
          </w:sdtContent>
        </w:sdt>
      </w:sdtContent>
    </w:sdt>
  </w:p>
  <w:p w14:paraId="5B4FE275" w14:textId="77777777" w:rsidR="007F6073" w:rsidRDefault="00000000">
    <w:pPr>
      <w:pStyle w:val="Footer"/>
      <w:tabs>
        <w:tab w:val="center" w:pos="5040"/>
        <w:tab w:val="left" w:pos="8490"/>
        <w:tab w:val="right" w:pos="10080"/>
      </w:tabs>
      <w:jc w:val="center"/>
      <w:rPr>
        <w:rFonts w:ascii="Arial Nova Cond" w:hAnsi="Arial Nova Cond"/>
        <w:bCs/>
        <w:caps/>
        <w:sz w:val="20"/>
        <w:szCs w:val="20"/>
        <w:lang w:val="en-AU"/>
      </w:rPr>
    </w:pPr>
    <w:r>
      <w:rPr>
        <w:rFonts w:ascii="Arial Nova Cond" w:hAnsi="Arial Nova Cond"/>
        <w:bCs/>
        <w:caps/>
        <w:sz w:val="20"/>
        <w:szCs w:val="20"/>
        <w:lang w:val="en-CA"/>
      </w:rPr>
      <w:t>Copyright © Hansen | Confidential &amp; Proprietary Information</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7CC1C" w14:textId="77777777" w:rsidR="007F6073" w:rsidRDefault="007F6073"/>
  <w:p w14:paraId="132E1642" w14:textId="77777777" w:rsidR="007F6073" w:rsidRDefault="00000000">
    <w:r>
      <w:rPr>
        <w:noProof/>
      </w:rPr>
      <w:drawing>
        <wp:anchor distT="0" distB="0" distL="114300" distR="114300" simplePos="0" relativeHeight="251658242" behindDoc="0" locked="0" layoutInCell="1" allowOverlap="1" wp14:anchorId="52C8324F" wp14:editId="653EF1EA">
          <wp:simplePos x="0" y="0"/>
          <wp:positionH relativeFrom="margin">
            <wp:align>left</wp:align>
          </wp:positionH>
          <wp:positionV relativeFrom="paragraph">
            <wp:posOffset>54424</wp:posOffset>
          </wp:positionV>
          <wp:extent cx="1891665" cy="322580"/>
          <wp:effectExtent l="0" t="0" r="0" b="1270"/>
          <wp:wrapSquare wrapText="bothSides"/>
          <wp:docPr id="76" name="Picture 76" descr="A picture contain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hansen-secondary-logo-normal.png"/>
                  <pic:cNvPicPr/>
                </pic:nvPicPr>
                <pic:blipFill rotWithShape="1">
                  <a:blip r:embed="rId1" cstate="print">
                    <a:extLst>
                      <a:ext uri="{28A0092B-C50C-407E-A947-70E740481C1C}">
                        <a14:useLocalDpi xmlns:a14="http://schemas.microsoft.com/office/drawing/2010/main" val="0"/>
                      </a:ext>
                    </a:extLst>
                  </a:blip>
                  <a:srcRect b="31226"/>
                  <a:stretch/>
                </pic:blipFill>
                <pic:spPr bwMode="auto">
                  <a:xfrm>
                    <a:off x="0" y="0"/>
                    <a:ext cx="1891665" cy="3225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br w:type="textWrapping" w:clear="all"/>
    </w:r>
  </w:p>
  <w:p w14:paraId="6A188B69" w14:textId="77777777" w:rsidR="007F6073" w:rsidRDefault="007F6073">
    <w:pPr>
      <w:spacing w:before="1" w:line="240" w:lineRule="auto"/>
      <w:rPr>
        <w:rFonts w:ascii="Arial Nova" w:hAnsi="Arial Nova"/>
        <w:b/>
        <w:color w:val="636363"/>
        <w:sz w:val="18"/>
      </w:rPr>
    </w:pPr>
  </w:p>
  <w:p w14:paraId="4AA92624" w14:textId="77777777" w:rsidR="007F6073" w:rsidRDefault="00000000">
    <w:pPr>
      <w:spacing w:before="1" w:line="240" w:lineRule="auto"/>
      <w:rPr>
        <w:rFonts w:ascii="Arial Nova" w:hAnsi="Arial Nova"/>
        <w:b/>
        <w:sz w:val="18"/>
        <w:lang w:val="fr-FR"/>
      </w:rPr>
    </w:pPr>
    <w:r>
      <w:rPr>
        <w:rFonts w:ascii="Arial Nova" w:hAnsi="Arial Nova"/>
        <w:b/>
        <w:color w:val="636363"/>
        <w:sz w:val="18"/>
        <w:lang w:val="fr-FR"/>
      </w:rPr>
      <w:t>Copyright © Hansen Technologies</w:t>
    </w:r>
  </w:p>
  <w:p w14:paraId="56291B9A" w14:textId="77777777" w:rsidR="007F6073" w:rsidRDefault="00000000">
    <w:pPr>
      <w:spacing w:before="1" w:line="240" w:lineRule="auto"/>
      <w:rPr>
        <w:sz w:val="18"/>
        <w:lang w:val="fr-FR"/>
      </w:rPr>
    </w:pPr>
    <w:r>
      <w:rPr>
        <w:color w:val="636363"/>
        <w:sz w:val="18"/>
        <w:lang w:val="fr-FR"/>
      </w:rPr>
      <w:t>Hansen Technologies, Melbourne, Victoria, Australia.</w:t>
    </w:r>
  </w:p>
  <w:p w14:paraId="0214CBB3" w14:textId="77777777" w:rsidR="007F6073" w:rsidRDefault="00000000">
    <w:pPr>
      <w:spacing w:before="1" w:line="240" w:lineRule="auto"/>
      <w:ind w:right="441"/>
      <w:rPr>
        <w:color w:val="333333" w:themeColor="text2"/>
        <w:sz w:val="18"/>
      </w:rPr>
    </w:pPr>
    <w:r>
      <w:rPr>
        <w:color w:val="333333" w:themeColor="text2"/>
        <w:sz w:val="18"/>
      </w:rPr>
      <w:t>The Programs, which include both the software and documentation, contain information that is proprietary to Hansen Technologies</w:t>
    </w:r>
    <w:r>
      <w:rPr>
        <w:color w:val="333333" w:themeColor="text2"/>
        <w:spacing w:val="-9"/>
        <w:sz w:val="18"/>
      </w:rPr>
      <w:t xml:space="preserve">. </w:t>
    </w:r>
    <w:r>
      <w:rPr>
        <w:color w:val="333333" w:themeColor="text2"/>
        <w:sz w:val="18"/>
      </w:rPr>
      <w:t xml:space="preserve">and its licensors; they are provided under a license agreement containing restrictions on use and disclosure and are also protected by copyright and other intellectual and industrial property laws. Except </w:t>
    </w:r>
    <w:r>
      <w:rPr>
        <w:color w:val="333333" w:themeColor="text2"/>
        <w:spacing w:val="-3"/>
        <w:sz w:val="18"/>
      </w:rPr>
      <w:t xml:space="preserve">as </w:t>
    </w:r>
    <w:r>
      <w:rPr>
        <w:color w:val="333333" w:themeColor="text2"/>
        <w:sz w:val="18"/>
      </w:rPr>
      <w:t xml:space="preserve">may </w:t>
    </w:r>
    <w:r>
      <w:rPr>
        <w:color w:val="333333" w:themeColor="text2"/>
        <w:spacing w:val="-3"/>
        <w:sz w:val="18"/>
      </w:rPr>
      <w:t xml:space="preserve">be </w:t>
    </w:r>
    <w:r>
      <w:rPr>
        <w:color w:val="333333" w:themeColor="text2"/>
        <w:sz w:val="18"/>
      </w:rPr>
      <w:t xml:space="preserve">expressly permitted in such license agreement, no part of the Programs may </w:t>
    </w:r>
    <w:r>
      <w:rPr>
        <w:color w:val="333333" w:themeColor="text2"/>
        <w:spacing w:val="-3"/>
        <w:sz w:val="18"/>
      </w:rPr>
      <w:t xml:space="preserve">be </w:t>
    </w:r>
    <w:r>
      <w:rPr>
        <w:color w:val="333333" w:themeColor="text2"/>
        <w:sz w:val="18"/>
      </w:rPr>
      <w:t xml:space="preserve">reproduced or transmitted in any form or by any means, electronic or mechanical, for any purpose. Reverse engineering, disassembly, or de-compilation </w:t>
    </w:r>
    <w:r>
      <w:rPr>
        <w:color w:val="333333" w:themeColor="text2"/>
        <w:spacing w:val="-3"/>
        <w:sz w:val="18"/>
      </w:rPr>
      <w:t xml:space="preserve">of </w:t>
    </w:r>
    <w:r>
      <w:rPr>
        <w:color w:val="333333" w:themeColor="text2"/>
        <w:sz w:val="18"/>
      </w:rPr>
      <w:t xml:space="preserve">the Programs, except as expressly permitted by </w:t>
    </w:r>
    <w:r>
      <w:rPr>
        <w:color w:val="333333" w:themeColor="text2"/>
        <w:spacing w:val="-3"/>
        <w:sz w:val="18"/>
      </w:rPr>
      <w:t xml:space="preserve">law, </w:t>
    </w:r>
    <w:r>
      <w:rPr>
        <w:color w:val="333333" w:themeColor="text2"/>
        <w:sz w:val="18"/>
      </w:rPr>
      <w:t>is prohibited.</w:t>
    </w:r>
  </w:p>
  <w:p w14:paraId="72D742F4" w14:textId="77777777" w:rsidR="007F6073" w:rsidRDefault="00000000">
    <w:pPr>
      <w:spacing w:line="240" w:lineRule="auto"/>
      <w:rPr>
        <w:color w:val="333333" w:themeColor="text2"/>
        <w:sz w:val="18"/>
      </w:rPr>
    </w:pPr>
    <w:r>
      <w:rPr>
        <w:color w:val="333333" w:themeColor="text2"/>
        <w:sz w:val="18"/>
      </w:rPr>
      <w:t>The information contained in this document is subject to change without notice. If you find any problems in the documentation, please report them to us in writing. This document is not warranted to be error-free.</w:t>
    </w:r>
  </w:p>
  <w:p w14:paraId="47307BEF" w14:textId="77777777" w:rsidR="007F6073" w:rsidRDefault="007F6073">
    <w:pPr>
      <w:pStyle w:val="Footer"/>
    </w:pPr>
  </w:p>
  <w:p w14:paraId="2A0F62F5" w14:textId="77777777" w:rsidR="007F6073" w:rsidRDefault="007F6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46A53" w14:textId="77777777" w:rsidR="00E80526" w:rsidRDefault="00E80526">
      <w:pPr>
        <w:spacing w:after="0" w:line="240" w:lineRule="auto"/>
      </w:pPr>
      <w:r>
        <w:separator/>
      </w:r>
    </w:p>
    <w:p w14:paraId="210FCFAA" w14:textId="77777777" w:rsidR="00E80526" w:rsidRDefault="00E80526"/>
    <w:p w14:paraId="769E7A9B" w14:textId="77777777" w:rsidR="00E80526" w:rsidRDefault="00E80526"/>
    <w:p w14:paraId="38D281F2" w14:textId="77777777" w:rsidR="00E80526" w:rsidRDefault="00E80526"/>
    <w:p w14:paraId="7ED001A5" w14:textId="77777777" w:rsidR="00E80526" w:rsidRDefault="00E80526"/>
    <w:p w14:paraId="0CDC03E4" w14:textId="77777777" w:rsidR="00E80526" w:rsidRDefault="00E80526"/>
  </w:footnote>
  <w:footnote w:type="continuationSeparator" w:id="0">
    <w:p w14:paraId="34A97BC4" w14:textId="77777777" w:rsidR="00E80526" w:rsidRDefault="00E80526">
      <w:pPr>
        <w:spacing w:after="0" w:line="240" w:lineRule="auto"/>
      </w:pPr>
      <w:r>
        <w:continuationSeparator/>
      </w:r>
    </w:p>
    <w:p w14:paraId="64FDE724" w14:textId="77777777" w:rsidR="00E80526" w:rsidRDefault="00E80526"/>
    <w:p w14:paraId="7B994137" w14:textId="77777777" w:rsidR="00E80526" w:rsidRDefault="00E80526"/>
    <w:p w14:paraId="4167E5D3" w14:textId="77777777" w:rsidR="00E80526" w:rsidRDefault="00E80526"/>
    <w:p w14:paraId="49E89975" w14:textId="77777777" w:rsidR="00E80526" w:rsidRDefault="00E80526"/>
    <w:p w14:paraId="7B53F41E" w14:textId="77777777" w:rsidR="00E80526" w:rsidRDefault="00E80526"/>
  </w:footnote>
  <w:footnote w:type="continuationNotice" w:id="1">
    <w:p w14:paraId="6531EFBE" w14:textId="77777777" w:rsidR="00E80526" w:rsidRDefault="00E80526">
      <w:pPr>
        <w:spacing w:before="0" w:after="0" w:line="240" w:lineRule="auto"/>
      </w:pPr>
    </w:p>
    <w:p w14:paraId="47C73778" w14:textId="77777777" w:rsidR="00E80526" w:rsidRDefault="00E80526"/>
    <w:p w14:paraId="40A7E291" w14:textId="77777777" w:rsidR="00E80526" w:rsidRDefault="00E805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2EE8" w14:textId="77777777" w:rsidR="007F6073" w:rsidRDefault="007F60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3EE7" w14:textId="77777777" w:rsidR="007F6073" w:rsidRDefault="00000000">
    <w:pPr>
      <w:pStyle w:val="Header"/>
    </w:pPr>
    <w:r>
      <w:rPr>
        <w:noProof/>
      </w:rPr>
      <w:drawing>
        <wp:inline distT="0" distB="0" distL="0" distR="0" wp14:anchorId="1E9BA511" wp14:editId="54183A3E">
          <wp:extent cx="1454150" cy="256000"/>
          <wp:effectExtent l="0" t="0" r="0" b="0"/>
          <wp:docPr id="1551504636" name="Picture 155150463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nsen-primary-logo-normal.png"/>
                  <pic:cNvPicPr/>
                </pic:nvPicPr>
                <pic:blipFill>
                  <a:blip r:embed="rId1">
                    <a:extLst>
                      <a:ext uri="{28A0092B-C50C-407E-A947-70E740481C1C}">
                        <a14:useLocalDpi xmlns:a14="http://schemas.microsoft.com/office/drawing/2010/main" val="0"/>
                      </a:ext>
                    </a:extLst>
                  </a:blip>
                  <a:stretch>
                    <a:fillRect/>
                  </a:stretch>
                </pic:blipFill>
                <pic:spPr>
                  <a:xfrm>
                    <a:off x="0" y="0"/>
                    <a:ext cx="1516741" cy="26701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E826" w14:textId="77777777" w:rsidR="007F6073" w:rsidRDefault="00000000">
    <w:pPr>
      <w:pStyle w:val="Header"/>
    </w:pPr>
    <w:r>
      <w:rPr>
        <w:noProof/>
      </w:rPr>
      <w:drawing>
        <wp:anchor distT="0" distB="0" distL="114300" distR="114300" simplePos="0" relativeHeight="251658241" behindDoc="1" locked="0" layoutInCell="1" allowOverlap="1" wp14:anchorId="407F37C9" wp14:editId="6B8BFCFF">
          <wp:simplePos x="0" y="0"/>
          <wp:positionH relativeFrom="page">
            <wp:posOffset>-1959529</wp:posOffset>
          </wp:positionH>
          <wp:positionV relativeFrom="paragraph">
            <wp:posOffset>1506772</wp:posOffset>
          </wp:positionV>
          <wp:extent cx="11761813" cy="7824873"/>
          <wp:effectExtent l="6350" t="0" r="0" b="0"/>
          <wp:wrapNone/>
          <wp:docPr id="9124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5400000">
                    <a:off x="0" y="0"/>
                    <a:ext cx="11786415" cy="7841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1" locked="0" layoutInCell="1" allowOverlap="1" wp14:anchorId="7475C0D0" wp14:editId="6472E744">
          <wp:simplePos x="0" y="0"/>
          <wp:positionH relativeFrom="column">
            <wp:posOffset>5316</wp:posOffset>
          </wp:positionH>
          <wp:positionV relativeFrom="page">
            <wp:posOffset>563526</wp:posOffset>
          </wp:positionV>
          <wp:extent cx="2002155" cy="358140"/>
          <wp:effectExtent l="0" t="0" r="0" b="3810"/>
          <wp:wrapTight wrapText="bothSides">
            <wp:wrapPolygon edited="0">
              <wp:start x="0" y="0"/>
              <wp:lineTo x="0" y="20681"/>
              <wp:lineTo x="12126" y="20681"/>
              <wp:lineTo x="21168" y="20681"/>
              <wp:lineTo x="21168" y="0"/>
              <wp:lineTo x="0" y="0"/>
            </wp:wrapPolygon>
          </wp:wrapTight>
          <wp:docPr id="1651180149" name="Picture 1651180149"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ansen-secondary-logo-normal.png"/>
                  <pic:cNvPicPr/>
                </pic:nvPicPr>
                <pic:blipFill rotWithShape="1">
                  <a:blip r:embed="rId2" cstate="print">
                    <a:extLst>
                      <a:ext uri="{28A0092B-C50C-407E-A947-70E740481C1C}">
                        <a14:useLocalDpi xmlns:a14="http://schemas.microsoft.com/office/drawing/2010/main" val="0"/>
                      </a:ext>
                    </a:extLst>
                  </a:blip>
                  <a:srcRect b="27787"/>
                  <a:stretch/>
                </pic:blipFill>
                <pic:spPr bwMode="auto">
                  <a:xfrm>
                    <a:off x="0" y="0"/>
                    <a:ext cx="2002155" cy="35814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0C28" w14:textId="77777777" w:rsidR="007F6073" w:rsidRDefault="007F607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D0F6" w14:textId="77777777" w:rsidR="007F6073" w:rsidRDefault="00000000">
    <w:pPr>
      <w:pStyle w:val="Header"/>
    </w:pPr>
    <w:r>
      <w:rPr>
        <w:noProof/>
      </w:rPr>
      <w:drawing>
        <wp:anchor distT="0" distB="0" distL="114300" distR="114300" simplePos="0" relativeHeight="251658244" behindDoc="1" locked="0" layoutInCell="1" allowOverlap="1" wp14:anchorId="67E6E932" wp14:editId="208D0F70">
          <wp:simplePos x="0" y="0"/>
          <wp:positionH relativeFrom="margin">
            <wp:align>right</wp:align>
          </wp:positionH>
          <wp:positionV relativeFrom="page">
            <wp:posOffset>381000</wp:posOffset>
          </wp:positionV>
          <wp:extent cx="1051560" cy="184785"/>
          <wp:effectExtent l="0" t="0" r="0" b="5715"/>
          <wp:wrapTight wrapText="bothSides">
            <wp:wrapPolygon edited="0">
              <wp:start x="0" y="0"/>
              <wp:lineTo x="0" y="20041"/>
              <wp:lineTo x="21130" y="20041"/>
              <wp:lineTo x="21130" y="0"/>
              <wp:lineTo x="0" y="0"/>
            </wp:wrapPolygon>
          </wp:wrapTight>
          <wp:docPr id="742174072" name="Picture 74217407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nsen-primary-logo-normal.png"/>
                  <pic:cNvPicPr/>
                </pic:nvPicPr>
                <pic:blipFill>
                  <a:blip r:embed="rId1">
                    <a:extLst>
                      <a:ext uri="{28A0092B-C50C-407E-A947-70E740481C1C}">
                        <a14:useLocalDpi xmlns:a14="http://schemas.microsoft.com/office/drawing/2010/main" val="0"/>
                      </a:ext>
                    </a:extLst>
                  </a:blip>
                  <a:stretch>
                    <a:fillRect/>
                  </a:stretch>
                </pic:blipFill>
                <pic:spPr>
                  <a:xfrm>
                    <a:off x="0" y="0"/>
                    <a:ext cx="1051560" cy="18478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8C51" w14:textId="77777777" w:rsidR="007F6073" w:rsidRDefault="007F607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0EE29" w14:textId="3443C342" w:rsidR="007F6073" w:rsidRDefault="007F607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38AA3" w14:textId="77777777" w:rsidR="007F6073" w:rsidRDefault="00000000">
    <w:pPr>
      <w:pStyle w:val="Header"/>
    </w:pPr>
    <w:r>
      <w:rPr>
        <w:noProof/>
      </w:rPr>
      <w:drawing>
        <wp:anchor distT="0" distB="0" distL="114300" distR="114300" simplePos="0" relativeHeight="251658240" behindDoc="1" locked="0" layoutInCell="1" allowOverlap="1" wp14:anchorId="271F17B6" wp14:editId="6EDD6C31">
          <wp:simplePos x="0" y="0"/>
          <wp:positionH relativeFrom="margin">
            <wp:align>right</wp:align>
          </wp:positionH>
          <wp:positionV relativeFrom="page">
            <wp:posOffset>381000</wp:posOffset>
          </wp:positionV>
          <wp:extent cx="1051560" cy="184785"/>
          <wp:effectExtent l="0" t="0" r="0" b="5715"/>
          <wp:wrapTight wrapText="bothSides">
            <wp:wrapPolygon edited="0">
              <wp:start x="0" y="0"/>
              <wp:lineTo x="0" y="20041"/>
              <wp:lineTo x="21130" y="20041"/>
              <wp:lineTo x="21130" y="0"/>
              <wp:lineTo x="0" y="0"/>
            </wp:wrapPolygon>
          </wp:wrapTight>
          <wp:docPr id="2040863700" name="Picture 204086370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ansen-primary-logo-normal.png"/>
                  <pic:cNvPicPr/>
                </pic:nvPicPr>
                <pic:blipFill>
                  <a:blip r:embed="rId1">
                    <a:extLst>
                      <a:ext uri="{28A0092B-C50C-407E-A947-70E740481C1C}">
                        <a14:useLocalDpi xmlns:a14="http://schemas.microsoft.com/office/drawing/2010/main" val="0"/>
                      </a:ext>
                    </a:extLst>
                  </a:blip>
                  <a:stretch>
                    <a:fillRect/>
                  </a:stretch>
                </pic:blipFill>
                <pic:spPr>
                  <a:xfrm>
                    <a:off x="0" y="0"/>
                    <a:ext cx="1051560" cy="184785"/>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E442" w14:textId="77777777" w:rsidR="007F6073" w:rsidRDefault="007F607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F4C4" w14:textId="77777777" w:rsidR="007F6073" w:rsidRDefault="007F6073">
    <w:pPr>
      <w:spacing w:before="240" w:after="0" w:line="240" w:lineRule="auto"/>
      <w:rPr>
        <w:sz w:val="20"/>
        <w:szCs w:val="20"/>
      </w:rPr>
    </w:pPr>
  </w:p>
  <w:p w14:paraId="19B8E37D" w14:textId="77777777" w:rsidR="007F6073" w:rsidRDefault="007F6073">
    <w:pPr>
      <w:spacing w:after="120" w:line="240" w:lineRule="aut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FDA0EA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976F00"/>
    <w:multiLevelType w:val="multilevel"/>
    <w:tmpl w:val="A3B283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C9D1E35"/>
    <w:multiLevelType w:val="multilevel"/>
    <w:tmpl w:val="2530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02803"/>
    <w:multiLevelType w:val="multilevel"/>
    <w:tmpl w:val="68D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873A1"/>
    <w:multiLevelType w:val="hybridMultilevel"/>
    <w:tmpl w:val="3F00672C"/>
    <w:lvl w:ilvl="0" w:tplc="59B27B82">
      <w:start w:val="1"/>
      <w:numFmt w:val="bullet"/>
      <w:pStyle w:val="Bullet-2ndlevel"/>
      <w:lvlText w:val=""/>
      <w:lvlJc w:val="left"/>
      <w:pPr>
        <w:ind w:left="1080" w:hanging="360"/>
      </w:pPr>
      <w:rPr>
        <w:rFonts w:ascii="Wingdings" w:hAnsi="Wingdings" w:cs="Wingdings" w:hint="default"/>
      </w:rPr>
    </w:lvl>
    <w:lvl w:ilvl="1" w:tplc="1A404B10">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0467C90"/>
    <w:multiLevelType w:val="multilevel"/>
    <w:tmpl w:val="E8440C26"/>
    <w:lvl w:ilvl="0">
      <w:start w:val="2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1" w15:restartNumberingAfterBreak="0">
    <w:nsid w:val="106D51A7"/>
    <w:multiLevelType w:val="multilevel"/>
    <w:tmpl w:val="9184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72718C"/>
    <w:multiLevelType w:val="multilevel"/>
    <w:tmpl w:val="784691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635115C"/>
    <w:multiLevelType w:val="hybridMultilevel"/>
    <w:tmpl w:val="B32ACE48"/>
    <w:lvl w:ilvl="0" w:tplc="2048E66A">
      <w:start w:val="1"/>
      <w:numFmt w:val="bullet"/>
      <w:pStyle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183E35C2"/>
    <w:multiLevelType w:val="hybridMultilevel"/>
    <w:tmpl w:val="0AB4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BE58DA"/>
    <w:multiLevelType w:val="multilevel"/>
    <w:tmpl w:val="B752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C24C2"/>
    <w:multiLevelType w:val="hybridMultilevel"/>
    <w:tmpl w:val="D11CB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B656F2"/>
    <w:multiLevelType w:val="multilevel"/>
    <w:tmpl w:val="1C9A97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EE15F98"/>
    <w:multiLevelType w:val="multilevel"/>
    <w:tmpl w:val="74BE22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71223C8"/>
    <w:multiLevelType w:val="multilevel"/>
    <w:tmpl w:val="BB7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421BB"/>
    <w:multiLevelType w:val="multilevel"/>
    <w:tmpl w:val="6DDC0766"/>
    <w:lvl w:ilvl="0">
      <w:start w:val="21"/>
      <w:numFmt w:val="decimal"/>
      <w:lvlText w:val="%1"/>
      <w:lvlJc w:val="left"/>
      <w:pPr>
        <w:ind w:left="590" w:hanging="5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1" w15:restartNumberingAfterBreak="0">
    <w:nsid w:val="2D862AAA"/>
    <w:multiLevelType w:val="hybridMultilevel"/>
    <w:tmpl w:val="12A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783544"/>
    <w:multiLevelType w:val="hybridMultilevel"/>
    <w:tmpl w:val="5B621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E702E3"/>
    <w:multiLevelType w:val="multilevel"/>
    <w:tmpl w:val="BA7E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E4762F"/>
    <w:multiLevelType w:val="hybridMultilevel"/>
    <w:tmpl w:val="5B7C0590"/>
    <w:lvl w:ilvl="0" w:tplc="6A48DAC6">
      <w:start w:val="1"/>
      <w:numFmt w:val="bullet"/>
      <w:pStyle w:val="Bullet-4thlevel"/>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5CF7992"/>
    <w:multiLevelType w:val="hybridMultilevel"/>
    <w:tmpl w:val="501E2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BE5245"/>
    <w:multiLevelType w:val="hybridMultilevel"/>
    <w:tmpl w:val="A036B3A2"/>
    <w:lvl w:ilvl="0" w:tplc="FA18F8E4">
      <w:start w:val="1"/>
      <w:numFmt w:val="bullet"/>
      <w:pStyle w:val="ListParagraph"/>
      <w:lvlText w:val=""/>
      <w:lvlJc w:val="left"/>
      <w:pPr>
        <w:ind w:left="720" w:hanging="360"/>
      </w:pPr>
      <w:rPr>
        <w:rFonts w:ascii="Symbol" w:hAnsi="Symbol" w:cs="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444D0922"/>
    <w:multiLevelType w:val="multilevel"/>
    <w:tmpl w:val="164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55B95"/>
    <w:multiLevelType w:val="hybridMultilevel"/>
    <w:tmpl w:val="76BED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564135"/>
    <w:multiLevelType w:val="multilevel"/>
    <w:tmpl w:val="A99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F61A6"/>
    <w:multiLevelType w:val="multilevel"/>
    <w:tmpl w:val="4FCE29EA"/>
    <w:lvl w:ilvl="0">
      <w:start w:val="23"/>
      <w:numFmt w:val="decimal"/>
      <w:lvlText w:val="%1."/>
      <w:lvlJc w:val="left"/>
      <w:pPr>
        <w:ind w:left="700" w:hanging="7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1" w15:restartNumberingAfterBreak="0">
    <w:nsid w:val="51002112"/>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5C4A39B1"/>
    <w:multiLevelType w:val="multilevel"/>
    <w:tmpl w:val="50145F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5E26292A"/>
    <w:multiLevelType w:val="multilevel"/>
    <w:tmpl w:val="E0047DD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C00000"/>
        <w:sz w:val="32"/>
        <w:szCs w:val="3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18F06F6"/>
    <w:multiLevelType w:val="multilevel"/>
    <w:tmpl w:val="5A7C9A32"/>
    <w:lvl w:ilvl="0">
      <w:start w:val="21"/>
      <w:numFmt w:val="decimal"/>
      <w:lvlText w:val="%1."/>
      <w:lvlJc w:val="left"/>
      <w:pPr>
        <w:ind w:left="700" w:hanging="7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5" w15:restartNumberingAfterBreak="0">
    <w:nsid w:val="61D0358A"/>
    <w:multiLevelType w:val="hybridMultilevel"/>
    <w:tmpl w:val="BD7A650E"/>
    <w:lvl w:ilvl="0" w:tplc="5A84E60A">
      <w:start w:val="1"/>
      <w:numFmt w:val="bullet"/>
      <w:pStyle w:val="Bullet-3rdlevel"/>
      <w:lvlText w:val="o"/>
      <w:lvlJc w:val="left"/>
      <w:pPr>
        <w:ind w:left="8280" w:hanging="360"/>
      </w:pPr>
      <w:rPr>
        <w:rFonts w:ascii="Courier New" w:hAnsi="Courier New" w:cs="Courier New" w:hint="default"/>
      </w:rPr>
    </w:lvl>
    <w:lvl w:ilvl="1" w:tplc="08090003">
      <w:start w:val="1"/>
      <w:numFmt w:val="bullet"/>
      <w:lvlText w:val="o"/>
      <w:lvlJc w:val="left"/>
      <w:pPr>
        <w:ind w:left="9000" w:hanging="360"/>
      </w:pPr>
      <w:rPr>
        <w:rFonts w:ascii="Courier New" w:hAnsi="Courier New" w:cs="Courier New" w:hint="default"/>
      </w:rPr>
    </w:lvl>
    <w:lvl w:ilvl="2" w:tplc="08090005" w:tentative="1">
      <w:start w:val="1"/>
      <w:numFmt w:val="bullet"/>
      <w:lvlText w:val=""/>
      <w:lvlJc w:val="left"/>
      <w:pPr>
        <w:ind w:left="9720" w:hanging="360"/>
      </w:pPr>
      <w:rPr>
        <w:rFonts w:ascii="Wingdings" w:hAnsi="Wingdings" w:hint="default"/>
      </w:rPr>
    </w:lvl>
    <w:lvl w:ilvl="3" w:tplc="08090001" w:tentative="1">
      <w:start w:val="1"/>
      <w:numFmt w:val="bullet"/>
      <w:lvlText w:val=""/>
      <w:lvlJc w:val="left"/>
      <w:pPr>
        <w:ind w:left="10440" w:hanging="360"/>
      </w:pPr>
      <w:rPr>
        <w:rFonts w:ascii="Symbol" w:hAnsi="Symbol" w:hint="default"/>
      </w:rPr>
    </w:lvl>
    <w:lvl w:ilvl="4" w:tplc="08090003" w:tentative="1">
      <w:start w:val="1"/>
      <w:numFmt w:val="bullet"/>
      <w:lvlText w:val="o"/>
      <w:lvlJc w:val="left"/>
      <w:pPr>
        <w:ind w:left="11160" w:hanging="360"/>
      </w:pPr>
      <w:rPr>
        <w:rFonts w:ascii="Courier New" w:hAnsi="Courier New" w:cs="Courier New" w:hint="default"/>
      </w:rPr>
    </w:lvl>
    <w:lvl w:ilvl="5" w:tplc="08090005" w:tentative="1">
      <w:start w:val="1"/>
      <w:numFmt w:val="bullet"/>
      <w:lvlText w:val=""/>
      <w:lvlJc w:val="left"/>
      <w:pPr>
        <w:ind w:left="11880" w:hanging="360"/>
      </w:pPr>
      <w:rPr>
        <w:rFonts w:ascii="Wingdings" w:hAnsi="Wingdings" w:hint="default"/>
      </w:rPr>
    </w:lvl>
    <w:lvl w:ilvl="6" w:tplc="08090001" w:tentative="1">
      <w:start w:val="1"/>
      <w:numFmt w:val="bullet"/>
      <w:lvlText w:val=""/>
      <w:lvlJc w:val="left"/>
      <w:pPr>
        <w:ind w:left="12600" w:hanging="360"/>
      </w:pPr>
      <w:rPr>
        <w:rFonts w:ascii="Symbol" w:hAnsi="Symbol" w:hint="default"/>
      </w:rPr>
    </w:lvl>
    <w:lvl w:ilvl="7" w:tplc="08090003" w:tentative="1">
      <w:start w:val="1"/>
      <w:numFmt w:val="bullet"/>
      <w:lvlText w:val="o"/>
      <w:lvlJc w:val="left"/>
      <w:pPr>
        <w:ind w:left="13320" w:hanging="360"/>
      </w:pPr>
      <w:rPr>
        <w:rFonts w:ascii="Courier New" w:hAnsi="Courier New" w:cs="Courier New" w:hint="default"/>
      </w:rPr>
    </w:lvl>
    <w:lvl w:ilvl="8" w:tplc="08090005" w:tentative="1">
      <w:start w:val="1"/>
      <w:numFmt w:val="bullet"/>
      <w:lvlText w:val=""/>
      <w:lvlJc w:val="left"/>
      <w:pPr>
        <w:ind w:left="14040" w:hanging="360"/>
      </w:pPr>
      <w:rPr>
        <w:rFonts w:ascii="Wingdings" w:hAnsi="Wingdings" w:hint="default"/>
      </w:rPr>
    </w:lvl>
  </w:abstractNum>
  <w:abstractNum w:abstractNumId="36" w15:restartNumberingAfterBreak="0">
    <w:nsid w:val="67D06054"/>
    <w:multiLevelType w:val="multilevel"/>
    <w:tmpl w:val="7EA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233050"/>
    <w:multiLevelType w:val="multilevel"/>
    <w:tmpl w:val="33B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04D8B"/>
    <w:multiLevelType w:val="multilevel"/>
    <w:tmpl w:val="1E8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517C7"/>
    <w:multiLevelType w:val="multilevel"/>
    <w:tmpl w:val="B0E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63C9E"/>
    <w:multiLevelType w:val="multilevel"/>
    <w:tmpl w:val="79E00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5137B"/>
    <w:multiLevelType w:val="hybridMultilevel"/>
    <w:tmpl w:val="273461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112FB2"/>
    <w:multiLevelType w:val="multilevel"/>
    <w:tmpl w:val="AD1EE546"/>
    <w:lvl w:ilvl="0">
      <w:start w:val="1"/>
      <w:numFmt w:val="decimal"/>
      <w:lvlText w:val="%1."/>
      <w:lvlJc w:val="left"/>
      <w:pPr>
        <w:ind w:left="360" w:hanging="360"/>
      </w:pPr>
      <w:rPr>
        <w:rFonts w:hint="default"/>
        <w:sz w:val="36"/>
        <w:szCs w:val="36"/>
      </w:rPr>
    </w:lvl>
    <w:lvl w:ilvl="1">
      <w:start w:val="1"/>
      <w:numFmt w:val="none"/>
      <w:lvlText w:val="4.1"/>
      <w:lvlJc w:val="left"/>
      <w:pPr>
        <w:ind w:left="792" w:hanging="432"/>
      </w:pPr>
      <w:rPr>
        <w:rFonts w:hint="default"/>
        <w:sz w:val="32"/>
        <w:szCs w:val="32"/>
      </w:rPr>
    </w:lvl>
    <w:lvl w:ilvl="2">
      <w:start w:val="1"/>
      <w:numFmt w:val="decimal"/>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AC77E81"/>
    <w:multiLevelType w:val="multilevel"/>
    <w:tmpl w:val="E17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749626">
    <w:abstractNumId w:val="9"/>
  </w:num>
  <w:num w:numId="2" w16cid:durableId="2111197441">
    <w:abstractNumId w:val="35"/>
  </w:num>
  <w:num w:numId="3" w16cid:durableId="1827472122">
    <w:abstractNumId w:val="24"/>
  </w:num>
  <w:num w:numId="4" w16cid:durableId="1734817958">
    <w:abstractNumId w:val="13"/>
  </w:num>
  <w:num w:numId="5" w16cid:durableId="71708999">
    <w:abstractNumId w:val="26"/>
  </w:num>
  <w:num w:numId="6" w16cid:durableId="1301110385">
    <w:abstractNumId w:val="0"/>
  </w:num>
  <w:num w:numId="7" w16cid:durableId="1723675599">
    <w:abstractNumId w:val="1"/>
  </w:num>
  <w:num w:numId="8" w16cid:durableId="1802528440">
    <w:abstractNumId w:val="2"/>
  </w:num>
  <w:num w:numId="9" w16cid:durableId="455106752">
    <w:abstractNumId w:val="4"/>
  </w:num>
  <w:num w:numId="10" w16cid:durableId="462046129">
    <w:abstractNumId w:val="5"/>
  </w:num>
  <w:num w:numId="11" w16cid:durableId="553156568">
    <w:abstractNumId w:val="3"/>
  </w:num>
  <w:num w:numId="12" w16cid:durableId="224801483">
    <w:abstractNumId w:val="4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50110057">
    <w:abstractNumId w:val="42"/>
  </w:num>
  <w:num w:numId="14" w16cid:durableId="1533372485">
    <w:abstractNumId w:val="38"/>
  </w:num>
  <w:num w:numId="15" w16cid:durableId="987049493">
    <w:abstractNumId w:val="36"/>
  </w:num>
  <w:num w:numId="16" w16cid:durableId="485123579">
    <w:abstractNumId w:val="40"/>
  </w:num>
  <w:num w:numId="17" w16cid:durableId="1887446248">
    <w:abstractNumId w:val="14"/>
  </w:num>
  <w:num w:numId="18" w16cid:durableId="1065952896">
    <w:abstractNumId w:val="28"/>
  </w:num>
  <w:num w:numId="19" w16cid:durableId="2004042770">
    <w:abstractNumId w:val="21"/>
  </w:num>
  <w:num w:numId="20" w16cid:durableId="1546871198">
    <w:abstractNumId w:val="42"/>
    <w:lvlOverride w:ilvl="0">
      <w:startOverride w:val="25"/>
    </w:lvlOverride>
    <w:lvlOverride w:ilvl="1">
      <w:startOverride w:val="1"/>
    </w:lvlOverride>
    <w:lvlOverride w:ilvl="2">
      <w:startOverride w:val="1"/>
    </w:lvlOverride>
    <w:lvlOverride w:ilvl="3">
      <w:startOverride w:val="6"/>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1361278">
    <w:abstractNumId w:val="25"/>
  </w:num>
  <w:num w:numId="22" w16cid:durableId="7873792">
    <w:abstractNumId w:val="43"/>
  </w:num>
  <w:num w:numId="23" w16cid:durableId="1768235783">
    <w:abstractNumId w:val="23"/>
  </w:num>
  <w:num w:numId="24" w16cid:durableId="1137914201">
    <w:abstractNumId w:val="7"/>
  </w:num>
  <w:num w:numId="25" w16cid:durableId="573585009">
    <w:abstractNumId w:val="39"/>
  </w:num>
  <w:num w:numId="26" w16cid:durableId="2117409951">
    <w:abstractNumId w:val="27"/>
  </w:num>
  <w:num w:numId="27" w16cid:durableId="745151795">
    <w:abstractNumId w:val="19"/>
  </w:num>
  <w:num w:numId="28" w16cid:durableId="894044687">
    <w:abstractNumId w:val="37"/>
  </w:num>
  <w:num w:numId="29" w16cid:durableId="1000887549">
    <w:abstractNumId w:val="8"/>
  </w:num>
  <w:num w:numId="30" w16cid:durableId="412358073">
    <w:abstractNumId w:val="29"/>
  </w:num>
  <w:num w:numId="31" w16cid:durableId="1720203597">
    <w:abstractNumId w:val="41"/>
  </w:num>
  <w:num w:numId="32" w16cid:durableId="1851481341">
    <w:abstractNumId w:val="4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80002749">
    <w:abstractNumId w:val="42"/>
    <w:lvlOverride w:ilvl="0">
      <w:startOverride w:val="1"/>
    </w:lvlOverride>
    <w:lvlOverride w:ilvl="1">
      <w:startOverride w:val="4"/>
    </w:lvlOverride>
    <w:lvlOverride w:ilvl="2">
      <w:startOverride w:val="1"/>
    </w:lvlOverride>
    <w:lvlOverride w:ilvl="3">
      <w:startOverride w:val="6"/>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99942101">
    <w:abstractNumId w:val="11"/>
  </w:num>
  <w:num w:numId="35" w16cid:durableId="1229611748">
    <w:abstractNumId w:val="16"/>
  </w:num>
  <w:num w:numId="36" w16cid:durableId="2091658717">
    <w:abstractNumId w:val="42"/>
    <w:lvlOverride w:ilvl="0">
      <w:startOverride w:val="10"/>
    </w:lvlOverride>
    <w:lvlOverride w:ilvl="1">
      <w:startOverride w:val="4"/>
    </w:lvlOverride>
    <w:lvlOverride w:ilvl="2">
      <w:startOverride w:val="1"/>
    </w:lvlOverride>
    <w:lvlOverride w:ilvl="3">
      <w:startOverride w:val="6"/>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37127938">
    <w:abstractNumId w:val="22"/>
  </w:num>
  <w:num w:numId="38" w16cid:durableId="2127771502">
    <w:abstractNumId w:val="15"/>
  </w:num>
  <w:num w:numId="39" w16cid:durableId="357783686">
    <w:abstractNumId w:val="42"/>
    <w:lvlOverride w:ilvl="0">
      <w:startOverride w:val="10"/>
    </w:lvlOverride>
    <w:lvlOverride w:ilvl="1">
      <w:startOverride w:val="4"/>
    </w:lvlOverride>
    <w:lvlOverride w:ilvl="2">
      <w:startOverride w:val="1"/>
    </w:lvlOverride>
    <w:lvlOverride w:ilvl="3">
      <w:startOverride w:val="6"/>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12997620">
    <w:abstractNumId w:val="12"/>
  </w:num>
  <w:num w:numId="41" w16cid:durableId="1662854476">
    <w:abstractNumId w:val="17"/>
  </w:num>
  <w:num w:numId="42" w16cid:durableId="757484155">
    <w:abstractNumId w:val="6"/>
  </w:num>
  <w:num w:numId="43" w16cid:durableId="482506994">
    <w:abstractNumId w:val="18"/>
  </w:num>
  <w:num w:numId="44" w16cid:durableId="1169632744">
    <w:abstractNumId w:val="32"/>
  </w:num>
  <w:num w:numId="45" w16cid:durableId="1197699788">
    <w:abstractNumId w:val="31"/>
  </w:num>
  <w:num w:numId="46" w16cid:durableId="541209765">
    <w:abstractNumId w:val="20"/>
  </w:num>
  <w:num w:numId="47" w16cid:durableId="2131896966">
    <w:abstractNumId w:val="34"/>
  </w:num>
  <w:num w:numId="48" w16cid:durableId="1051421819">
    <w:abstractNumId w:val="10"/>
  </w:num>
  <w:num w:numId="49" w16cid:durableId="1312557874">
    <w:abstractNumId w:val="30"/>
  </w:num>
  <w:num w:numId="50" w16cid:durableId="181869751">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dit="readOnly" w:formatting="1"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FD"/>
    <w:rsid w:val="0000055D"/>
    <w:rsid w:val="00000648"/>
    <w:rsid w:val="000013F2"/>
    <w:rsid w:val="000029EF"/>
    <w:rsid w:val="000030FD"/>
    <w:rsid w:val="00003832"/>
    <w:rsid w:val="00003F55"/>
    <w:rsid w:val="000040AD"/>
    <w:rsid w:val="00004207"/>
    <w:rsid w:val="00005039"/>
    <w:rsid w:val="000059E0"/>
    <w:rsid w:val="00005E92"/>
    <w:rsid w:val="00005FF3"/>
    <w:rsid w:val="0000616E"/>
    <w:rsid w:val="000063F7"/>
    <w:rsid w:val="00006A75"/>
    <w:rsid w:val="00006E2E"/>
    <w:rsid w:val="000101B4"/>
    <w:rsid w:val="00010227"/>
    <w:rsid w:val="00010601"/>
    <w:rsid w:val="00010716"/>
    <w:rsid w:val="0001071C"/>
    <w:rsid w:val="00010E79"/>
    <w:rsid w:val="000110BB"/>
    <w:rsid w:val="0001111B"/>
    <w:rsid w:val="00012512"/>
    <w:rsid w:val="00012C72"/>
    <w:rsid w:val="00012CA4"/>
    <w:rsid w:val="00013A54"/>
    <w:rsid w:val="000149C2"/>
    <w:rsid w:val="00014C93"/>
    <w:rsid w:val="0001514E"/>
    <w:rsid w:val="00015675"/>
    <w:rsid w:val="000156D8"/>
    <w:rsid w:val="00016CF2"/>
    <w:rsid w:val="00017373"/>
    <w:rsid w:val="000175EE"/>
    <w:rsid w:val="00017FE1"/>
    <w:rsid w:val="00020575"/>
    <w:rsid w:val="00021677"/>
    <w:rsid w:val="00021956"/>
    <w:rsid w:val="00022077"/>
    <w:rsid w:val="00022463"/>
    <w:rsid w:val="0002399A"/>
    <w:rsid w:val="00023B43"/>
    <w:rsid w:val="00023D60"/>
    <w:rsid w:val="00023F73"/>
    <w:rsid w:val="000246C0"/>
    <w:rsid w:val="0002498E"/>
    <w:rsid w:val="00024AAF"/>
    <w:rsid w:val="00024C81"/>
    <w:rsid w:val="00024C96"/>
    <w:rsid w:val="000257DB"/>
    <w:rsid w:val="000258C0"/>
    <w:rsid w:val="00025C71"/>
    <w:rsid w:val="000268BC"/>
    <w:rsid w:val="00026C0A"/>
    <w:rsid w:val="00026C2E"/>
    <w:rsid w:val="00026F9C"/>
    <w:rsid w:val="000301B5"/>
    <w:rsid w:val="000309D5"/>
    <w:rsid w:val="00030C2C"/>
    <w:rsid w:val="00030F3A"/>
    <w:rsid w:val="00031160"/>
    <w:rsid w:val="00031844"/>
    <w:rsid w:val="000322BC"/>
    <w:rsid w:val="000322C0"/>
    <w:rsid w:val="000322F8"/>
    <w:rsid w:val="00032488"/>
    <w:rsid w:val="00032785"/>
    <w:rsid w:val="00032D46"/>
    <w:rsid w:val="00032F6D"/>
    <w:rsid w:val="00033EA6"/>
    <w:rsid w:val="00033EC0"/>
    <w:rsid w:val="0003403D"/>
    <w:rsid w:val="00035730"/>
    <w:rsid w:val="00035D71"/>
    <w:rsid w:val="00035DAF"/>
    <w:rsid w:val="000363D7"/>
    <w:rsid w:val="00036BDE"/>
    <w:rsid w:val="00036D35"/>
    <w:rsid w:val="00037005"/>
    <w:rsid w:val="0003705A"/>
    <w:rsid w:val="00037C0E"/>
    <w:rsid w:val="00037FB9"/>
    <w:rsid w:val="00040CA3"/>
    <w:rsid w:val="00040CBB"/>
    <w:rsid w:val="00041BEF"/>
    <w:rsid w:val="00043F84"/>
    <w:rsid w:val="000442C2"/>
    <w:rsid w:val="00044A65"/>
    <w:rsid w:val="00044A7E"/>
    <w:rsid w:val="00044ABA"/>
    <w:rsid w:val="0004505B"/>
    <w:rsid w:val="00045079"/>
    <w:rsid w:val="000450DF"/>
    <w:rsid w:val="00045407"/>
    <w:rsid w:val="000465FA"/>
    <w:rsid w:val="00046A5A"/>
    <w:rsid w:val="00046F26"/>
    <w:rsid w:val="000479EA"/>
    <w:rsid w:val="000523CB"/>
    <w:rsid w:val="0005284B"/>
    <w:rsid w:val="00053012"/>
    <w:rsid w:val="0005315E"/>
    <w:rsid w:val="000532E8"/>
    <w:rsid w:val="00053DA5"/>
    <w:rsid w:val="0005470B"/>
    <w:rsid w:val="000559A6"/>
    <w:rsid w:val="00055C6E"/>
    <w:rsid w:val="00055E17"/>
    <w:rsid w:val="00055F2B"/>
    <w:rsid w:val="0005653A"/>
    <w:rsid w:val="000574BB"/>
    <w:rsid w:val="000612ED"/>
    <w:rsid w:val="00061CA4"/>
    <w:rsid w:val="00062245"/>
    <w:rsid w:val="00062AA1"/>
    <w:rsid w:val="00062CA2"/>
    <w:rsid w:val="00062CFA"/>
    <w:rsid w:val="00062F30"/>
    <w:rsid w:val="00062FE6"/>
    <w:rsid w:val="00063636"/>
    <w:rsid w:val="000636B9"/>
    <w:rsid w:val="00063CA1"/>
    <w:rsid w:val="00063DD6"/>
    <w:rsid w:val="0006467A"/>
    <w:rsid w:val="00064F78"/>
    <w:rsid w:val="00065BA0"/>
    <w:rsid w:val="00065E76"/>
    <w:rsid w:val="00066322"/>
    <w:rsid w:val="00066A8D"/>
    <w:rsid w:val="0006724D"/>
    <w:rsid w:val="000678FF"/>
    <w:rsid w:val="000700AF"/>
    <w:rsid w:val="00070DAE"/>
    <w:rsid w:val="00070FC2"/>
    <w:rsid w:val="00070FDF"/>
    <w:rsid w:val="00071B1A"/>
    <w:rsid w:val="00072068"/>
    <w:rsid w:val="000721E7"/>
    <w:rsid w:val="00072770"/>
    <w:rsid w:val="000729AB"/>
    <w:rsid w:val="00072B62"/>
    <w:rsid w:val="000734E1"/>
    <w:rsid w:val="000735E0"/>
    <w:rsid w:val="00074833"/>
    <w:rsid w:val="00074950"/>
    <w:rsid w:val="00074D32"/>
    <w:rsid w:val="0007521D"/>
    <w:rsid w:val="00076161"/>
    <w:rsid w:val="000764AC"/>
    <w:rsid w:val="00076B46"/>
    <w:rsid w:val="00076BC8"/>
    <w:rsid w:val="00076C76"/>
    <w:rsid w:val="00077D5B"/>
    <w:rsid w:val="00077DB0"/>
    <w:rsid w:val="0008042B"/>
    <w:rsid w:val="000815BE"/>
    <w:rsid w:val="00081B3E"/>
    <w:rsid w:val="00081BC3"/>
    <w:rsid w:val="0008219C"/>
    <w:rsid w:val="000821E3"/>
    <w:rsid w:val="00082735"/>
    <w:rsid w:val="0008275F"/>
    <w:rsid w:val="0008319D"/>
    <w:rsid w:val="000838BA"/>
    <w:rsid w:val="00083D0F"/>
    <w:rsid w:val="00084C7F"/>
    <w:rsid w:val="00085898"/>
    <w:rsid w:val="00086017"/>
    <w:rsid w:val="00086019"/>
    <w:rsid w:val="00086364"/>
    <w:rsid w:val="00086679"/>
    <w:rsid w:val="00086D50"/>
    <w:rsid w:val="00086D69"/>
    <w:rsid w:val="00086EE6"/>
    <w:rsid w:val="00087363"/>
    <w:rsid w:val="00087545"/>
    <w:rsid w:val="00087A18"/>
    <w:rsid w:val="00087C96"/>
    <w:rsid w:val="00087F2A"/>
    <w:rsid w:val="00087F50"/>
    <w:rsid w:val="000901DA"/>
    <w:rsid w:val="00090659"/>
    <w:rsid w:val="00090716"/>
    <w:rsid w:val="00090775"/>
    <w:rsid w:val="00090D4E"/>
    <w:rsid w:val="00091FF2"/>
    <w:rsid w:val="000934F7"/>
    <w:rsid w:val="0009377F"/>
    <w:rsid w:val="00094F6A"/>
    <w:rsid w:val="00095AF3"/>
    <w:rsid w:val="000963E3"/>
    <w:rsid w:val="00096A56"/>
    <w:rsid w:val="000A085B"/>
    <w:rsid w:val="000A0F33"/>
    <w:rsid w:val="000A18B2"/>
    <w:rsid w:val="000A2235"/>
    <w:rsid w:val="000A22FA"/>
    <w:rsid w:val="000A23B0"/>
    <w:rsid w:val="000A2EF1"/>
    <w:rsid w:val="000A3C3B"/>
    <w:rsid w:val="000A3DAE"/>
    <w:rsid w:val="000A4BAC"/>
    <w:rsid w:val="000A51EC"/>
    <w:rsid w:val="000A54BE"/>
    <w:rsid w:val="000A5989"/>
    <w:rsid w:val="000A62E2"/>
    <w:rsid w:val="000A62F4"/>
    <w:rsid w:val="000A6820"/>
    <w:rsid w:val="000B0A61"/>
    <w:rsid w:val="000B2704"/>
    <w:rsid w:val="000B29B0"/>
    <w:rsid w:val="000B32D3"/>
    <w:rsid w:val="000B41D7"/>
    <w:rsid w:val="000B4EA0"/>
    <w:rsid w:val="000B4F52"/>
    <w:rsid w:val="000B55C9"/>
    <w:rsid w:val="000B61D7"/>
    <w:rsid w:val="000B6424"/>
    <w:rsid w:val="000B6470"/>
    <w:rsid w:val="000B6DCF"/>
    <w:rsid w:val="000B718B"/>
    <w:rsid w:val="000B780A"/>
    <w:rsid w:val="000B7988"/>
    <w:rsid w:val="000C0D11"/>
    <w:rsid w:val="000C1ED1"/>
    <w:rsid w:val="000C27C3"/>
    <w:rsid w:val="000C2F71"/>
    <w:rsid w:val="000C3038"/>
    <w:rsid w:val="000C30E4"/>
    <w:rsid w:val="000C3308"/>
    <w:rsid w:val="000C378F"/>
    <w:rsid w:val="000C38B0"/>
    <w:rsid w:val="000C3B23"/>
    <w:rsid w:val="000C3D43"/>
    <w:rsid w:val="000C406A"/>
    <w:rsid w:val="000C4D08"/>
    <w:rsid w:val="000C4F22"/>
    <w:rsid w:val="000C5A07"/>
    <w:rsid w:val="000C5AC9"/>
    <w:rsid w:val="000C6506"/>
    <w:rsid w:val="000D02E6"/>
    <w:rsid w:val="000D065F"/>
    <w:rsid w:val="000D1022"/>
    <w:rsid w:val="000D3C7E"/>
    <w:rsid w:val="000D3E18"/>
    <w:rsid w:val="000D4BFD"/>
    <w:rsid w:val="000D4F05"/>
    <w:rsid w:val="000D54ED"/>
    <w:rsid w:val="000D5708"/>
    <w:rsid w:val="000D630F"/>
    <w:rsid w:val="000D6838"/>
    <w:rsid w:val="000D6F1B"/>
    <w:rsid w:val="000D72B7"/>
    <w:rsid w:val="000D767D"/>
    <w:rsid w:val="000D776F"/>
    <w:rsid w:val="000D77D0"/>
    <w:rsid w:val="000D7886"/>
    <w:rsid w:val="000D7CF8"/>
    <w:rsid w:val="000E03A3"/>
    <w:rsid w:val="000E070C"/>
    <w:rsid w:val="000E076C"/>
    <w:rsid w:val="000E09FE"/>
    <w:rsid w:val="000E0A42"/>
    <w:rsid w:val="000E15A7"/>
    <w:rsid w:val="000E18C7"/>
    <w:rsid w:val="000E2FF6"/>
    <w:rsid w:val="000E345A"/>
    <w:rsid w:val="000E3987"/>
    <w:rsid w:val="000E45DF"/>
    <w:rsid w:val="000E4FA3"/>
    <w:rsid w:val="000E52FE"/>
    <w:rsid w:val="000E7B93"/>
    <w:rsid w:val="000F006D"/>
    <w:rsid w:val="000F10F5"/>
    <w:rsid w:val="000F163D"/>
    <w:rsid w:val="000F183B"/>
    <w:rsid w:val="000F1A9D"/>
    <w:rsid w:val="000F1C9C"/>
    <w:rsid w:val="000F1F39"/>
    <w:rsid w:val="000F2436"/>
    <w:rsid w:val="000F2C4A"/>
    <w:rsid w:val="000F3266"/>
    <w:rsid w:val="000F333F"/>
    <w:rsid w:val="000F34B0"/>
    <w:rsid w:val="000F3F6A"/>
    <w:rsid w:val="000F4816"/>
    <w:rsid w:val="000F48A8"/>
    <w:rsid w:val="000F67A4"/>
    <w:rsid w:val="000F6D27"/>
    <w:rsid w:val="000F6D4A"/>
    <w:rsid w:val="000F750E"/>
    <w:rsid w:val="000F774B"/>
    <w:rsid w:val="000F7A02"/>
    <w:rsid w:val="000F7A91"/>
    <w:rsid w:val="000F7C2B"/>
    <w:rsid w:val="00100A73"/>
    <w:rsid w:val="00100B76"/>
    <w:rsid w:val="00100D6B"/>
    <w:rsid w:val="00101C05"/>
    <w:rsid w:val="00101DE4"/>
    <w:rsid w:val="00101EF8"/>
    <w:rsid w:val="00102A82"/>
    <w:rsid w:val="00102ADA"/>
    <w:rsid w:val="00102B47"/>
    <w:rsid w:val="00103466"/>
    <w:rsid w:val="001039DF"/>
    <w:rsid w:val="0010613D"/>
    <w:rsid w:val="0010666D"/>
    <w:rsid w:val="0010751D"/>
    <w:rsid w:val="001079AE"/>
    <w:rsid w:val="0011013B"/>
    <w:rsid w:val="00111634"/>
    <w:rsid w:val="00111ACC"/>
    <w:rsid w:val="001120DE"/>
    <w:rsid w:val="001127FA"/>
    <w:rsid w:val="00112F7B"/>
    <w:rsid w:val="0011328C"/>
    <w:rsid w:val="0011333A"/>
    <w:rsid w:val="00113D1B"/>
    <w:rsid w:val="001140EF"/>
    <w:rsid w:val="00114599"/>
    <w:rsid w:val="0011543F"/>
    <w:rsid w:val="00115904"/>
    <w:rsid w:val="00115FF3"/>
    <w:rsid w:val="001172C9"/>
    <w:rsid w:val="001177B8"/>
    <w:rsid w:val="0012040D"/>
    <w:rsid w:val="00120A82"/>
    <w:rsid w:val="0012156E"/>
    <w:rsid w:val="00121C59"/>
    <w:rsid w:val="001221F9"/>
    <w:rsid w:val="001229A1"/>
    <w:rsid w:val="00122B37"/>
    <w:rsid w:val="0012358F"/>
    <w:rsid w:val="001235A6"/>
    <w:rsid w:val="00123654"/>
    <w:rsid w:val="00123B1B"/>
    <w:rsid w:val="00124D29"/>
    <w:rsid w:val="00125341"/>
    <w:rsid w:val="001256AF"/>
    <w:rsid w:val="00126436"/>
    <w:rsid w:val="00127054"/>
    <w:rsid w:val="001275B5"/>
    <w:rsid w:val="00130D97"/>
    <w:rsid w:val="00131485"/>
    <w:rsid w:val="00131E9C"/>
    <w:rsid w:val="00131F43"/>
    <w:rsid w:val="001321FE"/>
    <w:rsid w:val="001329A0"/>
    <w:rsid w:val="00132CD9"/>
    <w:rsid w:val="001346D5"/>
    <w:rsid w:val="00134AD6"/>
    <w:rsid w:val="00135281"/>
    <w:rsid w:val="001353C6"/>
    <w:rsid w:val="00135953"/>
    <w:rsid w:val="00135F99"/>
    <w:rsid w:val="0013647F"/>
    <w:rsid w:val="00136A81"/>
    <w:rsid w:val="00136E18"/>
    <w:rsid w:val="001374C8"/>
    <w:rsid w:val="0013797A"/>
    <w:rsid w:val="00137A21"/>
    <w:rsid w:val="00137B6B"/>
    <w:rsid w:val="00137EC6"/>
    <w:rsid w:val="00141E62"/>
    <w:rsid w:val="00142498"/>
    <w:rsid w:val="00142A55"/>
    <w:rsid w:val="0014341B"/>
    <w:rsid w:val="00144213"/>
    <w:rsid w:val="0014475C"/>
    <w:rsid w:val="001448FA"/>
    <w:rsid w:val="00145020"/>
    <w:rsid w:val="00145033"/>
    <w:rsid w:val="00145DD8"/>
    <w:rsid w:val="00146221"/>
    <w:rsid w:val="00146381"/>
    <w:rsid w:val="0014643C"/>
    <w:rsid w:val="00147163"/>
    <w:rsid w:val="0014757C"/>
    <w:rsid w:val="00147F71"/>
    <w:rsid w:val="00150689"/>
    <w:rsid w:val="00150D9E"/>
    <w:rsid w:val="001512A0"/>
    <w:rsid w:val="0015160A"/>
    <w:rsid w:val="0015191D"/>
    <w:rsid w:val="00152231"/>
    <w:rsid w:val="0015269D"/>
    <w:rsid w:val="00152889"/>
    <w:rsid w:val="001531E4"/>
    <w:rsid w:val="001533A4"/>
    <w:rsid w:val="0015431F"/>
    <w:rsid w:val="001544B5"/>
    <w:rsid w:val="00154B01"/>
    <w:rsid w:val="00155B85"/>
    <w:rsid w:val="00155D16"/>
    <w:rsid w:val="0015633E"/>
    <w:rsid w:val="001564A0"/>
    <w:rsid w:val="001565FF"/>
    <w:rsid w:val="00156BF1"/>
    <w:rsid w:val="001570B5"/>
    <w:rsid w:val="0015725B"/>
    <w:rsid w:val="00157CEA"/>
    <w:rsid w:val="00157D9C"/>
    <w:rsid w:val="00160A61"/>
    <w:rsid w:val="00160AAC"/>
    <w:rsid w:val="00161C82"/>
    <w:rsid w:val="00162267"/>
    <w:rsid w:val="0016227E"/>
    <w:rsid w:val="0016232A"/>
    <w:rsid w:val="001623A6"/>
    <w:rsid w:val="00162C8C"/>
    <w:rsid w:val="00163979"/>
    <w:rsid w:val="00163DEA"/>
    <w:rsid w:val="00164307"/>
    <w:rsid w:val="0016483E"/>
    <w:rsid w:val="00164D69"/>
    <w:rsid w:val="00164ED4"/>
    <w:rsid w:val="00165121"/>
    <w:rsid w:val="00165779"/>
    <w:rsid w:val="001657FE"/>
    <w:rsid w:val="001660E4"/>
    <w:rsid w:val="00167374"/>
    <w:rsid w:val="001675C2"/>
    <w:rsid w:val="00167CB7"/>
    <w:rsid w:val="00167CC3"/>
    <w:rsid w:val="001706FA"/>
    <w:rsid w:val="00170782"/>
    <w:rsid w:val="001707F7"/>
    <w:rsid w:val="00170DE1"/>
    <w:rsid w:val="0017184A"/>
    <w:rsid w:val="001719A0"/>
    <w:rsid w:val="00171A6E"/>
    <w:rsid w:val="00171D20"/>
    <w:rsid w:val="00171DDA"/>
    <w:rsid w:val="001727A4"/>
    <w:rsid w:val="001730F4"/>
    <w:rsid w:val="00173443"/>
    <w:rsid w:val="00173BAF"/>
    <w:rsid w:val="00174370"/>
    <w:rsid w:val="001750B7"/>
    <w:rsid w:val="00175C7B"/>
    <w:rsid w:val="001768DD"/>
    <w:rsid w:val="0017772D"/>
    <w:rsid w:val="00177ED2"/>
    <w:rsid w:val="00180245"/>
    <w:rsid w:val="00180B23"/>
    <w:rsid w:val="00180F19"/>
    <w:rsid w:val="00180F4E"/>
    <w:rsid w:val="0018116A"/>
    <w:rsid w:val="00181A57"/>
    <w:rsid w:val="00182890"/>
    <w:rsid w:val="00183497"/>
    <w:rsid w:val="00183915"/>
    <w:rsid w:val="00183970"/>
    <w:rsid w:val="00183D0E"/>
    <w:rsid w:val="00184052"/>
    <w:rsid w:val="00184DFB"/>
    <w:rsid w:val="001869DE"/>
    <w:rsid w:val="00186C44"/>
    <w:rsid w:val="00186CDF"/>
    <w:rsid w:val="00186F51"/>
    <w:rsid w:val="00187689"/>
    <w:rsid w:val="001905E6"/>
    <w:rsid w:val="0019130D"/>
    <w:rsid w:val="001915DE"/>
    <w:rsid w:val="00191F12"/>
    <w:rsid w:val="00192425"/>
    <w:rsid w:val="00192FC6"/>
    <w:rsid w:val="00193484"/>
    <w:rsid w:val="00193A6E"/>
    <w:rsid w:val="00193E68"/>
    <w:rsid w:val="001946B6"/>
    <w:rsid w:val="00194F6F"/>
    <w:rsid w:val="00195798"/>
    <w:rsid w:val="00195F0D"/>
    <w:rsid w:val="00196C39"/>
    <w:rsid w:val="00197A74"/>
    <w:rsid w:val="00197D3A"/>
    <w:rsid w:val="00197D88"/>
    <w:rsid w:val="00197D8C"/>
    <w:rsid w:val="001A001B"/>
    <w:rsid w:val="001A00F6"/>
    <w:rsid w:val="001A0B78"/>
    <w:rsid w:val="001A0BAA"/>
    <w:rsid w:val="001A107A"/>
    <w:rsid w:val="001A110E"/>
    <w:rsid w:val="001A1269"/>
    <w:rsid w:val="001A1FE1"/>
    <w:rsid w:val="001A204B"/>
    <w:rsid w:val="001A2198"/>
    <w:rsid w:val="001A21D7"/>
    <w:rsid w:val="001A247D"/>
    <w:rsid w:val="001A25A6"/>
    <w:rsid w:val="001A2A9D"/>
    <w:rsid w:val="001A3219"/>
    <w:rsid w:val="001A355C"/>
    <w:rsid w:val="001A3948"/>
    <w:rsid w:val="001A48C4"/>
    <w:rsid w:val="001A50B4"/>
    <w:rsid w:val="001A5200"/>
    <w:rsid w:val="001A5DA4"/>
    <w:rsid w:val="001A6C90"/>
    <w:rsid w:val="001A6E2E"/>
    <w:rsid w:val="001A7270"/>
    <w:rsid w:val="001A7DC6"/>
    <w:rsid w:val="001A7FEB"/>
    <w:rsid w:val="001B0378"/>
    <w:rsid w:val="001B1286"/>
    <w:rsid w:val="001B1C2B"/>
    <w:rsid w:val="001B23ED"/>
    <w:rsid w:val="001B274A"/>
    <w:rsid w:val="001B2D7C"/>
    <w:rsid w:val="001B33FC"/>
    <w:rsid w:val="001B378D"/>
    <w:rsid w:val="001B379A"/>
    <w:rsid w:val="001B405E"/>
    <w:rsid w:val="001B53E8"/>
    <w:rsid w:val="001B59F9"/>
    <w:rsid w:val="001B5FF7"/>
    <w:rsid w:val="001B63D4"/>
    <w:rsid w:val="001B6E19"/>
    <w:rsid w:val="001B7D31"/>
    <w:rsid w:val="001C0574"/>
    <w:rsid w:val="001C0BE5"/>
    <w:rsid w:val="001C1490"/>
    <w:rsid w:val="001C17B9"/>
    <w:rsid w:val="001C1A54"/>
    <w:rsid w:val="001C1BBB"/>
    <w:rsid w:val="001C1BCA"/>
    <w:rsid w:val="001C1FF9"/>
    <w:rsid w:val="001C27C3"/>
    <w:rsid w:val="001C39EC"/>
    <w:rsid w:val="001C41F8"/>
    <w:rsid w:val="001C4F65"/>
    <w:rsid w:val="001C51D9"/>
    <w:rsid w:val="001C55DF"/>
    <w:rsid w:val="001C5F4A"/>
    <w:rsid w:val="001C6398"/>
    <w:rsid w:val="001C701C"/>
    <w:rsid w:val="001C75BF"/>
    <w:rsid w:val="001C7CC9"/>
    <w:rsid w:val="001C7D8A"/>
    <w:rsid w:val="001C7FB2"/>
    <w:rsid w:val="001D016D"/>
    <w:rsid w:val="001D0C9C"/>
    <w:rsid w:val="001D0D7A"/>
    <w:rsid w:val="001D1D4B"/>
    <w:rsid w:val="001D22D1"/>
    <w:rsid w:val="001D26E3"/>
    <w:rsid w:val="001D2722"/>
    <w:rsid w:val="001D2D7E"/>
    <w:rsid w:val="001D3ED4"/>
    <w:rsid w:val="001D48F0"/>
    <w:rsid w:val="001D51C9"/>
    <w:rsid w:val="001D53B4"/>
    <w:rsid w:val="001D5BE3"/>
    <w:rsid w:val="001D5EA6"/>
    <w:rsid w:val="001D6023"/>
    <w:rsid w:val="001D6AB8"/>
    <w:rsid w:val="001D6E92"/>
    <w:rsid w:val="001D7FE0"/>
    <w:rsid w:val="001E233B"/>
    <w:rsid w:val="001E28AC"/>
    <w:rsid w:val="001E2AF6"/>
    <w:rsid w:val="001E2D91"/>
    <w:rsid w:val="001E33A8"/>
    <w:rsid w:val="001E41C7"/>
    <w:rsid w:val="001E4B2C"/>
    <w:rsid w:val="001E4BB9"/>
    <w:rsid w:val="001E53A2"/>
    <w:rsid w:val="001E53C6"/>
    <w:rsid w:val="001E57C2"/>
    <w:rsid w:val="001E614C"/>
    <w:rsid w:val="001E644E"/>
    <w:rsid w:val="001E6E2B"/>
    <w:rsid w:val="001E77B4"/>
    <w:rsid w:val="001F05F5"/>
    <w:rsid w:val="001F0623"/>
    <w:rsid w:val="001F0E89"/>
    <w:rsid w:val="001F1397"/>
    <w:rsid w:val="001F171C"/>
    <w:rsid w:val="001F2101"/>
    <w:rsid w:val="001F27A4"/>
    <w:rsid w:val="001F2E48"/>
    <w:rsid w:val="001F3397"/>
    <w:rsid w:val="001F3826"/>
    <w:rsid w:val="001F45F3"/>
    <w:rsid w:val="001F4B34"/>
    <w:rsid w:val="001F4E62"/>
    <w:rsid w:val="001F538E"/>
    <w:rsid w:val="001F5B33"/>
    <w:rsid w:val="001F5DDC"/>
    <w:rsid w:val="001F6403"/>
    <w:rsid w:val="001F65EB"/>
    <w:rsid w:val="001F663A"/>
    <w:rsid w:val="001F7016"/>
    <w:rsid w:val="001F7290"/>
    <w:rsid w:val="001F7682"/>
    <w:rsid w:val="001F785D"/>
    <w:rsid w:val="001F790B"/>
    <w:rsid w:val="001F7D91"/>
    <w:rsid w:val="00200032"/>
    <w:rsid w:val="0020012E"/>
    <w:rsid w:val="00200456"/>
    <w:rsid w:val="00200683"/>
    <w:rsid w:val="00200EAC"/>
    <w:rsid w:val="00201BED"/>
    <w:rsid w:val="00201C93"/>
    <w:rsid w:val="0020372A"/>
    <w:rsid w:val="0020379B"/>
    <w:rsid w:val="00203B0A"/>
    <w:rsid w:val="002051E7"/>
    <w:rsid w:val="00205287"/>
    <w:rsid w:val="002056C2"/>
    <w:rsid w:val="00206638"/>
    <w:rsid w:val="00207574"/>
    <w:rsid w:val="00210468"/>
    <w:rsid w:val="002108F9"/>
    <w:rsid w:val="00210909"/>
    <w:rsid w:val="002114B3"/>
    <w:rsid w:val="00211FEF"/>
    <w:rsid w:val="002127B5"/>
    <w:rsid w:val="0021298A"/>
    <w:rsid w:val="002129E1"/>
    <w:rsid w:val="00212F5B"/>
    <w:rsid w:val="002131E7"/>
    <w:rsid w:val="00213732"/>
    <w:rsid w:val="00213AAB"/>
    <w:rsid w:val="0021451C"/>
    <w:rsid w:val="00214814"/>
    <w:rsid w:val="00215486"/>
    <w:rsid w:val="002159B7"/>
    <w:rsid w:val="00216A96"/>
    <w:rsid w:val="00216F76"/>
    <w:rsid w:val="00216F89"/>
    <w:rsid w:val="0021726A"/>
    <w:rsid w:val="002179D8"/>
    <w:rsid w:val="00217E0F"/>
    <w:rsid w:val="00217E17"/>
    <w:rsid w:val="00220235"/>
    <w:rsid w:val="00220AB2"/>
    <w:rsid w:val="00220B28"/>
    <w:rsid w:val="00220CBF"/>
    <w:rsid w:val="00220D40"/>
    <w:rsid w:val="0022194F"/>
    <w:rsid w:val="00221BC0"/>
    <w:rsid w:val="00221FD4"/>
    <w:rsid w:val="00222A88"/>
    <w:rsid w:val="00223505"/>
    <w:rsid w:val="00224306"/>
    <w:rsid w:val="00224333"/>
    <w:rsid w:val="00224F01"/>
    <w:rsid w:val="002258AE"/>
    <w:rsid w:val="00225AA3"/>
    <w:rsid w:val="00225DB8"/>
    <w:rsid w:val="00226D9A"/>
    <w:rsid w:val="00227BA8"/>
    <w:rsid w:val="00227F9D"/>
    <w:rsid w:val="002303E2"/>
    <w:rsid w:val="00230B71"/>
    <w:rsid w:val="00230F2F"/>
    <w:rsid w:val="002314AA"/>
    <w:rsid w:val="002321B3"/>
    <w:rsid w:val="002323E6"/>
    <w:rsid w:val="00233FC2"/>
    <w:rsid w:val="0023423A"/>
    <w:rsid w:val="00234328"/>
    <w:rsid w:val="002356E8"/>
    <w:rsid w:val="002357F4"/>
    <w:rsid w:val="00236203"/>
    <w:rsid w:val="00237505"/>
    <w:rsid w:val="00237D42"/>
    <w:rsid w:val="00237F48"/>
    <w:rsid w:val="0024062B"/>
    <w:rsid w:val="002406F3"/>
    <w:rsid w:val="00240ACB"/>
    <w:rsid w:val="00240C00"/>
    <w:rsid w:val="002410F8"/>
    <w:rsid w:val="002417A2"/>
    <w:rsid w:val="00241BBB"/>
    <w:rsid w:val="00241BCD"/>
    <w:rsid w:val="00241CDF"/>
    <w:rsid w:val="0024212F"/>
    <w:rsid w:val="0024225A"/>
    <w:rsid w:val="00242C42"/>
    <w:rsid w:val="002431FD"/>
    <w:rsid w:val="00243216"/>
    <w:rsid w:val="00243249"/>
    <w:rsid w:val="002435FF"/>
    <w:rsid w:val="00243DDD"/>
    <w:rsid w:val="002440D9"/>
    <w:rsid w:val="00244177"/>
    <w:rsid w:val="00244E6B"/>
    <w:rsid w:val="002453CD"/>
    <w:rsid w:val="00245C4E"/>
    <w:rsid w:val="00246251"/>
    <w:rsid w:val="00246888"/>
    <w:rsid w:val="00246CF7"/>
    <w:rsid w:val="002472CE"/>
    <w:rsid w:val="0024775F"/>
    <w:rsid w:val="00247827"/>
    <w:rsid w:val="00250478"/>
    <w:rsid w:val="002506BE"/>
    <w:rsid w:val="002506DD"/>
    <w:rsid w:val="00250B9E"/>
    <w:rsid w:val="00251041"/>
    <w:rsid w:val="00251429"/>
    <w:rsid w:val="002519D3"/>
    <w:rsid w:val="00251B76"/>
    <w:rsid w:val="00252185"/>
    <w:rsid w:val="002521AF"/>
    <w:rsid w:val="00252835"/>
    <w:rsid w:val="002535AD"/>
    <w:rsid w:val="00253C0F"/>
    <w:rsid w:val="00253EC0"/>
    <w:rsid w:val="002549F5"/>
    <w:rsid w:val="00254A8D"/>
    <w:rsid w:val="00254F5E"/>
    <w:rsid w:val="0025537C"/>
    <w:rsid w:val="00255790"/>
    <w:rsid w:val="00255DFA"/>
    <w:rsid w:val="00255E30"/>
    <w:rsid w:val="00257C26"/>
    <w:rsid w:val="00257F14"/>
    <w:rsid w:val="0026068A"/>
    <w:rsid w:val="00260F7E"/>
    <w:rsid w:val="00261651"/>
    <w:rsid w:val="00263004"/>
    <w:rsid w:val="00263069"/>
    <w:rsid w:val="002643E5"/>
    <w:rsid w:val="00265398"/>
    <w:rsid w:val="002654DF"/>
    <w:rsid w:val="002657A6"/>
    <w:rsid w:val="00265D32"/>
    <w:rsid w:val="00266308"/>
    <w:rsid w:val="00266DC2"/>
    <w:rsid w:val="0026752B"/>
    <w:rsid w:val="002679AE"/>
    <w:rsid w:val="00267BB9"/>
    <w:rsid w:val="00270341"/>
    <w:rsid w:val="00270760"/>
    <w:rsid w:val="00270EEF"/>
    <w:rsid w:val="0027113F"/>
    <w:rsid w:val="002717C1"/>
    <w:rsid w:val="002717C8"/>
    <w:rsid w:val="00271990"/>
    <w:rsid w:val="00271B2E"/>
    <w:rsid w:val="002722DA"/>
    <w:rsid w:val="00272D5B"/>
    <w:rsid w:val="00273227"/>
    <w:rsid w:val="0027342C"/>
    <w:rsid w:val="0027375D"/>
    <w:rsid w:val="00273832"/>
    <w:rsid w:val="00273846"/>
    <w:rsid w:val="00273C1F"/>
    <w:rsid w:val="00273E2D"/>
    <w:rsid w:val="00273F79"/>
    <w:rsid w:val="00273FC3"/>
    <w:rsid w:val="00274241"/>
    <w:rsid w:val="00275251"/>
    <w:rsid w:val="0027527D"/>
    <w:rsid w:val="00275321"/>
    <w:rsid w:val="00275D5A"/>
    <w:rsid w:val="002764C3"/>
    <w:rsid w:val="00276BA7"/>
    <w:rsid w:val="002775B3"/>
    <w:rsid w:val="0027769D"/>
    <w:rsid w:val="00277954"/>
    <w:rsid w:val="00277A4C"/>
    <w:rsid w:val="002800A7"/>
    <w:rsid w:val="00280795"/>
    <w:rsid w:val="00280925"/>
    <w:rsid w:val="00280DD7"/>
    <w:rsid w:val="00281424"/>
    <w:rsid w:val="00281835"/>
    <w:rsid w:val="00281A1C"/>
    <w:rsid w:val="00281C6D"/>
    <w:rsid w:val="00281D99"/>
    <w:rsid w:val="00282FC8"/>
    <w:rsid w:val="002848B5"/>
    <w:rsid w:val="002850D7"/>
    <w:rsid w:val="002853F4"/>
    <w:rsid w:val="002854A9"/>
    <w:rsid w:val="0028568E"/>
    <w:rsid w:val="00285829"/>
    <w:rsid w:val="0028598E"/>
    <w:rsid w:val="002864DF"/>
    <w:rsid w:val="00286ABD"/>
    <w:rsid w:val="00287A5F"/>
    <w:rsid w:val="002901EB"/>
    <w:rsid w:val="00290331"/>
    <w:rsid w:val="00290E4A"/>
    <w:rsid w:val="0029243C"/>
    <w:rsid w:val="00292FB9"/>
    <w:rsid w:val="0029335B"/>
    <w:rsid w:val="0029340E"/>
    <w:rsid w:val="00293735"/>
    <w:rsid w:val="00293C3A"/>
    <w:rsid w:val="002940AC"/>
    <w:rsid w:val="00294C08"/>
    <w:rsid w:val="00295731"/>
    <w:rsid w:val="00295FD1"/>
    <w:rsid w:val="0029621E"/>
    <w:rsid w:val="00296459"/>
    <w:rsid w:val="0029784F"/>
    <w:rsid w:val="002A08A4"/>
    <w:rsid w:val="002A0CE5"/>
    <w:rsid w:val="002A1089"/>
    <w:rsid w:val="002A1B03"/>
    <w:rsid w:val="002A301C"/>
    <w:rsid w:val="002A50BC"/>
    <w:rsid w:val="002A5954"/>
    <w:rsid w:val="002A6938"/>
    <w:rsid w:val="002A6C00"/>
    <w:rsid w:val="002A792C"/>
    <w:rsid w:val="002A7954"/>
    <w:rsid w:val="002A7F64"/>
    <w:rsid w:val="002B0020"/>
    <w:rsid w:val="002B05B0"/>
    <w:rsid w:val="002B07A3"/>
    <w:rsid w:val="002B0BE6"/>
    <w:rsid w:val="002B1801"/>
    <w:rsid w:val="002B180E"/>
    <w:rsid w:val="002B1CCC"/>
    <w:rsid w:val="002B1DA5"/>
    <w:rsid w:val="002B2423"/>
    <w:rsid w:val="002B2CD5"/>
    <w:rsid w:val="002B35C2"/>
    <w:rsid w:val="002B4202"/>
    <w:rsid w:val="002B4273"/>
    <w:rsid w:val="002B437D"/>
    <w:rsid w:val="002B4788"/>
    <w:rsid w:val="002B5218"/>
    <w:rsid w:val="002B5784"/>
    <w:rsid w:val="002B5C2B"/>
    <w:rsid w:val="002B65FE"/>
    <w:rsid w:val="002B662C"/>
    <w:rsid w:val="002B6B30"/>
    <w:rsid w:val="002B71B1"/>
    <w:rsid w:val="002B7827"/>
    <w:rsid w:val="002B7D42"/>
    <w:rsid w:val="002C0507"/>
    <w:rsid w:val="002C05FB"/>
    <w:rsid w:val="002C1279"/>
    <w:rsid w:val="002C18BC"/>
    <w:rsid w:val="002C1AC0"/>
    <w:rsid w:val="002C1BBC"/>
    <w:rsid w:val="002C22F4"/>
    <w:rsid w:val="002C237B"/>
    <w:rsid w:val="002C267A"/>
    <w:rsid w:val="002C3738"/>
    <w:rsid w:val="002C3AD1"/>
    <w:rsid w:val="002C3B0D"/>
    <w:rsid w:val="002C426C"/>
    <w:rsid w:val="002C4982"/>
    <w:rsid w:val="002C531B"/>
    <w:rsid w:val="002C671B"/>
    <w:rsid w:val="002C6D59"/>
    <w:rsid w:val="002C711A"/>
    <w:rsid w:val="002C71CC"/>
    <w:rsid w:val="002C7AD4"/>
    <w:rsid w:val="002D2919"/>
    <w:rsid w:val="002D30C0"/>
    <w:rsid w:val="002D443D"/>
    <w:rsid w:val="002D558E"/>
    <w:rsid w:val="002D5C9E"/>
    <w:rsid w:val="002D66EC"/>
    <w:rsid w:val="002D6B57"/>
    <w:rsid w:val="002D7364"/>
    <w:rsid w:val="002D7961"/>
    <w:rsid w:val="002D796D"/>
    <w:rsid w:val="002E0643"/>
    <w:rsid w:val="002E1009"/>
    <w:rsid w:val="002E1161"/>
    <w:rsid w:val="002E1273"/>
    <w:rsid w:val="002E13DB"/>
    <w:rsid w:val="002E18F8"/>
    <w:rsid w:val="002E1A3C"/>
    <w:rsid w:val="002E2733"/>
    <w:rsid w:val="002E2ABA"/>
    <w:rsid w:val="002E3307"/>
    <w:rsid w:val="002E36CB"/>
    <w:rsid w:val="002E3E12"/>
    <w:rsid w:val="002E41F8"/>
    <w:rsid w:val="002E42AB"/>
    <w:rsid w:val="002E42DE"/>
    <w:rsid w:val="002E4BA3"/>
    <w:rsid w:val="002E516A"/>
    <w:rsid w:val="002E5B6C"/>
    <w:rsid w:val="002E6AE9"/>
    <w:rsid w:val="002E6B62"/>
    <w:rsid w:val="002E6C5E"/>
    <w:rsid w:val="002E6DE2"/>
    <w:rsid w:val="002E75F7"/>
    <w:rsid w:val="002E7C1D"/>
    <w:rsid w:val="002E7E0C"/>
    <w:rsid w:val="002F0FE7"/>
    <w:rsid w:val="002F10A1"/>
    <w:rsid w:val="002F1625"/>
    <w:rsid w:val="002F1C15"/>
    <w:rsid w:val="002F2A4A"/>
    <w:rsid w:val="002F2AEB"/>
    <w:rsid w:val="002F32E0"/>
    <w:rsid w:val="002F3FF1"/>
    <w:rsid w:val="002F4999"/>
    <w:rsid w:val="002F567B"/>
    <w:rsid w:val="002F592E"/>
    <w:rsid w:val="002F70A9"/>
    <w:rsid w:val="0030134C"/>
    <w:rsid w:val="0030178F"/>
    <w:rsid w:val="00301901"/>
    <w:rsid w:val="0030195E"/>
    <w:rsid w:val="00302684"/>
    <w:rsid w:val="0030274D"/>
    <w:rsid w:val="00302D7C"/>
    <w:rsid w:val="00303DD8"/>
    <w:rsid w:val="003046D7"/>
    <w:rsid w:val="003050AD"/>
    <w:rsid w:val="0030530C"/>
    <w:rsid w:val="0030564B"/>
    <w:rsid w:val="0030621C"/>
    <w:rsid w:val="00306C7F"/>
    <w:rsid w:val="00306E30"/>
    <w:rsid w:val="00306FF6"/>
    <w:rsid w:val="003073E3"/>
    <w:rsid w:val="00307B2F"/>
    <w:rsid w:val="00310C79"/>
    <w:rsid w:val="003114FA"/>
    <w:rsid w:val="00311A96"/>
    <w:rsid w:val="00312560"/>
    <w:rsid w:val="003127AA"/>
    <w:rsid w:val="003133FE"/>
    <w:rsid w:val="00313528"/>
    <w:rsid w:val="003137B2"/>
    <w:rsid w:val="003137CA"/>
    <w:rsid w:val="00314275"/>
    <w:rsid w:val="0031462C"/>
    <w:rsid w:val="003146A8"/>
    <w:rsid w:val="00314AEA"/>
    <w:rsid w:val="00314EA3"/>
    <w:rsid w:val="0031586C"/>
    <w:rsid w:val="003158FD"/>
    <w:rsid w:val="00315BD7"/>
    <w:rsid w:val="00315EB4"/>
    <w:rsid w:val="003163EC"/>
    <w:rsid w:val="003166C7"/>
    <w:rsid w:val="00317198"/>
    <w:rsid w:val="003200F1"/>
    <w:rsid w:val="003207F6"/>
    <w:rsid w:val="003208FA"/>
    <w:rsid w:val="00320C88"/>
    <w:rsid w:val="00320DFF"/>
    <w:rsid w:val="00321B22"/>
    <w:rsid w:val="00322870"/>
    <w:rsid w:val="003229C5"/>
    <w:rsid w:val="00322E38"/>
    <w:rsid w:val="003230DD"/>
    <w:rsid w:val="00323231"/>
    <w:rsid w:val="003237D6"/>
    <w:rsid w:val="00323D69"/>
    <w:rsid w:val="0032451F"/>
    <w:rsid w:val="0032562E"/>
    <w:rsid w:val="0032581B"/>
    <w:rsid w:val="00325AED"/>
    <w:rsid w:val="00325DB7"/>
    <w:rsid w:val="00325E2A"/>
    <w:rsid w:val="00326295"/>
    <w:rsid w:val="0032652A"/>
    <w:rsid w:val="00326588"/>
    <w:rsid w:val="00326967"/>
    <w:rsid w:val="00326E61"/>
    <w:rsid w:val="00326EEC"/>
    <w:rsid w:val="00327446"/>
    <w:rsid w:val="0033041E"/>
    <w:rsid w:val="003313D7"/>
    <w:rsid w:val="003326F3"/>
    <w:rsid w:val="00332CB4"/>
    <w:rsid w:val="003333B8"/>
    <w:rsid w:val="00333B6E"/>
    <w:rsid w:val="00333FB4"/>
    <w:rsid w:val="00334C22"/>
    <w:rsid w:val="00335DEC"/>
    <w:rsid w:val="00335DFB"/>
    <w:rsid w:val="00336325"/>
    <w:rsid w:val="00336780"/>
    <w:rsid w:val="003371BD"/>
    <w:rsid w:val="0033759B"/>
    <w:rsid w:val="00337AAB"/>
    <w:rsid w:val="00337ED3"/>
    <w:rsid w:val="003400FF"/>
    <w:rsid w:val="0034088B"/>
    <w:rsid w:val="00340A09"/>
    <w:rsid w:val="00340B40"/>
    <w:rsid w:val="00340F5C"/>
    <w:rsid w:val="0034196C"/>
    <w:rsid w:val="00341C04"/>
    <w:rsid w:val="00341EA0"/>
    <w:rsid w:val="003434C8"/>
    <w:rsid w:val="00343933"/>
    <w:rsid w:val="003439B0"/>
    <w:rsid w:val="00343F93"/>
    <w:rsid w:val="003454E1"/>
    <w:rsid w:val="00345842"/>
    <w:rsid w:val="00345A23"/>
    <w:rsid w:val="00345F73"/>
    <w:rsid w:val="003469FD"/>
    <w:rsid w:val="00346BA4"/>
    <w:rsid w:val="003474A1"/>
    <w:rsid w:val="00347AE3"/>
    <w:rsid w:val="00347B91"/>
    <w:rsid w:val="00350F4F"/>
    <w:rsid w:val="0035136B"/>
    <w:rsid w:val="00351B99"/>
    <w:rsid w:val="00351C95"/>
    <w:rsid w:val="00351E52"/>
    <w:rsid w:val="003527CB"/>
    <w:rsid w:val="00352AF9"/>
    <w:rsid w:val="0035359F"/>
    <w:rsid w:val="00353BA6"/>
    <w:rsid w:val="00353EA1"/>
    <w:rsid w:val="00353FF7"/>
    <w:rsid w:val="00354AEC"/>
    <w:rsid w:val="00355170"/>
    <w:rsid w:val="003553C7"/>
    <w:rsid w:val="00355E38"/>
    <w:rsid w:val="00356749"/>
    <w:rsid w:val="00356A54"/>
    <w:rsid w:val="003604B3"/>
    <w:rsid w:val="00360727"/>
    <w:rsid w:val="00360830"/>
    <w:rsid w:val="0036174D"/>
    <w:rsid w:val="00361B9B"/>
    <w:rsid w:val="00362740"/>
    <w:rsid w:val="00362AE9"/>
    <w:rsid w:val="00362B43"/>
    <w:rsid w:val="00363156"/>
    <w:rsid w:val="003631DF"/>
    <w:rsid w:val="00363332"/>
    <w:rsid w:val="003643DE"/>
    <w:rsid w:val="00364604"/>
    <w:rsid w:val="00364AD2"/>
    <w:rsid w:val="003652CD"/>
    <w:rsid w:val="003654F1"/>
    <w:rsid w:val="00365756"/>
    <w:rsid w:val="00365A40"/>
    <w:rsid w:val="00365B3F"/>
    <w:rsid w:val="0036643B"/>
    <w:rsid w:val="0036749B"/>
    <w:rsid w:val="00367770"/>
    <w:rsid w:val="00370137"/>
    <w:rsid w:val="0037026F"/>
    <w:rsid w:val="003707A8"/>
    <w:rsid w:val="00370885"/>
    <w:rsid w:val="00370A54"/>
    <w:rsid w:val="00370AE8"/>
    <w:rsid w:val="00371C2C"/>
    <w:rsid w:val="003722AF"/>
    <w:rsid w:val="00372CCC"/>
    <w:rsid w:val="00373525"/>
    <w:rsid w:val="00374707"/>
    <w:rsid w:val="00374B1E"/>
    <w:rsid w:val="0037516B"/>
    <w:rsid w:val="0037558F"/>
    <w:rsid w:val="0037592F"/>
    <w:rsid w:val="00375B53"/>
    <w:rsid w:val="00375C16"/>
    <w:rsid w:val="003763E3"/>
    <w:rsid w:val="003776D2"/>
    <w:rsid w:val="0038001A"/>
    <w:rsid w:val="00380693"/>
    <w:rsid w:val="00380EE7"/>
    <w:rsid w:val="003812DF"/>
    <w:rsid w:val="003817AC"/>
    <w:rsid w:val="00381DDB"/>
    <w:rsid w:val="003823CC"/>
    <w:rsid w:val="00383205"/>
    <w:rsid w:val="00383884"/>
    <w:rsid w:val="003842C9"/>
    <w:rsid w:val="003842E5"/>
    <w:rsid w:val="00384D92"/>
    <w:rsid w:val="00385C2E"/>
    <w:rsid w:val="00385ED7"/>
    <w:rsid w:val="003867D8"/>
    <w:rsid w:val="00387C97"/>
    <w:rsid w:val="0039006B"/>
    <w:rsid w:val="00390CD3"/>
    <w:rsid w:val="00391243"/>
    <w:rsid w:val="00391996"/>
    <w:rsid w:val="00391A97"/>
    <w:rsid w:val="00391E89"/>
    <w:rsid w:val="00391F04"/>
    <w:rsid w:val="003922CA"/>
    <w:rsid w:val="003923A6"/>
    <w:rsid w:val="003924F8"/>
    <w:rsid w:val="00392668"/>
    <w:rsid w:val="00392B1C"/>
    <w:rsid w:val="00392F07"/>
    <w:rsid w:val="003934AA"/>
    <w:rsid w:val="00393C51"/>
    <w:rsid w:val="00394A3E"/>
    <w:rsid w:val="003952AE"/>
    <w:rsid w:val="003962D8"/>
    <w:rsid w:val="00396715"/>
    <w:rsid w:val="00396A08"/>
    <w:rsid w:val="00396C75"/>
    <w:rsid w:val="003970AA"/>
    <w:rsid w:val="00397757"/>
    <w:rsid w:val="0039786F"/>
    <w:rsid w:val="003A0452"/>
    <w:rsid w:val="003A1D35"/>
    <w:rsid w:val="003A2CF0"/>
    <w:rsid w:val="003A33F1"/>
    <w:rsid w:val="003A49F0"/>
    <w:rsid w:val="003A5A4B"/>
    <w:rsid w:val="003A6805"/>
    <w:rsid w:val="003A6DAD"/>
    <w:rsid w:val="003A6E33"/>
    <w:rsid w:val="003B06D1"/>
    <w:rsid w:val="003B176E"/>
    <w:rsid w:val="003B1888"/>
    <w:rsid w:val="003B191D"/>
    <w:rsid w:val="003B1D98"/>
    <w:rsid w:val="003B2824"/>
    <w:rsid w:val="003B2C5D"/>
    <w:rsid w:val="003B3BD6"/>
    <w:rsid w:val="003B418D"/>
    <w:rsid w:val="003B4D0C"/>
    <w:rsid w:val="003B59B9"/>
    <w:rsid w:val="003B6EF7"/>
    <w:rsid w:val="003B6F6A"/>
    <w:rsid w:val="003B7028"/>
    <w:rsid w:val="003B78CE"/>
    <w:rsid w:val="003B7B17"/>
    <w:rsid w:val="003B7C4F"/>
    <w:rsid w:val="003C059D"/>
    <w:rsid w:val="003C0AB4"/>
    <w:rsid w:val="003C1A9E"/>
    <w:rsid w:val="003C204F"/>
    <w:rsid w:val="003C2110"/>
    <w:rsid w:val="003C2AB8"/>
    <w:rsid w:val="003C2D0D"/>
    <w:rsid w:val="003C388C"/>
    <w:rsid w:val="003C3CB7"/>
    <w:rsid w:val="003C43C4"/>
    <w:rsid w:val="003C461A"/>
    <w:rsid w:val="003C4D3C"/>
    <w:rsid w:val="003C5315"/>
    <w:rsid w:val="003C5365"/>
    <w:rsid w:val="003C5401"/>
    <w:rsid w:val="003C63E0"/>
    <w:rsid w:val="003C6735"/>
    <w:rsid w:val="003C67D3"/>
    <w:rsid w:val="003C6E22"/>
    <w:rsid w:val="003C750B"/>
    <w:rsid w:val="003D0419"/>
    <w:rsid w:val="003D07F7"/>
    <w:rsid w:val="003D0921"/>
    <w:rsid w:val="003D095A"/>
    <w:rsid w:val="003D1822"/>
    <w:rsid w:val="003D250A"/>
    <w:rsid w:val="003D2E42"/>
    <w:rsid w:val="003D3869"/>
    <w:rsid w:val="003D3E43"/>
    <w:rsid w:val="003D3EF1"/>
    <w:rsid w:val="003D4224"/>
    <w:rsid w:val="003D42A0"/>
    <w:rsid w:val="003D4D75"/>
    <w:rsid w:val="003D51A6"/>
    <w:rsid w:val="003D524C"/>
    <w:rsid w:val="003D5533"/>
    <w:rsid w:val="003D5B2F"/>
    <w:rsid w:val="003D5FBB"/>
    <w:rsid w:val="003D6539"/>
    <w:rsid w:val="003D72CB"/>
    <w:rsid w:val="003D7367"/>
    <w:rsid w:val="003E04C4"/>
    <w:rsid w:val="003E0842"/>
    <w:rsid w:val="003E0ABD"/>
    <w:rsid w:val="003E0F66"/>
    <w:rsid w:val="003E111A"/>
    <w:rsid w:val="003E1295"/>
    <w:rsid w:val="003E1485"/>
    <w:rsid w:val="003E2DA8"/>
    <w:rsid w:val="003E32E4"/>
    <w:rsid w:val="003E4185"/>
    <w:rsid w:val="003E50AA"/>
    <w:rsid w:val="003E59A8"/>
    <w:rsid w:val="003E65B6"/>
    <w:rsid w:val="003E6CD6"/>
    <w:rsid w:val="003E6F68"/>
    <w:rsid w:val="003E70DF"/>
    <w:rsid w:val="003E72B6"/>
    <w:rsid w:val="003E7DB2"/>
    <w:rsid w:val="003F1547"/>
    <w:rsid w:val="003F2712"/>
    <w:rsid w:val="003F2BF5"/>
    <w:rsid w:val="003F4238"/>
    <w:rsid w:val="003F4289"/>
    <w:rsid w:val="003F4415"/>
    <w:rsid w:val="003F4E1A"/>
    <w:rsid w:val="003F4F52"/>
    <w:rsid w:val="003F51B6"/>
    <w:rsid w:val="003F61F5"/>
    <w:rsid w:val="003F6E84"/>
    <w:rsid w:val="00400030"/>
    <w:rsid w:val="00400084"/>
    <w:rsid w:val="0040130E"/>
    <w:rsid w:val="004015C0"/>
    <w:rsid w:val="00401B59"/>
    <w:rsid w:val="00401C10"/>
    <w:rsid w:val="00401E15"/>
    <w:rsid w:val="00402BA6"/>
    <w:rsid w:val="004034B1"/>
    <w:rsid w:val="00404B9A"/>
    <w:rsid w:val="00404C6C"/>
    <w:rsid w:val="00405FD1"/>
    <w:rsid w:val="004061AE"/>
    <w:rsid w:val="0040620F"/>
    <w:rsid w:val="0040799F"/>
    <w:rsid w:val="00407A82"/>
    <w:rsid w:val="00407BE1"/>
    <w:rsid w:val="00407CAE"/>
    <w:rsid w:val="00407E6C"/>
    <w:rsid w:val="004103AC"/>
    <w:rsid w:val="00410AAF"/>
    <w:rsid w:val="00410D57"/>
    <w:rsid w:val="00410F08"/>
    <w:rsid w:val="0041212F"/>
    <w:rsid w:val="0041348B"/>
    <w:rsid w:val="00413F95"/>
    <w:rsid w:val="0041440C"/>
    <w:rsid w:val="00414718"/>
    <w:rsid w:val="0041479F"/>
    <w:rsid w:val="004148B8"/>
    <w:rsid w:val="00414F20"/>
    <w:rsid w:val="00415AE4"/>
    <w:rsid w:val="00416794"/>
    <w:rsid w:val="00416C9B"/>
    <w:rsid w:val="00416D02"/>
    <w:rsid w:val="00416DF0"/>
    <w:rsid w:val="00416E3A"/>
    <w:rsid w:val="00417116"/>
    <w:rsid w:val="0041760A"/>
    <w:rsid w:val="00417A48"/>
    <w:rsid w:val="00421012"/>
    <w:rsid w:val="0042138D"/>
    <w:rsid w:val="00421496"/>
    <w:rsid w:val="0042246F"/>
    <w:rsid w:val="00422B56"/>
    <w:rsid w:val="00423C07"/>
    <w:rsid w:val="0042415A"/>
    <w:rsid w:val="00425902"/>
    <w:rsid w:val="0042656F"/>
    <w:rsid w:val="004271EB"/>
    <w:rsid w:val="0042772A"/>
    <w:rsid w:val="004300A9"/>
    <w:rsid w:val="004309F9"/>
    <w:rsid w:val="00431A2C"/>
    <w:rsid w:val="0043271E"/>
    <w:rsid w:val="0043328A"/>
    <w:rsid w:val="00433A90"/>
    <w:rsid w:val="00433C2B"/>
    <w:rsid w:val="004340A2"/>
    <w:rsid w:val="004341A4"/>
    <w:rsid w:val="004341FC"/>
    <w:rsid w:val="0043425F"/>
    <w:rsid w:val="004344C0"/>
    <w:rsid w:val="004352AB"/>
    <w:rsid w:val="004354F0"/>
    <w:rsid w:val="00436E90"/>
    <w:rsid w:val="00437246"/>
    <w:rsid w:val="00437DA6"/>
    <w:rsid w:val="00437FEB"/>
    <w:rsid w:val="00440513"/>
    <w:rsid w:val="00440B39"/>
    <w:rsid w:val="00440C26"/>
    <w:rsid w:val="00440CFF"/>
    <w:rsid w:val="00440DA6"/>
    <w:rsid w:val="00441A62"/>
    <w:rsid w:val="00441D64"/>
    <w:rsid w:val="004425E0"/>
    <w:rsid w:val="00442AFE"/>
    <w:rsid w:val="00442B7C"/>
    <w:rsid w:val="00443F78"/>
    <w:rsid w:val="004454B5"/>
    <w:rsid w:val="00445F73"/>
    <w:rsid w:val="0044664D"/>
    <w:rsid w:val="0044674C"/>
    <w:rsid w:val="00446CE8"/>
    <w:rsid w:val="004470FB"/>
    <w:rsid w:val="0044744B"/>
    <w:rsid w:val="00447D18"/>
    <w:rsid w:val="00450C42"/>
    <w:rsid w:val="0045110A"/>
    <w:rsid w:val="0045118A"/>
    <w:rsid w:val="004514E6"/>
    <w:rsid w:val="00451C39"/>
    <w:rsid w:val="0045200A"/>
    <w:rsid w:val="004534A9"/>
    <w:rsid w:val="004543BB"/>
    <w:rsid w:val="00454796"/>
    <w:rsid w:val="00454B19"/>
    <w:rsid w:val="00454E8B"/>
    <w:rsid w:val="004553D3"/>
    <w:rsid w:val="00455E27"/>
    <w:rsid w:val="00456190"/>
    <w:rsid w:val="00456367"/>
    <w:rsid w:val="0046004F"/>
    <w:rsid w:val="00460372"/>
    <w:rsid w:val="00460BC1"/>
    <w:rsid w:val="00461F23"/>
    <w:rsid w:val="00463457"/>
    <w:rsid w:val="0046403E"/>
    <w:rsid w:val="004647CA"/>
    <w:rsid w:val="00464B3C"/>
    <w:rsid w:val="00464EE7"/>
    <w:rsid w:val="00465E19"/>
    <w:rsid w:val="00465EA9"/>
    <w:rsid w:val="004661DC"/>
    <w:rsid w:val="0046761D"/>
    <w:rsid w:val="00467AAF"/>
    <w:rsid w:val="00467FC6"/>
    <w:rsid w:val="0047076E"/>
    <w:rsid w:val="00470AD5"/>
    <w:rsid w:val="00471262"/>
    <w:rsid w:val="00471499"/>
    <w:rsid w:val="00472217"/>
    <w:rsid w:val="004722A8"/>
    <w:rsid w:val="00472733"/>
    <w:rsid w:val="00472842"/>
    <w:rsid w:val="00473BB3"/>
    <w:rsid w:val="00473CF4"/>
    <w:rsid w:val="00474930"/>
    <w:rsid w:val="00475E90"/>
    <w:rsid w:val="00477207"/>
    <w:rsid w:val="00477B34"/>
    <w:rsid w:val="00480134"/>
    <w:rsid w:val="004801A4"/>
    <w:rsid w:val="00480A19"/>
    <w:rsid w:val="00480D9D"/>
    <w:rsid w:val="00481D42"/>
    <w:rsid w:val="0048249B"/>
    <w:rsid w:val="00482DF7"/>
    <w:rsid w:val="00482F64"/>
    <w:rsid w:val="00483AFD"/>
    <w:rsid w:val="00483D42"/>
    <w:rsid w:val="004843B3"/>
    <w:rsid w:val="004847CC"/>
    <w:rsid w:val="00484DF9"/>
    <w:rsid w:val="004856B2"/>
    <w:rsid w:val="00485725"/>
    <w:rsid w:val="00485787"/>
    <w:rsid w:val="00485A9B"/>
    <w:rsid w:val="00485C2E"/>
    <w:rsid w:val="00485EB3"/>
    <w:rsid w:val="0048675A"/>
    <w:rsid w:val="004875A1"/>
    <w:rsid w:val="004876E0"/>
    <w:rsid w:val="00487EA5"/>
    <w:rsid w:val="00491691"/>
    <w:rsid w:val="0049181A"/>
    <w:rsid w:val="004918D8"/>
    <w:rsid w:val="00492FE3"/>
    <w:rsid w:val="004939FC"/>
    <w:rsid w:val="00493A9B"/>
    <w:rsid w:val="00493AE9"/>
    <w:rsid w:val="00493C0B"/>
    <w:rsid w:val="004940A1"/>
    <w:rsid w:val="004943D6"/>
    <w:rsid w:val="0049504E"/>
    <w:rsid w:val="004974E8"/>
    <w:rsid w:val="00497729"/>
    <w:rsid w:val="004978A2"/>
    <w:rsid w:val="004979AF"/>
    <w:rsid w:val="004A045D"/>
    <w:rsid w:val="004A08E1"/>
    <w:rsid w:val="004A09EB"/>
    <w:rsid w:val="004A2BC9"/>
    <w:rsid w:val="004A3C63"/>
    <w:rsid w:val="004A3FCA"/>
    <w:rsid w:val="004A4B79"/>
    <w:rsid w:val="004A4DEE"/>
    <w:rsid w:val="004A4FB3"/>
    <w:rsid w:val="004A52E8"/>
    <w:rsid w:val="004A5756"/>
    <w:rsid w:val="004A6519"/>
    <w:rsid w:val="004A65AA"/>
    <w:rsid w:val="004B0219"/>
    <w:rsid w:val="004B0B5F"/>
    <w:rsid w:val="004B0D88"/>
    <w:rsid w:val="004B11CB"/>
    <w:rsid w:val="004B1C83"/>
    <w:rsid w:val="004B1CB4"/>
    <w:rsid w:val="004B2522"/>
    <w:rsid w:val="004B264C"/>
    <w:rsid w:val="004B291D"/>
    <w:rsid w:val="004B2A48"/>
    <w:rsid w:val="004B2BAE"/>
    <w:rsid w:val="004B2FA5"/>
    <w:rsid w:val="004B3FB6"/>
    <w:rsid w:val="004B403B"/>
    <w:rsid w:val="004B410B"/>
    <w:rsid w:val="004B410D"/>
    <w:rsid w:val="004B44D1"/>
    <w:rsid w:val="004B462A"/>
    <w:rsid w:val="004B4777"/>
    <w:rsid w:val="004B4FB5"/>
    <w:rsid w:val="004B56F3"/>
    <w:rsid w:val="004B5E31"/>
    <w:rsid w:val="004B65B4"/>
    <w:rsid w:val="004B6718"/>
    <w:rsid w:val="004B67A7"/>
    <w:rsid w:val="004C04D1"/>
    <w:rsid w:val="004C0824"/>
    <w:rsid w:val="004C0845"/>
    <w:rsid w:val="004C0908"/>
    <w:rsid w:val="004C161E"/>
    <w:rsid w:val="004C17DF"/>
    <w:rsid w:val="004C1A33"/>
    <w:rsid w:val="004C2E7F"/>
    <w:rsid w:val="004C3167"/>
    <w:rsid w:val="004C3400"/>
    <w:rsid w:val="004C356C"/>
    <w:rsid w:val="004C3A77"/>
    <w:rsid w:val="004C44E0"/>
    <w:rsid w:val="004C493C"/>
    <w:rsid w:val="004C5D88"/>
    <w:rsid w:val="004C5F83"/>
    <w:rsid w:val="004C644D"/>
    <w:rsid w:val="004C6888"/>
    <w:rsid w:val="004C699B"/>
    <w:rsid w:val="004D083A"/>
    <w:rsid w:val="004D0F66"/>
    <w:rsid w:val="004D1715"/>
    <w:rsid w:val="004D1847"/>
    <w:rsid w:val="004D22CE"/>
    <w:rsid w:val="004D2542"/>
    <w:rsid w:val="004D2646"/>
    <w:rsid w:val="004D26B7"/>
    <w:rsid w:val="004D28B0"/>
    <w:rsid w:val="004D28FD"/>
    <w:rsid w:val="004D2EB9"/>
    <w:rsid w:val="004D324E"/>
    <w:rsid w:val="004D3930"/>
    <w:rsid w:val="004D3999"/>
    <w:rsid w:val="004D4B0D"/>
    <w:rsid w:val="004D4C3F"/>
    <w:rsid w:val="004D53F9"/>
    <w:rsid w:val="004D59B7"/>
    <w:rsid w:val="004D5AA6"/>
    <w:rsid w:val="004D636C"/>
    <w:rsid w:val="004D6EF0"/>
    <w:rsid w:val="004D70D6"/>
    <w:rsid w:val="004D729B"/>
    <w:rsid w:val="004D79CA"/>
    <w:rsid w:val="004D7E38"/>
    <w:rsid w:val="004E06DF"/>
    <w:rsid w:val="004E114C"/>
    <w:rsid w:val="004E1DAB"/>
    <w:rsid w:val="004E2B90"/>
    <w:rsid w:val="004E2E30"/>
    <w:rsid w:val="004E3164"/>
    <w:rsid w:val="004E373F"/>
    <w:rsid w:val="004E37C7"/>
    <w:rsid w:val="004E3BB1"/>
    <w:rsid w:val="004E4550"/>
    <w:rsid w:val="004E6362"/>
    <w:rsid w:val="004E64BF"/>
    <w:rsid w:val="004E711E"/>
    <w:rsid w:val="004E7180"/>
    <w:rsid w:val="004E775E"/>
    <w:rsid w:val="004E7FB8"/>
    <w:rsid w:val="004F003C"/>
    <w:rsid w:val="004F00E6"/>
    <w:rsid w:val="004F01FB"/>
    <w:rsid w:val="004F070D"/>
    <w:rsid w:val="004F0E83"/>
    <w:rsid w:val="004F1641"/>
    <w:rsid w:val="004F187F"/>
    <w:rsid w:val="004F200A"/>
    <w:rsid w:val="004F2A7E"/>
    <w:rsid w:val="004F3E12"/>
    <w:rsid w:val="004F423E"/>
    <w:rsid w:val="004F486F"/>
    <w:rsid w:val="004F4C1A"/>
    <w:rsid w:val="004F5576"/>
    <w:rsid w:val="004F57FA"/>
    <w:rsid w:val="004F5827"/>
    <w:rsid w:val="004F5A86"/>
    <w:rsid w:val="004F5F4C"/>
    <w:rsid w:val="004F6378"/>
    <w:rsid w:val="004F6A27"/>
    <w:rsid w:val="004F6BB8"/>
    <w:rsid w:val="004F78D9"/>
    <w:rsid w:val="005006BE"/>
    <w:rsid w:val="00500AF4"/>
    <w:rsid w:val="0050112B"/>
    <w:rsid w:val="00501322"/>
    <w:rsid w:val="00501917"/>
    <w:rsid w:val="005019CF"/>
    <w:rsid w:val="00501B15"/>
    <w:rsid w:val="00501F33"/>
    <w:rsid w:val="00502ADA"/>
    <w:rsid w:val="00502DAE"/>
    <w:rsid w:val="0050307E"/>
    <w:rsid w:val="0050318E"/>
    <w:rsid w:val="00503B7E"/>
    <w:rsid w:val="00504AC5"/>
    <w:rsid w:val="00504FBF"/>
    <w:rsid w:val="005057FD"/>
    <w:rsid w:val="00505804"/>
    <w:rsid w:val="005061E7"/>
    <w:rsid w:val="005074EC"/>
    <w:rsid w:val="00507670"/>
    <w:rsid w:val="00510692"/>
    <w:rsid w:val="00510BA6"/>
    <w:rsid w:val="005121BA"/>
    <w:rsid w:val="005121C0"/>
    <w:rsid w:val="00513C99"/>
    <w:rsid w:val="00513D5E"/>
    <w:rsid w:val="00514471"/>
    <w:rsid w:val="00514DA0"/>
    <w:rsid w:val="0051561A"/>
    <w:rsid w:val="00515851"/>
    <w:rsid w:val="0051685B"/>
    <w:rsid w:val="00516F67"/>
    <w:rsid w:val="00517273"/>
    <w:rsid w:val="005203AA"/>
    <w:rsid w:val="005203C1"/>
    <w:rsid w:val="0052166C"/>
    <w:rsid w:val="0052172E"/>
    <w:rsid w:val="00522297"/>
    <w:rsid w:val="0052278A"/>
    <w:rsid w:val="00522CC2"/>
    <w:rsid w:val="00522FE2"/>
    <w:rsid w:val="0052310C"/>
    <w:rsid w:val="00523586"/>
    <w:rsid w:val="005235EF"/>
    <w:rsid w:val="005253B5"/>
    <w:rsid w:val="0052552F"/>
    <w:rsid w:val="005256AA"/>
    <w:rsid w:val="005261F0"/>
    <w:rsid w:val="00526384"/>
    <w:rsid w:val="00526AED"/>
    <w:rsid w:val="005305B9"/>
    <w:rsid w:val="00530A11"/>
    <w:rsid w:val="00530F73"/>
    <w:rsid w:val="00531C88"/>
    <w:rsid w:val="00531F09"/>
    <w:rsid w:val="005326CB"/>
    <w:rsid w:val="005328A9"/>
    <w:rsid w:val="005334A2"/>
    <w:rsid w:val="00533ABA"/>
    <w:rsid w:val="00534CF8"/>
    <w:rsid w:val="0053513E"/>
    <w:rsid w:val="00535387"/>
    <w:rsid w:val="005354DE"/>
    <w:rsid w:val="0053657D"/>
    <w:rsid w:val="00536F15"/>
    <w:rsid w:val="005377F8"/>
    <w:rsid w:val="0054045A"/>
    <w:rsid w:val="0054090C"/>
    <w:rsid w:val="00540E5B"/>
    <w:rsid w:val="00541048"/>
    <w:rsid w:val="00541559"/>
    <w:rsid w:val="005415CA"/>
    <w:rsid w:val="00541BFC"/>
    <w:rsid w:val="00541FEA"/>
    <w:rsid w:val="00542625"/>
    <w:rsid w:val="005429FB"/>
    <w:rsid w:val="00542EB4"/>
    <w:rsid w:val="00543511"/>
    <w:rsid w:val="0054442E"/>
    <w:rsid w:val="00545194"/>
    <w:rsid w:val="00545ED6"/>
    <w:rsid w:val="00546089"/>
    <w:rsid w:val="0054613F"/>
    <w:rsid w:val="005466BA"/>
    <w:rsid w:val="00546B39"/>
    <w:rsid w:val="00546E21"/>
    <w:rsid w:val="00546EC7"/>
    <w:rsid w:val="00547502"/>
    <w:rsid w:val="0054761D"/>
    <w:rsid w:val="00550845"/>
    <w:rsid w:val="00550D92"/>
    <w:rsid w:val="00550F61"/>
    <w:rsid w:val="00551644"/>
    <w:rsid w:val="00551F87"/>
    <w:rsid w:val="00552260"/>
    <w:rsid w:val="00552373"/>
    <w:rsid w:val="005524DC"/>
    <w:rsid w:val="00552A5B"/>
    <w:rsid w:val="00552C66"/>
    <w:rsid w:val="00552E6B"/>
    <w:rsid w:val="00553F7C"/>
    <w:rsid w:val="00554825"/>
    <w:rsid w:val="00554BDA"/>
    <w:rsid w:val="00554FCA"/>
    <w:rsid w:val="00555099"/>
    <w:rsid w:val="005558D7"/>
    <w:rsid w:val="00555E1B"/>
    <w:rsid w:val="005579CA"/>
    <w:rsid w:val="00557E4B"/>
    <w:rsid w:val="005612B6"/>
    <w:rsid w:val="00561C31"/>
    <w:rsid w:val="00561E0D"/>
    <w:rsid w:val="005627AA"/>
    <w:rsid w:val="00562E0B"/>
    <w:rsid w:val="00562E47"/>
    <w:rsid w:val="00563001"/>
    <w:rsid w:val="00563767"/>
    <w:rsid w:val="00563804"/>
    <w:rsid w:val="00564886"/>
    <w:rsid w:val="00564DA4"/>
    <w:rsid w:val="00565321"/>
    <w:rsid w:val="00565633"/>
    <w:rsid w:val="005658FC"/>
    <w:rsid w:val="00565A1D"/>
    <w:rsid w:val="00565F9A"/>
    <w:rsid w:val="005660AC"/>
    <w:rsid w:val="005675A3"/>
    <w:rsid w:val="00567D9E"/>
    <w:rsid w:val="005702D5"/>
    <w:rsid w:val="00570849"/>
    <w:rsid w:val="00571123"/>
    <w:rsid w:val="0057160F"/>
    <w:rsid w:val="005717D1"/>
    <w:rsid w:val="005718A2"/>
    <w:rsid w:val="005718DA"/>
    <w:rsid w:val="0057213B"/>
    <w:rsid w:val="005721B8"/>
    <w:rsid w:val="00572842"/>
    <w:rsid w:val="00572D10"/>
    <w:rsid w:val="005746C0"/>
    <w:rsid w:val="00574F9B"/>
    <w:rsid w:val="00575110"/>
    <w:rsid w:val="005754B7"/>
    <w:rsid w:val="00575C35"/>
    <w:rsid w:val="00576168"/>
    <w:rsid w:val="00577C15"/>
    <w:rsid w:val="005811E1"/>
    <w:rsid w:val="005812D7"/>
    <w:rsid w:val="0058166D"/>
    <w:rsid w:val="00581C20"/>
    <w:rsid w:val="00581CBE"/>
    <w:rsid w:val="0058239D"/>
    <w:rsid w:val="005824B2"/>
    <w:rsid w:val="00582F1E"/>
    <w:rsid w:val="005830AC"/>
    <w:rsid w:val="00583F35"/>
    <w:rsid w:val="00583FE5"/>
    <w:rsid w:val="00584303"/>
    <w:rsid w:val="00585601"/>
    <w:rsid w:val="00587B6E"/>
    <w:rsid w:val="0059064A"/>
    <w:rsid w:val="00590673"/>
    <w:rsid w:val="00591830"/>
    <w:rsid w:val="00592470"/>
    <w:rsid w:val="005931DA"/>
    <w:rsid w:val="005932D1"/>
    <w:rsid w:val="005934A1"/>
    <w:rsid w:val="00593E3E"/>
    <w:rsid w:val="00593F19"/>
    <w:rsid w:val="00594355"/>
    <w:rsid w:val="0059442C"/>
    <w:rsid w:val="005951FC"/>
    <w:rsid w:val="00595376"/>
    <w:rsid w:val="00596181"/>
    <w:rsid w:val="005962A3"/>
    <w:rsid w:val="00596C38"/>
    <w:rsid w:val="00596CBE"/>
    <w:rsid w:val="00596E1B"/>
    <w:rsid w:val="00597371"/>
    <w:rsid w:val="005977DB"/>
    <w:rsid w:val="005A0AEB"/>
    <w:rsid w:val="005A14BA"/>
    <w:rsid w:val="005A2380"/>
    <w:rsid w:val="005A23B8"/>
    <w:rsid w:val="005A2413"/>
    <w:rsid w:val="005A26C9"/>
    <w:rsid w:val="005A27BB"/>
    <w:rsid w:val="005A2AAF"/>
    <w:rsid w:val="005A4B59"/>
    <w:rsid w:val="005A5DD3"/>
    <w:rsid w:val="005A69C3"/>
    <w:rsid w:val="005A7BEF"/>
    <w:rsid w:val="005A7CA6"/>
    <w:rsid w:val="005B06FC"/>
    <w:rsid w:val="005B07D6"/>
    <w:rsid w:val="005B0CB7"/>
    <w:rsid w:val="005B0D64"/>
    <w:rsid w:val="005B0E0B"/>
    <w:rsid w:val="005B12AB"/>
    <w:rsid w:val="005B1585"/>
    <w:rsid w:val="005B1899"/>
    <w:rsid w:val="005B1E27"/>
    <w:rsid w:val="005B2200"/>
    <w:rsid w:val="005B27CA"/>
    <w:rsid w:val="005B2C10"/>
    <w:rsid w:val="005B2FF3"/>
    <w:rsid w:val="005B3111"/>
    <w:rsid w:val="005B333C"/>
    <w:rsid w:val="005B34AA"/>
    <w:rsid w:val="005B3EDD"/>
    <w:rsid w:val="005B3F4B"/>
    <w:rsid w:val="005B433C"/>
    <w:rsid w:val="005B4389"/>
    <w:rsid w:val="005B4558"/>
    <w:rsid w:val="005B4938"/>
    <w:rsid w:val="005B4C28"/>
    <w:rsid w:val="005B512D"/>
    <w:rsid w:val="005B581E"/>
    <w:rsid w:val="005B6489"/>
    <w:rsid w:val="005B6893"/>
    <w:rsid w:val="005B6B92"/>
    <w:rsid w:val="005B6E14"/>
    <w:rsid w:val="005B78AB"/>
    <w:rsid w:val="005B7E03"/>
    <w:rsid w:val="005C0BA1"/>
    <w:rsid w:val="005C1516"/>
    <w:rsid w:val="005C1F2D"/>
    <w:rsid w:val="005C2784"/>
    <w:rsid w:val="005C3987"/>
    <w:rsid w:val="005C46D3"/>
    <w:rsid w:val="005C49CF"/>
    <w:rsid w:val="005C5D2C"/>
    <w:rsid w:val="005C6252"/>
    <w:rsid w:val="005C6F2D"/>
    <w:rsid w:val="005C7661"/>
    <w:rsid w:val="005C7C0B"/>
    <w:rsid w:val="005C7EE7"/>
    <w:rsid w:val="005D00C7"/>
    <w:rsid w:val="005D029E"/>
    <w:rsid w:val="005D0AC6"/>
    <w:rsid w:val="005D1298"/>
    <w:rsid w:val="005D1BBC"/>
    <w:rsid w:val="005D2186"/>
    <w:rsid w:val="005D55FF"/>
    <w:rsid w:val="005D580A"/>
    <w:rsid w:val="005D58BA"/>
    <w:rsid w:val="005D5E26"/>
    <w:rsid w:val="005D70F5"/>
    <w:rsid w:val="005D7AF5"/>
    <w:rsid w:val="005E0116"/>
    <w:rsid w:val="005E0EB3"/>
    <w:rsid w:val="005E0EE9"/>
    <w:rsid w:val="005E1E5A"/>
    <w:rsid w:val="005E2002"/>
    <w:rsid w:val="005E2152"/>
    <w:rsid w:val="005E249A"/>
    <w:rsid w:val="005E2E2B"/>
    <w:rsid w:val="005E3421"/>
    <w:rsid w:val="005E3E74"/>
    <w:rsid w:val="005E3FD5"/>
    <w:rsid w:val="005E4653"/>
    <w:rsid w:val="005E4C76"/>
    <w:rsid w:val="005E4CD8"/>
    <w:rsid w:val="005E50C1"/>
    <w:rsid w:val="005E52C9"/>
    <w:rsid w:val="005E6005"/>
    <w:rsid w:val="005E74E4"/>
    <w:rsid w:val="005E7863"/>
    <w:rsid w:val="005E7B0D"/>
    <w:rsid w:val="005E7ED7"/>
    <w:rsid w:val="005F0229"/>
    <w:rsid w:val="005F0693"/>
    <w:rsid w:val="005F0C91"/>
    <w:rsid w:val="005F1A46"/>
    <w:rsid w:val="005F232A"/>
    <w:rsid w:val="005F268B"/>
    <w:rsid w:val="005F2809"/>
    <w:rsid w:val="005F2A83"/>
    <w:rsid w:val="005F2DA1"/>
    <w:rsid w:val="005F40D5"/>
    <w:rsid w:val="005F41B1"/>
    <w:rsid w:val="005F4541"/>
    <w:rsid w:val="005F4E1C"/>
    <w:rsid w:val="005F565B"/>
    <w:rsid w:val="005F6136"/>
    <w:rsid w:val="005F6542"/>
    <w:rsid w:val="005F6EDC"/>
    <w:rsid w:val="005F71D5"/>
    <w:rsid w:val="005F720E"/>
    <w:rsid w:val="005F764B"/>
    <w:rsid w:val="005F7C1D"/>
    <w:rsid w:val="00600060"/>
    <w:rsid w:val="0060053D"/>
    <w:rsid w:val="006005E0"/>
    <w:rsid w:val="006012A5"/>
    <w:rsid w:val="00602B32"/>
    <w:rsid w:val="00603613"/>
    <w:rsid w:val="006040D8"/>
    <w:rsid w:val="00604659"/>
    <w:rsid w:val="0060502D"/>
    <w:rsid w:val="00605308"/>
    <w:rsid w:val="00607184"/>
    <w:rsid w:val="0060734E"/>
    <w:rsid w:val="00607A96"/>
    <w:rsid w:val="00610C3C"/>
    <w:rsid w:val="00610FD8"/>
    <w:rsid w:val="0061153F"/>
    <w:rsid w:val="00611633"/>
    <w:rsid w:val="00611B54"/>
    <w:rsid w:val="00611C3E"/>
    <w:rsid w:val="00612425"/>
    <w:rsid w:val="00612953"/>
    <w:rsid w:val="00612C8C"/>
    <w:rsid w:val="0061354B"/>
    <w:rsid w:val="006135DF"/>
    <w:rsid w:val="00613C79"/>
    <w:rsid w:val="006147CA"/>
    <w:rsid w:val="00614A5A"/>
    <w:rsid w:val="00614D95"/>
    <w:rsid w:val="006164DB"/>
    <w:rsid w:val="006166E5"/>
    <w:rsid w:val="00616FD0"/>
    <w:rsid w:val="00617CFD"/>
    <w:rsid w:val="00617FF5"/>
    <w:rsid w:val="00620287"/>
    <w:rsid w:val="00621913"/>
    <w:rsid w:val="00622079"/>
    <w:rsid w:val="00622DF5"/>
    <w:rsid w:val="00623341"/>
    <w:rsid w:val="00623B62"/>
    <w:rsid w:val="00623FF1"/>
    <w:rsid w:val="006240BF"/>
    <w:rsid w:val="0062417A"/>
    <w:rsid w:val="00624483"/>
    <w:rsid w:val="006245CF"/>
    <w:rsid w:val="006245D9"/>
    <w:rsid w:val="00624750"/>
    <w:rsid w:val="00625984"/>
    <w:rsid w:val="00626595"/>
    <w:rsid w:val="006275CA"/>
    <w:rsid w:val="00627D2B"/>
    <w:rsid w:val="006305EE"/>
    <w:rsid w:val="006319C4"/>
    <w:rsid w:val="00631CE4"/>
    <w:rsid w:val="0063238B"/>
    <w:rsid w:val="0063277B"/>
    <w:rsid w:val="006339F0"/>
    <w:rsid w:val="00633BF3"/>
    <w:rsid w:val="00634519"/>
    <w:rsid w:val="00634BC8"/>
    <w:rsid w:val="00635B3D"/>
    <w:rsid w:val="00635F9A"/>
    <w:rsid w:val="00635FF7"/>
    <w:rsid w:val="00636325"/>
    <w:rsid w:val="006369BB"/>
    <w:rsid w:val="00636B74"/>
    <w:rsid w:val="00637B75"/>
    <w:rsid w:val="00637D32"/>
    <w:rsid w:val="00640336"/>
    <w:rsid w:val="00640370"/>
    <w:rsid w:val="006410FB"/>
    <w:rsid w:val="00641DB7"/>
    <w:rsid w:val="00641F61"/>
    <w:rsid w:val="0064257E"/>
    <w:rsid w:val="006430F0"/>
    <w:rsid w:val="0064311D"/>
    <w:rsid w:val="0064327C"/>
    <w:rsid w:val="00643B40"/>
    <w:rsid w:val="0064432D"/>
    <w:rsid w:val="00644684"/>
    <w:rsid w:val="00644D5B"/>
    <w:rsid w:val="00645BF0"/>
    <w:rsid w:val="00645C64"/>
    <w:rsid w:val="00645E61"/>
    <w:rsid w:val="00646274"/>
    <w:rsid w:val="00646FAB"/>
    <w:rsid w:val="006476DE"/>
    <w:rsid w:val="0065088C"/>
    <w:rsid w:val="00650962"/>
    <w:rsid w:val="00650C77"/>
    <w:rsid w:val="00651106"/>
    <w:rsid w:val="00651D53"/>
    <w:rsid w:val="00652223"/>
    <w:rsid w:val="006527BE"/>
    <w:rsid w:val="006533A9"/>
    <w:rsid w:val="00653636"/>
    <w:rsid w:val="006536DA"/>
    <w:rsid w:val="00653D97"/>
    <w:rsid w:val="006543F0"/>
    <w:rsid w:val="006545AC"/>
    <w:rsid w:val="00655064"/>
    <w:rsid w:val="00655D61"/>
    <w:rsid w:val="00655DB0"/>
    <w:rsid w:val="006560B3"/>
    <w:rsid w:val="006566F8"/>
    <w:rsid w:val="006571D6"/>
    <w:rsid w:val="00657610"/>
    <w:rsid w:val="00657A9E"/>
    <w:rsid w:val="00657E08"/>
    <w:rsid w:val="006605AB"/>
    <w:rsid w:val="006610BA"/>
    <w:rsid w:val="0066169E"/>
    <w:rsid w:val="0066247A"/>
    <w:rsid w:val="006624D1"/>
    <w:rsid w:val="00662B1B"/>
    <w:rsid w:val="00662D9E"/>
    <w:rsid w:val="00662E84"/>
    <w:rsid w:val="006633E7"/>
    <w:rsid w:val="00663626"/>
    <w:rsid w:val="00663CE7"/>
    <w:rsid w:val="006647DF"/>
    <w:rsid w:val="00664ACF"/>
    <w:rsid w:val="00665375"/>
    <w:rsid w:val="00665429"/>
    <w:rsid w:val="00665993"/>
    <w:rsid w:val="006664B3"/>
    <w:rsid w:val="00666501"/>
    <w:rsid w:val="0067008B"/>
    <w:rsid w:val="006707A2"/>
    <w:rsid w:val="00671129"/>
    <w:rsid w:val="00671658"/>
    <w:rsid w:val="00671D2B"/>
    <w:rsid w:val="00674CE3"/>
    <w:rsid w:val="00674F12"/>
    <w:rsid w:val="00675594"/>
    <w:rsid w:val="0067591F"/>
    <w:rsid w:val="00676722"/>
    <w:rsid w:val="00677D50"/>
    <w:rsid w:val="00677E4B"/>
    <w:rsid w:val="00680914"/>
    <w:rsid w:val="00680CC4"/>
    <w:rsid w:val="00681076"/>
    <w:rsid w:val="00681233"/>
    <w:rsid w:val="006814D7"/>
    <w:rsid w:val="00681652"/>
    <w:rsid w:val="006819DF"/>
    <w:rsid w:val="00682416"/>
    <w:rsid w:val="0068253B"/>
    <w:rsid w:val="0068272C"/>
    <w:rsid w:val="006828CD"/>
    <w:rsid w:val="006829E7"/>
    <w:rsid w:val="00682D93"/>
    <w:rsid w:val="0068304C"/>
    <w:rsid w:val="0068383A"/>
    <w:rsid w:val="00683AF2"/>
    <w:rsid w:val="006845CC"/>
    <w:rsid w:val="00684C56"/>
    <w:rsid w:val="006857F2"/>
    <w:rsid w:val="00685ACE"/>
    <w:rsid w:val="00685AFD"/>
    <w:rsid w:val="006860F0"/>
    <w:rsid w:val="00686302"/>
    <w:rsid w:val="006866F5"/>
    <w:rsid w:val="00687457"/>
    <w:rsid w:val="00687662"/>
    <w:rsid w:val="00690934"/>
    <w:rsid w:val="00690AEC"/>
    <w:rsid w:val="0069216C"/>
    <w:rsid w:val="006927DF"/>
    <w:rsid w:val="00692B8E"/>
    <w:rsid w:val="00692C46"/>
    <w:rsid w:val="006933E7"/>
    <w:rsid w:val="00693B19"/>
    <w:rsid w:val="00694867"/>
    <w:rsid w:val="0069598D"/>
    <w:rsid w:val="00696E2E"/>
    <w:rsid w:val="0069733A"/>
    <w:rsid w:val="006975EE"/>
    <w:rsid w:val="006978C1"/>
    <w:rsid w:val="006A0083"/>
    <w:rsid w:val="006A0365"/>
    <w:rsid w:val="006A0BA1"/>
    <w:rsid w:val="006A0E65"/>
    <w:rsid w:val="006A204E"/>
    <w:rsid w:val="006A2535"/>
    <w:rsid w:val="006A27D7"/>
    <w:rsid w:val="006A3049"/>
    <w:rsid w:val="006A474E"/>
    <w:rsid w:val="006A4AA6"/>
    <w:rsid w:val="006A4B4F"/>
    <w:rsid w:val="006A4CAF"/>
    <w:rsid w:val="006A6F45"/>
    <w:rsid w:val="006A7033"/>
    <w:rsid w:val="006B20F8"/>
    <w:rsid w:val="006B2BB0"/>
    <w:rsid w:val="006B2D0A"/>
    <w:rsid w:val="006B379A"/>
    <w:rsid w:val="006B37B8"/>
    <w:rsid w:val="006B37F3"/>
    <w:rsid w:val="006B3F2F"/>
    <w:rsid w:val="006B44E9"/>
    <w:rsid w:val="006B4B97"/>
    <w:rsid w:val="006B57E8"/>
    <w:rsid w:val="006B60A9"/>
    <w:rsid w:val="006B66D4"/>
    <w:rsid w:val="006B7203"/>
    <w:rsid w:val="006B7A25"/>
    <w:rsid w:val="006B7BE3"/>
    <w:rsid w:val="006B7DCF"/>
    <w:rsid w:val="006C01D9"/>
    <w:rsid w:val="006C12DC"/>
    <w:rsid w:val="006C1920"/>
    <w:rsid w:val="006C2369"/>
    <w:rsid w:val="006C34C1"/>
    <w:rsid w:val="006C3A36"/>
    <w:rsid w:val="006C3D1A"/>
    <w:rsid w:val="006C3F1F"/>
    <w:rsid w:val="006C4D5C"/>
    <w:rsid w:val="006C4EF5"/>
    <w:rsid w:val="006C4F89"/>
    <w:rsid w:val="006C503B"/>
    <w:rsid w:val="006C568B"/>
    <w:rsid w:val="006C6150"/>
    <w:rsid w:val="006C652D"/>
    <w:rsid w:val="006C7514"/>
    <w:rsid w:val="006C76C4"/>
    <w:rsid w:val="006D0379"/>
    <w:rsid w:val="006D0903"/>
    <w:rsid w:val="006D09A6"/>
    <w:rsid w:val="006D0A5D"/>
    <w:rsid w:val="006D0FD4"/>
    <w:rsid w:val="006D0FDF"/>
    <w:rsid w:val="006D144F"/>
    <w:rsid w:val="006D19CE"/>
    <w:rsid w:val="006D2A5D"/>
    <w:rsid w:val="006D3184"/>
    <w:rsid w:val="006D36D4"/>
    <w:rsid w:val="006D3A29"/>
    <w:rsid w:val="006D3C45"/>
    <w:rsid w:val="006D427F"/>
    <w:rsid w:val="006D4313"/>
    <w:rsid w:val="006D5016"/>
    <w:rsid w:val="006D51E4"/>
    <w:rsid w:val="006D5BC5"/>
    <w:rsid w:val="006D70A5"/>
    <w:rsid w:val="006D70F4"/>
    <w:rsid w:val="006D7810"/>
    <w:rsid w:val="006D7AC5"/>
    <w:rsid w:val="006E03A5"/>
    <w:rsid w:val="006E1258"/>
    <w:rsid w:val="006E202A"/>
    <w:rsid w:val="006E206F"/>
    <w:rsid w:val="006E29C2"/>
    <w:rsid w:val="006E31D0"/>
    <w:rsid w:val="006E373D"/>
    <w:rsid w:val="006E4517"/>
    <w:rsid w:val="006E5202"/>
    <w:rsid w:val="006E59CA"/>
    <w:rsid w:val="006E5C23"/>
    <w:rsid w:val="006E601A"/>
    <w:rsid w:val="006E644A"/>
    <w:rsid w:val="006E65A6"/>
    <w:rsid w:val="006E6A8B"/>
    <w:rsid w:val="006E7961"/>
    <w:rsid w:val="006F0792"/>
    <w:rsid w:val="006F092C"/>
    <w:rsid w:val="006F0C51"/>
    <w:rsid w:val="006F0CAC"/>
    <w:rsid w:val="006F0D38"/>
    <w:rsid w:val="006F1692"/>
    <w:rsid w:val="006F1D06"/>
    <w:rsid w:val="006F2257"/>
    <w:rsid w:val="006F28BD"/>
    <w:rsid w:val="006F2B88"/>
    <w:rsid w:val="006F380C"/>
    <w:rsid w:val="006F3B0D"/>
    <w:rsid w:val="006F460D"/>
    <w:rsid w:val="006F488C"/>
    <w:rsid w:val="006F4CDD"/>
    <w:rsid w:val="006F526E"/>
    <w:rsid w:val="006F6853"/>
    <w:rsid w:val="006F6AF5"/>
    <w:rsid w:val="006F751D"/>
    <w:rsid w:val="006F7735"/>
    <w:rsid w:val="006F7A11"/>
    <w:rsid w:val="006F7A6C"/>
    <w:rsid w:val="007000D1"/>
    <w:rsid w:val="00700557"/>
    <w:rsid w:val="0070068F"/>
    <w:rsid w:val="0070072F"/>
    <w:rsid w:val="007021D2"/>
    <w:rsid w:val="007023C9"/>
    <w:rsid w:val="007032FA"/>
    <w:rsid w:val="00703662"/>
    <w:rsid w:val="00703888"/>
    <w:rsid w:val="00703CFE"/>
    <w:rsid w:val="00704457"/>
    <w:rsid w:val="00704630"/>
    <w:rsid w:val="00704A9B"/>
    <w:rsid w:val="00704B3C"/>
    <w:rsid w:val="00704C73"/>
    <w:rsid w:val="00704D5E"/>
    <w:rsid w:val="007051BA"/>
    <w:rsid w:val="007056FF"/>
    <w:rsid w:val="007058EE"/>
    <w:rsid w:val="007065E2"/>
    <w:rsid w:val="00706A23"/>
    <w:rsid w:val="00706C93"/>
    <w:rsid w:val="00707A7E"/>
    <w:rsid w:val="0071008A"/>
    <w:rsid w:val="0071092F"/>
    <w:rsid w:val="00710F0C"/>
    <w:rsid w:val="00710F0E"/>
    <w:rsid w:val="00711AA4"/>
    <w:rsid w:val="00712478"/>
    <w:rsid w:val="00712532"/>
    <w:rsid w:val="007125BA"/>
    <w:rsid w:val="00712A18"/>
    <w:rsid w:val="00712CD5"/>
    <w:rsid w:val="00712D77"/>
    <w:rsid w:val="00714133"/>
    <w:rsid w:val="00714496"/>
    <w:rsid w:val="0071496F"/>
    <w:rsid w:val="00714A7D"/>
    <w:rsid w:val="00715B34"/>
    <w:rsid w:val="007167CE"/>
    <w:rsid w:val="00716AA5"/>
    <w:rsid w:val="0071798F"/>
    <w:rsid w:val="00717A31"/>
    <w:rsid w:val="00720153"/>
    <w:rsid w:val="00721773"/>
    <w:rsid w:val="00721B08"/>
    <w:rsid w:val="007222B8"/>
    <w:rsid w:val="0072247E"/>
    <w:rsid w:val="00722B15"/>
    <w:rsid w:val="00724F02"/>
    <w:rsid w:val="007271EF"/>
    <w:rsid w:val="0072778A"/>
    <w:rsid w:val="0072785F"/>
    <w:rsid w:val="00727A64"/>
    <w:rsid w:val="00727DA5"/>
    <w:rsid w:val="00727F27"/>
    <w:rsid w:val="00727F7D"/>
    <w:rsid w:val="00730218"/>
    <w:rsid w:val="007315D2"/>
    <w:rsid w:val="007326E5"/>
    <w:rsid w:val="00732B11"/>
    <w:rsid w:val="0073383D"/>
    <w:rsid w:val="007349F8"/>
    <w:rsid w:val="00734CE2"/>
    <w:rsid w:val="007352B6"/>
    <w:rsid w:val="007353C4"/>
    <w:rsid w:val="00735958"/>
    <w:rsid w:val="0073596D"/>
    <w:rsid w:val="00735C81"/>
    <w:rsid w:val="00735D24"/>
    <w:rsid w:val="0073672C"/>
    <w:rsid w:val="007371F6"/>
    <w:rsid w:val="007372FF"/>
    <w:rsid w:val="0073745D"/>
    <w:rsid w:val="007404EF"/>
    <w:rsid w:val="0074084C"/>
    <w:rsid w:val="007414F2"/>
    <w:rsid w:val="007415DA"/>
    <w:rsid w:val="007416E3"/>
    <w:rsid w:val="0074173C"/>
    <w:rsid w:val="00741C89"/>
    <w:rsid w:val="007423A2"/>
    <w:rsid w:val="00742E45"/>
    <w:rsid w:val="00743287"/>
    <w:rsid w:val="00743579"/>
    <w:rsid w:val="007438C9"/>
    <w:rsid w:val="00744043"/>
    <w:rsid w:val="0074423D"/>
    <w:rsid w:val="0074458A"/>
    <w:rsid w:val="007445F0"/>
    <w:rsid w:val="007448D5"/>
    <w:rsid w:val="00744FE3"/>
    <w:rsid w:val="0074523E"/>
    <w:rsid w:val="00745351"/>
    <w:rsid w:val="00745688"/>
    <w:rsid w:val="00745A49"/>
    <w:rsid w:val="00745C18"/>
    <w:rsid w:val="00745C56"/>
    <w:rsid w:val="00746828"/>
    <w:rsid w:val="007473EB"/>
    <w:rsid w:val="007475FF"/>
    <w:rsid w:val="007505AF"/>
    <w:rsid w:val="007506BA"/>
    <w:rsid w:val="007511E8"/>
    <w:rsid w:val="00751D9E"/>
    <w:rsid w:val="00751E94"/>
    <w:rsid w:val="00753108"/>
    <w:rsid w:val="00753749"/>
    <w:rsid w:val="007537AB"/>
    <w:rsid w:val="0075398B"/>
    <w:rsid w:val="00754364"/>
    <w:rsid w:val="00754415"/>
    <w:rsid w:val="00754F62"/>
    <w:rsid w:val="00755E3B"/>
    <w:rsid w:val="00755ED3"/>
    <w:rsid w:val="00756247"/>
    <w:rsid w:val="007567BA"/>
    <w:rsid w:val="00756A04"/>
    <w:rsid w:val="00756E45"/>
    <w:rsid w:val="007572D7"/>
    <w:rsid w:val="00757692"/>
    <w:rsid w:val="00760B2D"/>
    <w:rsid w:val="0076157F"/>
    <w:rsid w:val="00761755"/>
    <w:rsid w:val="00761765"/>
    <w:rsid w:val="007620EA"/>
    <w:rsid w:val="0076222D"/>
    <w:rsid w:val="007625DF"/>
    <w:rsid w:val="00762A1C"/>
    <w:rsid w:val="00762FD3"/>
    <w:rsid w:val="007639D1"/>
    <w:rsid w:val="00763D6C"/>
    <w:rsid w:val="00764936"/>
    <w:rsid w:val="00766D74"/>
    <w:rsid w:val="0076777C"/>
    <w:rsid w:val="00767BDB"/>
    <w:rsid w:val="007703C5"/>
    <w:rsid w:val="00770A81"/>
    <w:rsid w:val="00771603"/>
    <w:rsid w:val="00771C71"/>
    <w:rsid w:val="00772573"/>
    <w:rsid w:val="00772635"/>
    <w:rsid w:val="00773105"/>
    <w:rsid w:val="00773129"/>
    <w:rsid w:val="00773A3F"/>
    <w:rsid w:val="00773ECF"/>
    <w:rsid w:val="0077407E"/>
    <w:rsid w:val="0077421D"/>
    <w:rsid w:val="00774AA0"/>
    <w:rsid w:val="0077532F"/>
    <w:rsid w:val="007761B4"/>
    <w:rsid w:val="00776306"/>
    <w:rsid w:val="007768C5"/>
    <w:rsid w:val="00776CBA"/>
    <w:rsid w:val="00777655"/>
    <w:rsid w:val="00777A6D"/>
    <w:rsid w:val="00780744"/>
    <w:rsid w:val="007807BF"/>
    <w:rsid w:val="00780C9C"/>
    <w:rsid w:val="00780DC4"/>
    <w:rsid w:val="00781E97"/>
    <w:rsid w:val="00782394"/>
    <w:rsid w:val="007828FF"/>
    <w:rsid w:val="0078363B"/>
    <w:rsid w:val="00783665"/>
    <w:rsid w:val="007836B5"/>
    <w:rsid w:val="0078448D"/>
    <w:rsid w:val="00784BCF"/>
    <w:rsid w:val="007856A5"/>
    <w:rsid w:val="00785F79"/>
    <w:rsid w:val="007861E0"/>
    <w:rsid w:val="007866BD"/>
    <w:rsid w:val="007869B2"/>
    <w:rsid w:val="00786D98"/>
    <w:rsid w:val="0078724A"/>
    <w:rsid w:val="0079082F"/>
    <w:rsid w:val="00790D29"/>
    <w:rsid w:val="0079116E"/>
    <w:rsid w:val="0079159E"/>
    <w:rsid w:val="007918C3"/>
    <w:rsid w:val="0079190D"/>
    <w:rsid w:val="007922CF"/>
    <w:rsid w:val="007922DC"/>
    <w:rsid w:val="007924B8"/>
    <w:rsid w:val="00792B1D"/>
    <w:rsid w:val="00792B88"/>
    <w:rsid w:val="00792DE3"/>
    <w:rsid w:val="00792FB7"/>
    <w:rsid w:val="00793B10"/>
    <w:rsid w:val="00793FC9"/>
    <w:rsid w:val="00794286"/>
    <w:rsid w:val="0079496F"/>
    <w:rsid w:val="00794A30"/>
    <w:rsid w:val="00794A90"/>
    <w:rsid w:val="00795433"/>
    <w:rsid w:val="00795B98"/>
    <w:rsid w:val="00796DC0"/>
    <w:rsid w:val="00796E67"/>
    <w:rsid w:val="007973DA"/>
    <w:rsid w:val="0079757B"/>
    <w:rsid w:val="0079757C"/>
    <w:rsid w:val="007A02BF"/>
    <w:rsid w:val="007A0530"/>
    <w:rsid w:val="007A0988"/>
    <w:rsid w:val="007A202A"/>
    <w:rsid w:val="007A23AE"/>
    <w:rsid w:val="007A2F3B"/>
    <w:rsid w:val="007A3794"/>
    <w:rsid w:val="007A3E5F"/>
    <w:rsid w:val="007A3F98"/>
    <w:rsid w:val="007A4745"/>
    <w:rsid w:val="007A5126"/>
    <w:rsid w:val="007A6B9E"/>
    <w:rsid w:val="007A7147"/>
    <w:rsid w:val="007A7586"/>
    <w:rsid w:val="007A75F6"/>
    <w:rsid w:val="007A7946"/>
    <w:rsid w:val="007B13EB"/>
    <w:rsid w:val="007B18AB"/>
    <w:rsid w:val="007B1DD2"/>
    <w:rsid w:val="007B291A"/>
    <w:rsid w:val="007B31AC"/>
    <w:rsid w:val="007B359C"/>
    <w:rsid w:val="007B3708"/>
    <w:rsid w:val="007B3780"/>
    <w:rsid w:val="007B392D"/>
    <w:rsid w:val="007B39FE"/>
    <w:rsid w:val="007B7D78"/>
    <w:rsid w:val="007C0905"/>
    <w:rsid w:val="007C0E07"/>
    <w:rsid w:val="007C0E52"/>
    <w:rsid w:val="007C1829"/>
    <w:rsid w:val="007C203F"/>
    <w:rsid w:val="007C23C2"/>
    <w:rsid w:val="007C30FA"/>
    <w:rsid w:val="007C3367"/>
    <w:rsid w:val="007C4A65"/>
    <w:rsid w:val="007C4EAC"/>
    <w:rsid w:val="007C5128"/>
    <w:rsid w:val="007C55AC"/>
    <w:rsid w:val="007C5603"/>
    <w:rsid w:val="007C6B9F"/>
    <w:rsid w:val="007C6E8A"/>
    <w:rsid w:val="007C768E"/>
    <w:rsid w:val="007C77BA"/>
    <w:rsid w:val="007C77F4"/>
    <w:rsid w:val="007C7937"/>
    <w:rsid w:val="007D126F"/>
    <w:rsid w:val="007D1B11"/>
    <w:rsid w:val="007D25D1"/>
    <w:rsid w:val="007D26D0"/>
    <w:rsid w:val="007D29B7"/>
    <w:rsid w:val="007D2C72"/>
    <w:rsid w:val="007D323B"/>
    <w:rsid w:val="007D34FF"/>
    <w:rsid w:val="007D382C"/>
    <w:rsid w:val="007D3B19"/>
    <w:rsid w:val="007D4F75"/>
    <w:rsid w:val="007D523D"/>
    <w:rsid w:val="007D548C"/>
    <w:rsid w:val="007D573A"/>
    <w:rsid w:val="007D5E1F"/>
    <w:rsid w:val="007D7125"/>
    <w:rsid w:val="007D757D"/>
    <w:rsid w:val="007D75CE"/>
    <w:rsid w:val="007E0A1F"/>
    <w:rsid w:val="007E0C57"/>
    <w:rsid w:val="007E1094"/>
    <w:rsid w:val="007E1447"/>
    <w:rsid w:val="007E181D"/>
    <w:rsid w:val="007E1C3D"/>
    <w:rsid w:val="007E1E12"/>
    <w:rsid w:val="007E3798"/>
    <w:rsid w:val="007E37EF"/>
    <w:rsid w:val="007E3FDC"/>
    <w:rsid w:val="007E5405"/>
    <w:rsid w:val="007E5A62"/>
    <w:rsid w:val="007E5C22"/>
    <w:rsid w:val="007E5E82"/>
    <w:rsid w:val="007E5FF5"/>
    <w:rsid w:val="007E66DC"/>
    <w:rsid w:val="007E67AB"/>
    <w:rsid w:val="007E68EE"/>
    <w:rsid w:val="007E751E"/>
    <w:rsid w:val="007E7FA2"/>
    <w:rsid w:val="007F0249"/>
    <w:rsid w:val="007F0547"/>
    <w:rsid w:val="007F10A4"/>
    <w:rsid w:val="007F114A"/>
    <w:rsid w:val="007F152B"/>
    <w:rsid w:val="007F1636"/>
    <w:rsid w:val="007F2651"/>
    <w:rsid w:val="007F28B3"/>
    <w:rsid w:val="007F2EB1"/>
    <w:rsid w:val="007F2F24"/>
    <w:rsid w:val="007F2FBB"/>
    <w:rsid w:val="007F4605"/>
    <w:rsid w:val="007F46FA"/>
    <w:rsid w:val="007F5ED4"/>
    <w:rsid w:val="007F6073"/>
    <w:rsid w:val="007F6A4A"/>
    <w:rsid w:val="007F7676"/>
    <w:rsid w:val="007F7C49"/>
    <w:rsid w:val="007F7ED8"/>
    <w:rsid w:val="00801713"/>
    <w:rsid w:val="00802C18"/>
    <w:rsid w:val="00803038"/>
    <w:rsid w:val="00803568"/>
    <w:rsid w:val="0080387C"/>
    <w:rsid w:val="008039C1"/>
    <w:rsid w:val="00803BDE"/>
    <w:rsid w:val="00804004"/>
    <w:rsid w:val="00804692"/>
    <w:rsid w:val="00804C1D"/>
    <w:rsid w:val="0080504C"/>
    <w:rsid w:val="00805A20"/>
    <w:rsid w:val="00805A4C"/>
    <w:rsid w:val="00805A62"/>
    <w:rsid w:val="00805B7E"/>
    <w:rsid w:val="00806348"/>
    <w:rsid w:val="00806911"/>
    <w:rsid w:val="00807201"/>
    <w:rsid w:val="00807281"/>
    <w:rsid w:val="00807541"/>
    <w:rsid w:val="008077D8"/>
    <w:rsid w:val="008104E2"/>
    <w:rsid w:val="0081065A"/>
    <w:rsid w:val="00810BF3"/>
    <w:rsid w:val="00811067"/>
    <w:rsid w:val="00811C5F"/>
    <w:rsid w:val="00812349"/>
    <w:rsid w:val="00813E64"/>
    <w:rsid w:val="00814641"/>
    <w:rsid w:val="00814C3B"/>
    <w:rsid w:val="008154D4"/>
    <w:rsid w:val="00815605"/>
    <w:rsid w:val="00815846"/>
    <w:rsid w:val="00815C53"/>
    <w:rsid w:val="00815F99"/>
    <w:rsid w:val="00816ECC"/>
    <w:rsid w:val="00816F3B"/>
    <w:rsid w:val="008174BC"/>
    <w:rsid w:val="00817502"/>
    <w:rsid w:val="00820090"/>
    <w:rsid w:val="00820E14"/>
    <w:rsid w:val="00820EAF"/>
    <w:rsid w:val="00820EB2"/>
    <w:rsid w:val="0082155D"/>
    <w:rsid w:val="0082177D"/>
    <w:rsid w:val="00822B59"/>
    <w:rsid w:val="00822CB6"/>
    <w:rsid w:val="008234A4"/>
    <w:rsid w:val="008238E9"/>
    <w:rsid w:val="00823C75"/>
    <w:rsid w:val="008240DE"/>
    <w:rsid w:val="008257BC"/>
    <w:rsid w:val="00825969"/>
    <w:rsid w:val="00825AB3"/>
    <w:rsid w:val="008263B1"/>
    <w:rsid w:val="0083052F"/>
    <w:rsid w:val="0083061C"/>
    <w:rsid w:val="008308C5"/>
    <w:rsid w:val="00830B9D"/>
    <w:rsid w:val="00831551"/>
    <w:rsid w:val="00831E52"/>
    <w:rsid w:val="00831F09"/>
    <w:rsid w:val="00831F6C"/>
    <w:rsid w:val="008323EC"/>
    <w:rsid w:val="00832D7D"/>
    <w:rsid w:val="008334C9"/>
    <w:rsid w:val="00833CE7"/>
    <w:rsid w:val="008343C7"/>
    <w:rsid w:val="0083476B"/>
    <w:rsid w:val="008354F9"/>
    <w:rsid w:val="00835B03"/>
    <w:rsid w:val="00835FA6"/>
    <w:rsid w:val="0083608D"/>
    <w:rsid w:val="008362DC"/>
    <w:rsid w:val="00836714"/>
    <w:rsid w:val="0084085A"/>
    <w:rsid w:val="00840B9B"/>
    <w:rsid w:val="00840F35"/>
    <w:rsid w:val="00841555"/>
    <w:rsid w:val="008419B1"/>
    <w:rsid w:val="00841BE6"/>
    <w:rsid w:val="00842490"/>
    <w:rsid w:val="00842D5B"/>
    <w:rsid w:val="00843FE0"/>
    <w:rsid w:val="00844200"/>
    <w:rsid w:val="008442D0"/>
    <w:rsid w:val="00844495"/>
    <w:rsid w:val="008444B4"/>
    <w:rsid w:val="008444EE"/>
    <w:rsid w:val="00844689"/>
    <w:rsid w:val="008448A2"/>
    <w:rsid w:val="00844F61"/>
    <w:rsid w:val="00845141"/>
    <w:rsid w:val="008453DB"/>
    <w:rsid w:val="008454B1"/>
    <w:rsid w:val="00845B75"/>
    <w:rsid w:val="008460AD"/>
    <w:rsid w:val="008466F1"/>
    <w:rsid w:val="00846CB0"/>
    <w:rsid w:val="0084786D"/>
    <w:rsid w:val="00847D01"/>
    <w:rsid w:val="00847E26"/>
    <w:rsid w:val="00851000"/>
    <w:rsid w:val="00851644"/>
    <w:rsid w:val="00851760"/>
    <w:rsid w:val="00852B2E"/>
    <w:rsid w:val="008533CE"/>
    <w:rsid w:val="008535CA"/>
    <w:rsid w:val="00854ADC"/>
    <w:rsid w:val="008558A6"/>
    <w:rsid w:val="00855976"/>
    <w:rsid w:val="00855D22"/>
    <w:rsid w:val="00855E1A"/>
    <w:rsid w:val="008563FD"/>
    <w:rsid w:val="00856853"/>
    <w:rsid w:val="00856B25"/>
    <w:rsid w:val="00857531"/>
    <w:rsid w:val="00857DC6"/>
    <w:rsid w:val="008600F5"/>
    <w:rsid w:val="008601E4"/>
    <w:rsid w:val="00861275"/>
    <w:rsid w:val="008614A4"/>
    <w:rsid w:val="00861D0B"/>
    <w:rsid w:val="00862114"/>
    <w:rsid w:val="00863BC6"/>
    <w:rsid w:val="0086456A"/>
    <w:rsid w:val="008648FF"/>
    <w:rsid w:val="008649BC"/>
    <w:rsid w:val="00864AFD"/>
    <w:rsid w:val="00864B94"/>
    <w:rsid w:val="00864BCE"/>
    <w:rsid w:val="00864E0D"/>
    <w:rsid w:val="00865F6C"/>
    <w:rsid w:val="008661EF"/>
    <w:rsid w:val="00866499"/>
    <w:rsid w:val="00866980"/>
    <w:rsid w:val="008675FC"/>
    <w:rsid w:val="00871432"/>
    <w:rsid w:val="00871521"/>
    <w:rsid w:val="008716F0"/>
    <w:rsid w:val="00871D6B"/>
    <w:rsid w:val="00872CE5"/>
    <w:rsid w:val="008731E6"/>
    <w:rsid w:val="0087479B"/>
    <w:rsid w:val="008747DE"/>
    <w:rsid w:val="00875016"/>
    <w:rsid w:val="0087559A"/>
    <w:rsid w:val="0087578E"/>
    <w:rsid w:val="0087649E"/>
    <w:rsid w:val="00876539"/>
    <w:rsid w:val="00876FCF"/>
    <w:rsid w:val="00877264"/>
    <w:rsid w:val="00877397"/>
    <w:rsid w:val="00877BE3"/>
    <w:rsid w:val="0088092B"/>
    <w:rsid w:val="00880D3A"/>
    <w:rsid w:val="0088276F"/>
    <w:rsid w:val="008835CE"/>
    <w:rsid w:val="008840C1"/>
    <w:rsid w:val="0088418F"/>
    <w:rsid w:val="008841E1"/>
    <w:rsid w:val="00884978"/>
    <w:rsid w:val="00884CB8"/>
    <w:rsid w:val="00885AE0"/>
    <w:rsid w:val="00885D74"/>
    <w:rsid w:val="00886054"/>
    <w:rsid w:val="00887204"/>
    <w:rsid w:val="008872F3"/>
    <w:rsid w:val="00887E75"/>
    <w:rsid w:val="00890FBC"/>
    <w:rsid w:val="008918B0"/>
    <w:rsid w:val="00891CB8"/>
    <w:rsid w:val="0089273B"/>
    <w:rsid w:val="00892836"/>
    <w:rsid w:val="00893B0C"/>
    <w:rsid w:val="008945A1"/>
    <w:rsid w:val="0089475E"/>
    <w:rsid w:val="00894940"/>
    <w:rsid w:val="0089498F"/>
    <w:rsid w:val="00894E76"/>
    <w:rsid w:val="00894EE8"/>
    <w:rsid w:val="00895A11"/>
    <w:rsid w:val="008962FD"/>
    <w:rsid w:val="00896699"/>
    <w:rsid w:val="0089708B"/>
    <w:rsid w:val="008A0DA8"/>
    <w:rsid w:val="008A10F7"/>
    <w:rsid w:val="008A1DB4"/>
    <w:rsid w:val="008A1E1D"/>
    <w:rsid w:val="008A2280"/>
    <w:rsid w:val="008A2AF9"/>
    <w:rsid w:val="008A3261"/>
    <w:rsid w:val="008A3612"/>
    <w:rsid w:val="008A3D29"/>
    <w:rsid w:val="008A5CB3"/>
    <w:rsid w:val="008A6058"/>
    <w:rsid w:val="008A64EC"/>
    <w:rsid w:val="008A65D3"/>
    <w:rsid w:val="008A7A7A"/>
    <w:rsid w:val="008A7BE1"/>
    <w:rsid w:val="008A7CD7"/>
    <w:rsid w:val="008A7E0C"/>
    <w:rsid w:val="008A7E24"/>
    <w:rsid w:val="008B1D3E"/>
    <w:rsid w:val="008B1DA6"/>
    <w:rsid w:val="008B1FE3"/>
    <w:rsid w:val="008B2132"/>
    <w:rsid w:val="008B2699"/>
    <w:rsid w:val="008B3732"/>
    <w:rsid w:val="008B417D"/>
    <w:rsid w:val="008B4F48"/>
    <w:rsid w:val="008B67AF"/>
    <w:rsid w:val="008B6E45"/>
    <w:rsid w:val="008B716C"/>
    <w:rsid w:val="008C0645"/>
    <w:rsid w:val="008C0BD7"/>
    <w:rsid w:val="008C187E"/>
    <w:rsid w:val="008C189F"/>
    <w:rsid w:val="008C1FC6"/>
    <w:rsid w:val="008C21E0"/>
    <w:rsid w:val="008C24D3"/>
    <w:rsid w:val="008C2B9A"/>
    <w:rsid w:val="008C376D"/>
    <w:rsid w:val="008C3AFE"/>
    <w:rsid w:val="008C42F1"/>
    <w:rsid w:val="008C493C"/>
    <w:rsid w:val="008C4FAD"/>
    <w:rsid w:val="008C5384"/>
    <w:rsid w:val="008C5418"/>
    <w:rsid w:val="008C5ADF"/>
    <w:rsid w:val="008C6379"/>
    <w:rsid w:val="008C64BE"/>
    <w:rsid w:val="008C689F"/>
    <w:rsid w:val="008C6CDC"/>
    <w:rsid w:val="008C79CC"/>
    <w:rsid w:val="008C7ED2"/>
    <w:rsid w:val="008D0050"/>
    <w:rsid w:val="008D022A"/>
    <w:rsid w:val="008D14DC"/>
    <w:rsid w:val="008D15B8"/>
    <w:rsid w:val="008D1A9E"/>
    <w:rsid w:val="008D1B0C"/>
    <w:rsid w:val="008D29C4"/>
    <w:rsid w:val="008D2BCD"/>
    <w:rsid w:val="008D35E5"/>
    <w:rsid w:val="008D42C2"/>
    <w:rsid w:val="008D510E"/>
    <w:rsid w:val="008D5171"/>
    <w:rsid w:val="008D51BC"/>
    <w:rsid w:val="008D52FE"/>
    <w:rsid w:val="008D614E"/>
    <w:rsid w:val="008D6275"/>
    <w:rsid w:val="008D6327"/>
    <w:rsid w:val="008D6963"/>
    <w:rsid w:val="008D69E1"/>
    <w:rsid w:val="008D6ED8"/>
    <w:rsid w:val="008D7835"/>
    <w:rsid w:val="008D7855"/>
    <w:rsid w:val="008E03F0"/>
    <w:rsid w:val="008E04FD"/>
    <w:rsid w:val="008E0CC4"/>
    <w:rsid w:val="008E1083"/>
    <w:rsid w:val="008E124D"/>
    <w:rsid w:val="008E15D1"/>
    <w:rsid w:val="008E161D"/>
    <w:rsid w:val="008E1786"/>
    <w:rsid w:val="008E1C17"/>
    <w:rsid w:val="008E351F"/>
    <w:rsid w:val="008E3CBD"/>
    <w:rsid w:val="008E3D2E"/>
    <w:rsid w:val="008E40FA"/>
    <w:rsid w:val="008E424F"/>
    <w:rsid w:val="008E4B85"/>
    <w:rsid w:val="008E4C41"/>
    <w:rsid w:val="008E5423"/>
    <w:rsid w:val="008E5455"/>
    <w:rsid w:val="008E62C9"/>
    <w:rsid w:val="008E6DBA"/>
    <w:rsid w:val="008E6F2C"/>
    <w:rsid w:val="008E7B40"/>
    <w:rsid w:val="008E7F52"/>
    <w:rsid w:val="008F03E1"/>
    <w:rsid w:val="008F0A50"/>
    <w:rsid w:val="008F0C5D"/>
    <w:rsid w:val="008F1A2A"/>
    <w:rsid w:val="008F1CCA"/>
    <w:rsid w:val="008F2061"/>
    <w:rsid w:val="008F2BA8"/>
    <w:rsid w:val="008F353F"/>
    <w:rsid w:val="008F38A3"/>
    <w:rsid w:val="008F3A11"/>
    <w:rsid w:val="008F4927"/>
    <w:rsid w:val="008F5A15"/>
    <w:rsid w:val="008F636D"/>
    <w:rsid w:val="008F6F0F"/>
    <w:rsid w:val="008F732E"/>
    <w:rsid w:val="008F7612"/>
    <w:rsid w:val="00900196"/>
    <w:rsid w:val="009020AE"/>
    <w:rsid w:val="009021A2"/>
    <w:rsid w:val="00902366"/>
    <w:rsid w:val="00902CF2"/>
    <w:rsid w:val="00902D64"/>
    <w:rsid w:val="00903B94"/>
    <w:rsid w:val="00904271"/>
    <w:rsid w:val="00904887"/>
    <w:rsid w:val="0090495C"/>
    <w:rsid w:val="00904B0F"/>
    <w:rsid w:val="00904F30"/>
    <w:rsid w:val="00905DA8"/>
    <w:rsid w:val="009067D7"/>
    <w:rsid w:val="009071F6"/>
    <w:rsid w:val="00907E15"/>
    <w:rsid w:val="00910327"/>
    <w:rsid w:val="00910807"/>
    <w:rsid w:val="00910A9A"/>
    <w:rsid w:val="009117A4"/>
    <w:rsid w:val="00911898"/>
    <w:rsid w:val="0091238F"/>
    <w:rsid w:val="00912B3D"/>
    <w:rsid w:val="00912DB3"/>
    <w:rsid w:val="009134AC"/>
    <w:rsid w:val="009134DB"/>
    <w:rsid w:val="00913619"/>
    <w:rsid w:val="00913C1E"/>
    <w:rsid w:val="00913D4C"/>
    <w:rsid w:val="009145F8"/>
    <w:rsid w:val="00914A5E"/>
    <w:rsid w:val="00914E2E"/>
    <w:rsid w:val="00915189"/>
    <w:rsid w:val="00915304"/>
    <w:rsid w:val="009155E3"/>
    <w:rsid w:val="00915790"/>
    <w:rsid w:val="00917B17"/>
    <w:rsid w:val="00917FCE"/>
    <w:rsid w:val="00920557"/>
    <w:rsid w:val="00920C7D"/>
    <w:rsid w:val="00920F34"/>
    <w:rsid w:val="00921554"/>
    <w:rsid w:val="009219E1"/>
    <w:rsid w:val="00921C3A"/>
    <w:rsid w:val="00921F8E"/>
    <w:rsid w:val="00922B80"/>
    <w:rsid w:val="00923CE3"/>
    <w:rsid w:val="00923EB0"/>
    <w:rsid w:val="009246BA"/>
    <w:rsid w:val="00924E8E"/>
    <w:rsid w:val="00925376"/>
    <w:rsid w:val="00926229"/>
    <w:rsid w:val="00926757"/>
    <w:rsid w:val="00926E28"/>
    <w:rsid w:val="00926E6C"/>
    <w:rsid w:val="009274B2"/>
    <w:rsid w:val="009275F1"/>
    <w:rsid w:val="009279B3"/>
    <w:rsid w:val="00927C92"/>
    <w:rsid w:val="009300E7"/>
    <w:rsid w:val="00930EF2"/>
    <w:rsid w:val="00931126"/>
    <w:rsid w:val="00931346"/>
    <w:rsid w:val="009319D5"/>
    <w:rsid w:val="00931DC2"/>
    <w:rsid w:val="009325B4"/>
    <w:rsid w:val="00932C02"/>
    <w:rsid w:val="009331F9"/>
    <w:rsid w:val="00933256"/>
    <w:rsid w:val="009334F9"/>
    <w:rsid w:val="00933B28"/>
    <w:rsid w:val="00933E12"/>
    <w:rsid w:val="00934302"/>
    <w:rsid w:val="00934A02"/>
    <w:rsid w:val="00934A4A"/>
    <w:rsid w:val="00934B63"/>
    <w:rsid w:val="00934EA0"/>
    <w:rsid w:val="0093528A"/>
    <w:rsid w:val="009355CF"/>
    <w:rsid w:val="0093591E"/>
    <w:rsid w:val="0093655A"/>
    <w:rsid w:val="00937087"/>
    <w:rsid w:val="00937373"/>
    <w:rsid w:val="00940912"/>
    <w:rsid w:val="00940D69"/>
    <w:rsid w:val="00940F72"/>
    <w:rsid w:val="0094128F"/>
    <w:rsid w:val="00941A69"/>
    <w:rsid w:val="00941EA3"/>
    <w:rsid w:val="009430B8"/>
    <w:rsid w:val="009434E0"/>
    <w:rsid w:val="009435FB"/>
    <w:rsid w:val="009438E2"/>
    <w:rsid w:val="00943B60"/>
    <w:rsid w:val="00944AF4"/>
    <w:rsid w:val="00944F9A"/>
    <w:rsid w:val="009453A0"/>
    <w:rsid w:val="0094568E"/>
    <w:rsid w:val="0094577E"/>
    <w:rsid w:val="00945868"/>
    <w:rsid w:val="00945917"/>
    <w:rsid w:val="00945B77"/>
    <w:rsid w:val="00946A60"/>
    <w:rsid w:val="00946B8A"/>
    <w:rsid w:val="00946E6B"/>
    <w:rsid w:val="009474DC"/>
    <w:rsid w:val="00951339"/>
    <w:rsid w:val="00951E8B"/>
    <w:rsid w:val="00952451"/>
    <w:rsid w:val="009527E3"/>
    <w:rsid w:val="0095285E"/>
    <w:rsid w:val="00953159"/>
    <w:rsid w:val="009532E4"/>
    <w:rsid w:val="0095368A"/>
    <w:rsid w:val="00953742"/>
    <w:rsid w:val="00953C1A"/>
    <w:rsid w:val="00954461"/>
    <w:rsid w:val="00954741"/>
    <w:rsid w:val="00954B2B"/>
    <w:rsid w:val="00955659"/>
    <w:rsid w:val="00955810"/>
    <w:rsid w:val="00956970"/>
    <w:rsid w:val="009569E5"/>
    <w:rsid w:val="00956D46"/>
    <w:rsid w:val="00957C5F"/>
    <w:rsid w:val="00961182"/>
    <w:rsid w:val="009611DF"/>
    <w:rsid w:val="00961936"/>
    <w:rsid w:val="00961DD1"/>
    <w:rsid w:val="009621BD"/>
    <w:rsid w:val="0096230A"/>
    <w:rsid w:val="0096288C"/>
    <w:rsid w:val="00962B83"/>
    <w:rsid w:val="00962EF0"/>
    <w:rsid w:val="00964822"/>
    <w:rsid w:val="00964AF6"/>
    <w:rsid w:val="00964B26"/>
    <w:rsid w:val="0096531C"/>
    <w:rsid w:val="00965446"/>
    <w:rsid w:val="00965565"/>
    <w:rsid w:val="00965B1C"/>
    <w:rsid w:val="00965E2D"/>
    <w:rsid w:val="009664E9"/>
    <w:rsid w:val="00966615"/>
    <w:rsid w:val="009668E3"/>
    <w:rsid w:val="00966D4F"/>
    <w:rsid w:val="00967086"/>
    <w:rsid w:val="009672A3"/>
    <w:rsid w:val="0096773E"/>
    <w:rsid w:val="00967D92"/>
    <w:rsid w:val="00970428"/>
    <w:rsid w:val="0097075E"/>
    <w:rsid w:val="00970F4E"/>
    <w:rsid w:val="00971483"/>
    <w:rsid w:val="00971600"/>
    <w:rsid w:val="009717E1"/>
    <w:rsid w:val="00971A68"/>
    <w:rsid w:val="00971FF6"/>
    <w:rsid w:val="0097211C"/>
    <w:rsid w:val="00972848"/>
    <w:rsid w:val="009728BA"/>
    <w:rsid w:val="00972BF1"/>
    <w:rsid w:val="00972F84"/>
    <w:rsid w:val="009737FB"/>
    <w:rsid w:val="00973994"/>
    <w:rsid w:val="0097403B"/>
    <w:rsid w:val="0097485E"/>
    <w:rsid w:val="00974ACB"/>
    <w:rsid w:val="009755A1"/>
    <w:rsid w:val="009756F4"/>
    <w:rsid w:val="009758C0"/>
    <w:rsid w:val="009759F0"/>
    <w:rsid w:val="00975A96"/>
    <w:rsid w:val="009760F6"/>
    <w:rsid w:val="009767D4"/>
    <w:rsid w:val="00977E91"/>
    <w:rsid w:val="00980B68"/>
    <w:rsid w:val="00980D86"/>
    <w:rsid w:val="00981006"/>
    <w:rsid w:val="00981693"/>
    <w:rsid w:val="00981F85"/>
    <w:rsid w:val="00981FA4"/>
    <w:rsid w:val="00982622"/>
    <w:rsid w:val="0098328F"/>
    <w:rsid w:val="00983669"/>
    <w:rsid w:val="00984114"/>
    <w:rsid w:val="0098445A"/>
    <w:rsid w:val="009844E6"/>
    <w:rsid w:val="0098450A"/>
    <w:rsid w:val="00984D69"/>
    <w:rsid w:val="00985D4B"/>
    <w:rsid w:val="00985E07"/>
    <w:rsid w:val="009863EC"/>
    <w:rsid w:val="00986558"/>
    <w:rsid w:val="00986FFA"/>
    <w:rsid w:val="0098732A"/>
    <w:rsid w:val="00987A70"/>
    <w:rsid w:val="00987CE8"/>
    <w:rsid w:val="00990DF3"/>
    <w:rsid w:val="00991230"/>
    <w:rsid w:val="009916B0"/>
    <w:rsid w:val="00991B1A"/>
    <w:rsid w:val="00992001"/>
    <w:rsid w:val="009927F6"/>
    <w:rsid w:val="0099290C"/>
    <w:rsid w:val="00992D70"/>
    <w:rsid w:val="009932A7"/>
    <w:rsid w:val="00993B9B"/>
    <w:rsid w:val="00993E9C"/>
    <w:rsid w:val="009947B3"/>
    <w:rsid w:val="00994FA2"/>
    <w:rsid w:val="009953AC"/>
    <w:rsid w:val="00995DCB"/>
    <w:rsid w:val="009960E6"/>
    <w:rsid w:val="00997FAF"/>
    <w:rsid w:val="009A0E16"/>
    <w:rsid w:val="009A11E9"/>
    <w:rsid w:val="009A1F06"/>
    <w:rsid w:val="009A207E"/>
    <w:rsid w:val="009A33CA"/>
    <w:rsid w:val="009A366C"/>
    <w:rsid w:val="009A3D7B"/>
    <w:rsid w:val="009A3F37"/>
    <w:rsid w:val="009A5545"/>
    <w:rsid w:val="009A5764"/>
    <w:rsid w:val="009A616C"/>
    <w:rsid w:val="009A6697"/>
    <w:rsid w:val="009A6A12"/>
    <w:rsid w:val="009A6A98"/>
    <w:rsid w:val="009A6EF5"/>
    <w:rsid w:val="009A7A23"/>
    <w:rsid w:val="009B013C"/>
    <w:rsid w:val="009B081C"/>
    <w:rsid w:val="009B0BF0"/>
    <w:rsid w:val="009B13FE"/>
    <w:rsid w:val="009B22C7"/>
    <w:rsid w:val="009B2BF2"/>
    <w:rsid w:val="009B2F99"/>
    <w:rsid w:val="009B3029"/>
    <w:rsid w:val="009B3259"/>
    <w:rsid w:val="009B3664"/>
    <w:rsid w:val="009B3753"/>
    <w:rsid w:val="009B3C78"/>
    <w:rsid w:val="009B46A4"/>
    <w:rsid w:val="009B4B8F"/>
    <w:rsid w:val="009B4D99"/>
    <w:rsid w:val="009B5108"/>
    <w:rsid w:val="009B6B45"/>
    <w:rsid w:val="009B6B77"/>
    <w:rsid w:val="009B75AA"/>
    <w:rsid w:val="009B7633"/>
    <w:rsid w:val="009B7BEA"/>
    <w:rsid w:val="009C079F"/>
    <w:rsid w:val="009C09B6"/>
    <w:rsid w:val="009C0B5C"/>
    <w:rsid w:val="009C14FA"/>
    <w:rsid w:val="009C1BC5"/>
    <w:rsid w:val="009C22F5"/>
    <w:rsid w:val="009C24EF"/>
    <w:rsid w:val="009C363D"/>
    <w:rsid w:val="009C3D24"/>
    <w:rsid w:val="009C3DD1"/>
    <w:rsid w:val="009C5554"/>
    <w:rsid w:val="009C654C"/>
    <w:rsid w:val="009C69E4"/>
    <w:rsid w:val="009C7903"/>
    <w:rsid w:val="009D02E2"/>
    <w:rsid w:val="009D069B"/>
    <w:rsid w:val="009D0A55"/>
    <w:rsid w:val="009D0D2A"/>
    <w:rsid w:val="009D0E39"/>
    <w:rsid w:val="009D17A6"/>
    <w:rsid w:val="009D1845"/>
    <w:rsid w:val="009D1970"/>
    <w:rsid w:val="009D28F8"/>
    <w:rsid w:val="009D2B45"/>
    <w:rsid w:val="009D2B56"/>
    <w:rsid w:val="009D2EFE"/>
    <w:rsid w:val="009D2F10"/>
    <w:rsid w:val="009D3C44"/>
    <w:rsid w:val="009D4972"/>
    <w:rsid w:val="009D4CA3"/>
    <w:rsid w:val="009D58F1"/>
    <w:rsid w:val="009D5E34"/>
    <w:rsid w:val="009D6B46"/>
    <w:rsid w:val="009D6D4D"/>
    <w:rsid w:val="009D7248"/>
    <w:rsid w:val="009E07CA"/>
    <w:rsid w:val="009E0F97"/>
    <w:rsid w:val="009E14CE"/>
    <w:rsid w:val="009E1BDC"/>
    <w:rsid w:val="009E2483"/>
    <w:rsid w:val="009E2DD5"/>
    <w:rsid w:val="009E2E8F"/>
    <w:rsid w:val="009E30CF"/>
    <w:rsid w:val="009E31EC"/>
    <w:rsid w:val="009E33E9"/>
    <w:rsid w:val="009E346E"/>
    <w:rsid w:val="009E3C75"/>
    <w:rsid w:val="009E4296"/>
    <w:rsid w:val="009E4FF1"/>
    <w:rsid w:val="009E56F2"/>
    <w:rsid w:val="009E593E"/>
    <w:rsid w:val="009E6D57"/>
    <w:rsid w:val="009E6DAB"/>
    <w:rsid w:val="009E73A1"/>
    <w:rsid w:val="009E76A5"/>
    <w:rsid w:val="009F0129"/>
    <w:rsid w:val="009F0361"/>
    <w:rsid w:val="009F0C06"/>
    <w:rsid w:val="009F0FDB"/>
    <w:rsid w:val="009F1536"/>
    <w:rsid w:val="009F1645"/>
    <w:rsid w:val="009F18E5"/>
    <w:rsid w:val="009F19C5"/>
    <w:rsid w:val="009F268C"/>
    <w:rsid w:val="009F3025"/>
    <w:rsid w:val="009F4323"/>
    <w:rsid w:val="009F506D"/>
    <w:rsid w:val="009F53AF"/>
    <w:rsid w:val="009F5A12"/>
    <w:rsid w:val="009F6B79"/>
    <w:rsid w:val="009F6F81"/>
    <w:rsid w:val="00A00496"/>
    <w:rsid w:val="00A00762"/>
    <w:rsid w:val="00A007AB"/>
    <w:rsid w:val="00A00855"/>
    <w:rsid w:val="00A01B2D"/>
    <w:rsid w:val="00A01F18"/>
    <w:rsid w:val="00A02CE1"/>
    <w:rsid w:val="00A02E7A"/>
    <w:rsid w:val="00A03CE8"/>
    <w:rsid w:val="00A048DA"/>
    <w:rsid w:val="00A04916"/>
    <w:rsid w:val="00A04C75"/>
    <w:rsid w:val="00A05534"/>
    <w:rsid w:val="00A05941"/>
    <w:rsid w:val="00A0684D"/>
    <w:rsid w:val="00A06FBD"/>
    <w:rsid w:val="00A078FF"/>
    <w:rsid w:val="00A108F2"/>
    <w:rsid w:val="00A111BC"/>
    <w:rsid w:val="00A116D8"/>
    <w:rsid w:val="00A1226D"/>
    <w:rsid w:val="00A137AA"/>
    <w:rsid w:val="00A13D71"/>
    <w:rsid w:val="00A14A52"/>
    <w:rsid w:val="00A152F7"/>
    <w:rsid w:val="00A158D7"/>
    <w:rsid w:val="00A15BC2"/>
    <w:rsid w:val="00A163B3"/>
    <w:rsid w:val="00A165C5"/>
    <w:rsid w:val="00A170F6"/>
    <w:rsid w:val="00A173AD"/>
    <w:rsid w:val="00A17D57"/>
    <w:rsid w:val="00A17E37"/>
    <w:rsid w:val="00A203EB"/>
    <w:rsid w:val="00A2041B"/>
    <w:rsid w:val="00A2096F"/>
    <w:rsid w:val="00A21EDF"/>
    <w:rsid w:val="00A21F8C"/>
    <w:rsid w:val="00A22238"/>
    <w:rsid w:val="00A2290F"/>
    <w:rsid w:val="00A22D0D"/>
    <w:rsid w:val="00A23857"/>
    <w:rsid w:val="00A23F5E"/>
    <w:rsid w:val="00A23FA1"/>
    <w:rsid w:val="00A24152"/>
    <w:rsid w:val="00A244C9"/>
    <w:rsid w:val="00A24685"/>
    <w:rsid w:val="00A24D62"/>
    <w:rsid w:val="00A24F35"/>
    <w:rsid w:val="00A25310"/>
    <w:rsid w:val="00A25713"/>
    <w:rsid w:val="00A25E3D"/>
    <w:rsid w:val="00A26549"/>
    <w:rsid w:val="00A26B1C"/>
    <w:rsid w:val="00A26BAF"/>
    <w:rsid w:val="00A272FD"/>
    <w:rsid w:val="00A302E5"/>
    <w:rsid w:val="00A3031E"/>
    <w:rsid w:val="00A30577"/>
    <w:rsid w:val="00A31CEB"/>
    <w:rsid w:val="00A31D97"/>
    <w:rsid w:val="00A31F7D"/>
    <w:rsid w:val="00A32151"/>
    <w:rsid w:val="00A323D3"/>
    <w:rsid w:val="00A32867"/>
    <w:rsid w:val="00A32AC0"/>
    <w:rsid w:val="00A32B37"/>
    <w:rsid w:val="00A32BFF"/>
    <w:rsid w:val="00A33981"/>
    <w:rsid w:val="00A33E59"/>
    <w:rsid w:val="00A34415"/>
    <w:rsid w:val="00A349A0"/>
    <w:rsid w:val="00A34F7E"/>
    <w:rsid w:val="00A35222"/>
    <w:rsid w:val="00A35C68"/>
    <w:rsid w:val="00A36167"/>
    <w:rsid w:val="00A36887"/>
    <w:rsid w:val="00A36D1C"/>
    <w:rsid w:val="00A36F12"/>
    <w:rsid w:val="00A37FA1"/>
    <w:rsid w:val="00A41826"/>
    <w:rsid w:val="00A41CD0"/>
    <w:rsid w:val="00A41D1B"/>
    <w:rsid w:val="00A41F39"/>
    <w:rsid w:val="00A41F72"/>
    <w:rsid w:val="00A42556"/>
    <w:rsid w:val="00A4274E"/>
    <w:rsid w:val="00A42FC0"/>
    <w:rsid w:val="00A43C1D"/>
    <w:rsid w:val="00A441C3"/>
    <w:rsid w:val="00A45629"/>
    <w:rsid w:val="00A45D08"/>
    <w:rsid w:val="00A45F11"/>
    <w:rsid w:val="00A4632C"/>
    <w:rsid w:val="00A465B1"/>
    <w:rsid w:val="00A47632"/>
    <w:rsid w:val="00A478B3"/>
    <w:rsid w:val="00A514EA"/>
    <w:rsid w:val="00A517A1"/>
    <w:rsid w:val="00A51FB1"/>
    <w:rsid w:val="00A52255"/>
    <w:rsid w:val="00A523C0"/>
    <w:rsid w:val="00A52F65"/>
    <w:rsid w:val="00A53078"/>
    <w:rsid w:val="00A5369A"/>
    <w:rsid w:val="00A53947"/>
    <w:rsid w:val="00A53CF2"/>
    <w:rsid w:val="00A540FE"/>
    <w:rsid w:val="00A5415C"/>
    <w:rsid w:val="00A5525A"/>
    <w:rsid w:val="00A5563F"/>
    <w:rsid w:val="00A55681"/>
    <w:rsid w:val="00A55A97"/>
    <w:rsid w:val="00A55CDE"/>
    <w:rsid w:val="00A5759D"/>
    <w:rsid w:val="00A57A3B"/>
    <w:rsid w:val="00A57A6F"/>
    <w:rsid w:val="00A57D8A"/>
    <w:rsid w:val="00A60226"/>
    <w:rsid w:val="00A609BB"/>
    <w:rsid w:val="00A60A28"/>
    <w:rsid w:val="00A60A7C"/>
    <w:rsid w:val="00A6160C"/>
    <w:rsid w:val="00A616B1"/>
    <w:rsid w:val="00A61F54"/>
    <w:rsid w:val="00A62809"/>
    <w:rsid w:val="00A62AD1"/>
    <w:rsid w:val="00A62CDE"/>
    <w:rsid w:val="00A63147"/>
    <w:rsid w:val="00A632E6"/>
    <w:rsid w:val="00A63E24"/>
    <w:rsid w:val="00A6453C"/>
    <w:rsid w:val="00A649A3"/>
    <w:rsid w:val="00A64A70"/>
    <w:rsid w:val="00A65108"/>
    <w:rsid w:val="00A653F2"/>
    <w:rsid w:val="00A65582"/>
    <w:rsid w:val="00A65A36"/>
    <w:rsid w:val="00A65C82"/>
    <w:rsid w:val="00A65E5B"/>
    <w:rsid w:val="00A65FD1"/>
    <w:rsid w:val="00A67374"/>
    <w:rsid w:val="00A67390"/>
    <w:rsid w:val="00A67398"/>
    <w:rsid w:val="00A67643"/>
    <w:rsid w:val="00A67782"/>
    <w:rsid w:val="00A70565"/>
    <w:rsid w:val="00A71283"/>
    <w:rsid w:val="00A71415"/>
    <w:rsid w:val="00A7161D"/>
    <w:rsid w:val="00A71766"/>
    <w:rsid w:val="00A71D32"/>
    <w:rsid w:val="00A72A03"/>
    <w:rsid w:val="00A735B5"/>
    <w:rsid w:val="00A74081"/>
    <w:rsid w:val="00A745DC"/>
    <w:rsid w:val="00A74EC6"/>
    <w:rsid w:val="00A750F0"/>
    <w:rsid w:val="00A75609"/>
    <w:rsid w:val="00A76368"/>
    <w:rsid w:val="00A77652"/>
    <w:rsid w:val="00A77F46"/>
    <w:rsid w:val="00A80944"/>
    <w:rsid w:val="00A819FA"/>
    <w:rsid w:val="00A81B65"/>
    <w:rsid w:val="00A82007"/>
    <w:rsid w:val="00A82069"/>
    <w:rsid w:val="00A822C9"/>
    <w:rsid w:val="00A826DC"/>
    <w:rsid w:val="00A837B4"/>
    <w:rsid w:val="00A83AE4"/>
    <w:rsid w:val="00A84162"/>
    <w:rsid w:val="00A846C0"/>
    <w:rsid w:val="00A8524B"/>
    <w:rsid w:val="00A858E5"/>
    <w:rsid w:val="00A86BEF"/>
    <w:rsid w:val="00A8744B"/>
    <w:rsid w:val="00A87807"/>
    <w:rsid w:val="00A87FCF"/>
    <w:rsid w:val="00A90200"/>
    <w:rsid w:val="00A90992"/>
    <w:rsid w:val="00A90B13"/>
    <w:rsid w:val="00A90B86"/>
    <w:rsid w:val="00A9151D"/>
    <w:rsid w:val="00A91B60"/>
    <w:rsid w:val="00A91D07"/>
    <w:rsid w:val="00A9209F"/>
    <w:rsid w:val="00A93CE0"/>
    <w:rsid w:val="00A94382"/>
    <w:rsid w:val="00A94657"/>
    <w:rsid w:val="00A946C0"/>
    <w:rsid w:val="00A94E89"/>
    <w:rsid w:val="00A9539B"/>
    <w:rsid w:val="00A955B0"/>
    <w:rsid w:val="00A95B6E"/>
    <w:rsid w:val="00A96851"/>
    <w:rsid w:val="00A9726B"/>
    <w:rsid w:val="00A973E7"/>
    <w:rsid w:val="00A97463"/>
    <w:rsid w:val="00A97EB7"/>
    <w:rsid w:val="00AA0544"/>
    <w:rsid w:val="00AA1173"/>
    <w:rsid w:val="00AA130E"/>
    <w:rsid w:val="00AA3C90"/>
    <w:rsid w:val="00AA409E"/>
    <w:rsid w:val="00AA4A6C"/>
    <w:rsid w:val="00AA4ACB"/>
    <w:rsid w:val="00AA50E0"/>
    <w:rsid w:val="00AA5177"/>
    <w:rsid w:val="00AA5A14"/>
    <w:rsid w:val="00AA610A"/>
    <w:rsid w:val="00AA7435"/>
    <w:rsid w:val="00AB0A0E"/>
    <w:rsid w:val="00AB0B37"/>
    <w:rsid w:val="00AB0C97"/>
    <w:rsid w:val="00AB2240"/>
    <w:rsid w:val="00AB2575"/>
    <w:rsid w:val="00AB25EF"/>
    <w:rsid w:val="00AB26D7"/>
    <w:rsid w:val="00AB276C"/>
    <w:rsid w:val="00AB317F"/>
    <w:rsid w:val="00AB328E"/>
    <w:rsid w:val="00AB396E"/>
    <w:rsid w:val="00AB6803"/>
    <w:rsid w:val="00AB71D4"/>
    <w:rsid w:val="00AB752A"/>
    <w:rsid w:val="00AB78A2"/>
    <w:rsid w:val="00AB79AA"/>
    <w:rsid w:val="00AB7E88"/>
    <w:rsid w:val="00AC052C"/>
    <w:rsid w:val="00AC13ED"/>
    <w:rsid w:val="00AC1F8F"/>
    <w:rsid w:val="00AC1FD0"/>
    <w:rsid w:val="00AC3A38"/>
    <w:rsid w:val="00AC3F72"/>
    <w:rsid w:val="00AC4A38"/>
    <w:rsid w:val="00AC4C2C"/>
    <w:rsid w:val="00AC4EB6"/>
    <w:rsid w:val="00AC54BC"/>
    <w:rsid w:val="00AC5754"/>
    <w:rsid w:val="00AC5ABD"/>
    <w:rsid w:val="00AC5E25"/>
    <w:rsid w:val="00AC5E2E"/>
    <w:rsid w:val="00AC5FE8"/>
    <w:rsid w:val="00AC60D5"/>
    <w:rsid w:val="00AC6773"/>
    <w:rsid w:val="00AC69EF"/>
    <w:rsid w:val="00AC6C23"/>
    <w:rsid w:val="00AC76FE"/>
    <w:rsid w:val="00AD0D58"/>
    <w:rsid w:val="00AD0EFB"/>
    <w:rsid w:val="00AD150A"/>
    <w:rsid w:val="00AD1D58"/>
    <w:rsid w:val="00AD20CE"/>
    <w:rsid w:val="00AD3431"/>
    <w:rsid w:val="00AD395F"/>
    <w:rsid w:val="00AD3F9D"/>
    <w:rsid w:val="00AD4236"/>
    <w:rsid w:val="00AD56A9"/>
    <w:rsid w:val="00AD6A6E"/>
    <w:rsid w:val="00AD7367"/>
    <w:rsid w:val="00AE1E44"/>
    <w:rsid w:val="00AE29FC"/>
    <w:rsid w:val="00AE39AA"/>
    <w:rsid w:val="00AE3C26"/>
    <w:rsid w:val="00AE3DF4"/>
    <w:rsid w:val="00AE4103"/>
    <w:rsid w:val="00AE41A9"/>
    <w:rsid w:val="00AE41E8"/>
    <w:rsid w:val="00AE4412"/>
    <w:rsid w:val="00AE4758"/>
    <w:rsid w:val="00AE4EAC"/>
    <w:rsid w:val="00AE5857"/>
    <w:rsid w:val="00AE5A00"/>
    <w:rsid w:val="00AE680E"/>
    <w:rsid w:val="00AE68A3"/>
    <w:rsid w:val="00AE6CB3"/>
    <w:rsid w:val="00AE6DBB"/>
    <w:rsid w:val="00AE6EA4"/>
    <w:rsid w:val="00AE6F7F"/>
    <w:rsid w:val="00AF0C06"/>
    <w:rsid w:val="00AF1695"/>
    <w:rsid w:val="00AF2463"/>
    <w:rsid w:val="00AF26DE"/>
    <w:rsid w:val="00AF340A"/>
    <w:rsid w:val="00AF3FB0"/>
    <w:rsid w:val="00AF4118"/>
    <w:rsid w:val="00AF416F"/>
    <w:rsid w:val="00AF419E"/>
    <w:rsid w:val="00AF48E2"/>
    <w:rsid w:val="00AF49CE"/>
    <w:rsid w:val="00AF4C1C"/>
    <w:rsid w:val="00AF503E"/>
    <w:rsid w:val="00AF53F3"/>
    <w:rsid w:val="00AF5614"/>
    <w:rsid w:val="00AF569D"/>
    <w:rsid w:val="00AF593F"/>
    <w:rsid w:val="00AF6488"/>
    <w:rsid w:val="00AF6620"/>
    <w:rsid w:val="00AF6D84"/>
    <w:rsid w:val="00AF78E6"/>
    <w:rsid w:val="00AF7911"/>
    <w:rsid w:val="00B002D4"/>
    <w:rsid w:val="00B01027"/>
    <w:rsid w:val="00B014A9"/>
    <w:rsid w:val="00B018AC"/>
    <w:rsid w:val="00B02137"/>
    <w:rsid w:val="00B025EF"/>
    <w:rsid w:val="00B02662"/>
    <w:rsid w:val="00B02BC9"/>
    <w:rsid w:val="00B02DDE"/>
    <w:rsid w:val="00B030F5"/>
    <w:rsid w:val="00B03DB4"/>
    <w:rsid w:val="00B0513C"/>
    <w:rsid w:val="00B05B92"/>
    <w:rsid w:val="00B05CD9"/>
    <w:rsid w:val="00B05DA6"/>
    <w:rsid w:val="00B06197"/>
    <w:rsid w:val="00B06424"/>
    <w:rsid w:val="00B0654D"/>
    <w:rsid w:val="00B069AF"/>
    <w:rsid w:val="00B06B9D"/>
    <w:rsid w:val="00B07311"/>
    <w:rsid w:val="00B07B40"/>
    <w:rsid w:val="00B07C67"/>
    <w:rsid w:val="00B10769"/>
    <w:rsid w:val="00B10771"/>
    <w:rsid w:val="00B10895"/>
    <w:rsid w:val="00B11121"/>
    <w:rsid w:val="00B12575"/>
    <w:rsid w:val="00B136D5"/>
    <w:rsid w:val="00B13CAA"/>
    <w:rsid w:val="00B13FE9"/>
    <w:rsid w:val="00B1407F"/>
    <w:rsid w:val="00B142CD"/>
    <w:rsid w:val="00B1439C"/>
    <w:rsid w:val="00B14641"/>
    <w:rsid w:val="00B149FD"/>
    <w:rsid w:val="00B15E2D"/>
    <w:rsid w:val="00B161D2"/>
    <w:rsid w:val="00B164EF"/>
    <w:rsid w:val="00B17464"/>
    <w:rsid w:val="00B17605"/>
    <w:rsid w:val="00B2037A"/>
    <w:rsid w:val="00B211F1"/>
    <w:rsid w:val="00B218BE"/>
    <w:rsid w:val="00B22093"/>
    <w:rsid w:val="00B221FC"/>
    <w:rsid w:val="00B2239A"/>
    <w:rsid w:val="00B23685"/>
    <w:rsid w:val="00B23FAD"/>
    <w:rsid w:val="00B24246"/>
    <w:rsid w:val="00B244A2"/>
    <w:rsid w:val="00B24568"/>
    <w:rsid w:val="00B24E4F"/>
    <w:rsid w:val="00B24ED7"/>
    <w:rsid w:val="00B25020"/>
    <w:rsid w:val="00B259E2"/>
    <w:rsid w:val="00B25FF9"/>
    <w:rsid w:val="00B26499"/>
    <w:rsid w:val="00B26D8C"/>
    <w:rsid w:val="00B27059"/>
    <w:rsid w:val="00B271F1"/>
    <w:rsid w:val="00B2772C"/>
    <w:rsid w:val="00B3035D"/>
    <w:rsid w:val="00B303DD"/>
    <w:rsid w:val="00B303E1"/>
    <w:rsid w:val="00B306B8"/>
    <w:rsid w:val="00B313A4"/>
    <w:rsid w:val="00B31C42"/>
    <w:rsid w:val="00B32A39"/>
    <w:rsid w:val="00B3334D"/>
    <w:rsid w:val="00B34178"/>
    <w:rsid w:val="00B347CE"/>
    <w:rsid w:val="00B34B68"/>
    <w:rsid w:val="00B3601F"/>
    <w:rsid w:val="00B375F7"/>
    <w:rsid w:val="00B37727"/>
    <w:rsid w:val="00B378B3"/>
    <w:rsid w:val="00B400AA"/>
    <w:rsid w:val="00B401AC"/>
    <w:rsid w:val="00B41388"/>
    <w:rsid w:val="00B420E1"/>
    <w:rsid w:val="00B422CB"/>
    <w:rsid w:val="00B4258C"/>
    <w:rsid w:val="00B43077"/>
    <w:rsid w:val="00B43385"/>
    <w:rsid w:val="00B43E98"/>
    <w:rsid w:val="00B44472"/>
    <w:rsid w:val="00B446B1"/>
    <w:rsid w:val="00B44C4F"/>
    <w:rsid w:val="00B45D23"/>
    <w:rsid w:val="00B475C8"/>
    <w:rsid w:val="00B52A24"/>
    <w:rsid w:val="00B52F88"/>
    <w:rsid w:val="00B54A1A"/>
    <w:rsid w:val="00B56778"/>
    <w:rsid w:val="00B56B64"/>
    <w:rsid w:val="00B56EE3"/>
    <w:rsid w:val="00B57295"/>
    <w:rsid w:val="00B57835"/>
    <w:rsid w:val="00B60D9C"/>
    <w:rsid w:val="00B6131C"/>
    <w:rsid w:val="00B61359"/>
    <w:rsid w:val="00B6151E"/>
    <w:rsid w:val="00B61931"/>
    <w:rsid w:val="00B61C55"/>
    <w:rsid w:val="00B623F1"/>
    <w:rsid w:val="00B628FF"/>
    <w:rsid w:val="00B62B1F"/>
    <w:rsid w:val="00B62B39"/>
    <w:rsid w:val="00B633A2"/>
    <w:rsid w:val="00B6364B"/>
    <w:rsid w:val="00B63ED6"/>
    <w:rsid w:val="00B63F60"/>
    <w:rsid w:val="00B63FF7"/>
    <w:rsid w:val="00B6426D"/>
    <w:rsid w:val="00B65977"/>
    <w:rsid w:val="00B66846"/>
    <w:rsid w:val="00B66A85"/>
    <w:rsid w:val="00B70023"/>
    <w:rsid w:val="00B712E5"/>
    <w:rsid w:val="00B7198D"/>
    <w:rsid w:val="00B71C41"/>
    <w:rsid w:val="00B71D32"/>
    <w:rsid w:val="00B73265"/>
    <w:rsid w:val="00B73422"/>
    <w:rsid w:val="00B73BA7"/>
    <w:rsid w:val="00B74379"/>
    <w:rsid w:val="00B743C5"/>
    <w:rsid w:val="00B74489"/>
    <w:rsid w:val="00B74816"/>
    <w:rsid w:val="00B74987"/>
    <w:rsid w:val="00B75695"/>
    <w:rsid w:val="00B75732"/>
    <w:rsid w:val="00B75EF5"/>
    <w:rsid w:val="00B7606D"/>
    <w:rsid w:val="00B80B92"/>
    <w:rsid w:val="00B810CF"/>
    <w:rsid w:val="00B81585"/>
    <w:rsid w:val="00B8193E"/>
    <w:rsid w:val="00B82070"/>
    <w:rsid w:val="00B8260B"/>
    <w:rsid w:val="00B82B87"/>
    <w:rsid w:val="00B8355D"/>
    <w:rsid w:val="00B8466C"/>
    <w:rsid w:val="00B85746"/>
    <w:rsid w:val="00B85853"/>
    <w:rsid w:val="00B85A70"/>
    <w:rsid w:val="00B85B72"/>
    <w:rsid w:val="00B8793B"/>
    <w:rsid w:val="00B87D65"/>
    <w:rsid w:val="00B90648"/>
    <w:rsid w:val="00B9068D"/>
    <w:rsid w:val="00B90E2B"/>
    <w:rsid w:val="00B918B6"/>
    <w:rsid w:val="00B91994"/>
    <w:rsid w:val="00B92548"/>
    <w:rsid w:val="00B92A58"/>
    <w:rsid w:val="00B92EF5"/>
    <w:rsid w:val="00B9306F"/>
    <w:rsid w:val="00B9378F"/>
    <w:rsid w:val="00B93859"/>
    <w:rsid w:val="00B93B9F"/>
    <w:rsid w:val="00B94204"/>
    <w:rsid w:val="00B94DCF"/>
    <w:rsid w:val="00B954F1"/>
    <w:rsid w:val="00B95F51"/>
    <w:rsid w:val="00B961E8"/>
    <w:rsid w:val="00B965E9"/>
    <w:rsid w:val="00B966BA"/>
    <w:rsid w:val="00B96BD5"/>
    <w:rsid w:val="00B96EB3"/>
    <w:rsid w:val="00B96EE6"/>
    <w:rsid w:val="00B97114"/>
    <w:rsid w:val="00BA077E"/>
    <w:rsid w:val="00BA2553"/>
    <w:rsid w:val="00BA2CC6"/>
    <w:rsid w:val="00BA2CCF"/>
    <w:rsid w:val="00BA2E4A"/>
    <w:rsid w:val="00BA3FE5"/>
    <w:rsid w:val="00BA422C"/>
    <w:rsid w:val="00BA4613"/>
    <w:rsid w:val="00BA49DE"/>
    <w:rsid w:val="00BA4D72"/>
    <w:rsid w:val="00BA4EF1"/>
    <w:rsid w:val="00BA4F78"/>
    <w:rsid w:val="00BA50D2"/>
    <w:rsid w:val="00BA516C"/>
    <w:rsid w:val="00BA51D3"/>
    <w:rsid w:val="00BA5330"/>
    <w:rsid w:val="00BA56EA"/>
    <w:rsid w:val="00BA57B1"/>
    <w:rsid w:val="00BA5DC6"/>
    <w:rsid w:val="00BA64C7"/>
    <w:rsid w:val="00BA776D"/>
    <w:rsid w:val="00BA7B8D"/>
    <w:rsid w:val="00BB0034"/>
    <w:rsid w:val="00BB018E"/>
    <w:rsid w:val="00BB0545"/>
    <w:rsid w:val="00BB062F"/>
    <w:rsid w:val="00BB07D1"/>
    <w:rsid w:val="00BB099F"/>
    <w:rsid w:val="00BB10C2"/>
    <w:rsid w:val="00BB12BF"/>
    <w:rsid w:val="00BB1608"/>
    <w:rsid w:val="00BB2256"/>
    <w:rsid w:val="00BB23C3"/>
    <w:rsid w:val="00BB347D"/>
    <w:rsid w:val="00BB3FE1"/>
    <w:rsid w:val="00BB4F5E"/>
    <w:rsid w:val="00BB5E64"/>
    <w:rsid w:val="00BB6631"/>
    <w:rsid w:val="00BB7073"/>
    <w:rsid w:val="00BB7686"/>
    <w:rsid w:val="00BC08D4"/>
    <w:rsid w:val="00BC1086"/>
    <w:rsid w:val="00BC215E"/>
    <w:rsid w:val="00BC299B"/>
    <w:rsid w:val="00BC3D23"/>
    <w:rsid w:val="00BC506B"/>
    <w:rsid w:val="00BC5840"/>
    <w:rsid w:val="00BC6129"/>
    <w:rsid w:val="00BC6CED"/>
    <w:rsid w:val="00BC7A62"/>
    <w:rsid w:val="00BC7A81"/>
    <w:rsid w:val="00BC7AA3"/>
    <w:rsid w:val="00BC7B85"/>
    <w:rsid w:val="00BC7C6B"/>
    <w:rsid w:val="00BD03F1"/>
    <w:rsid w:val="00BD073C"/>
    <w:rsid w:val="00BD1477"/>
    <w:rsid w:val="00BD1A03"/>
    <w:rsid w:val="00BD1DA2"/>
    <w:rsid w:val="00BD21D8"/>
    <w:rsid w:val="00BD2B4E"/>
    <w:rsid w:val="00BD2BE3"/>
    <w:rsid w:val="00BD415E"/>
    <w:rsid w:val="00BD4417"/>
    <w:rsid w:val="00BD4FEE"/>
    <w:rsid w:val="00BD51B2"/>
    <w:rsid w:val="00BD54E1"/>
    <w:rsid w:val="00BD5865"/>
    <w:rsid w:val="00BD61BB"/>
    <w:rsid w:val="00BD63E5"/>
    <w:rsid w:val="00BD6701"/>
    <w:rsid w:val="00BD7DF7"/>
    <w:rsid w:val="00BD7E44"/>
    <w:rsid w:val="00BE2078"/>
    <w:rsid w:val="00BE3482"/>
    <w:rsid w:val="00BE38E9"/>
    <w:rsid w:val="00BE43FB"/>
    <w:rsid w:val="00BE46E8"/>
    <w:rsid w:val="00BE47A0"/>
    <w:rsid w:val="00BE4854"/>
    <w:rsid w:val="00BE49C0"/>
    <w:rsid w:val="00BE4AD2"/>
    <w:rsid w:val="00BE4FF8"/>
    <w:rsid w:val="00BE5005"/>
    <w:rsid w:val="00BE521B"/>
    <w:rsid w:val="00BE5749"/>
    <w:rsid w:val="00BE5EA7"/>
    <w:rsid w:val="00BE7217"/>
    <w:rsid w:val="00BE7512"/>
    <w:rsid w:val="00BE75A1"/>
    <w:rsid w:val="00BF01EC"/>
    <w:rsid w:val="00BF051E"/>
    <w:rsid w:val="00BF0A71"/>
    <w:rsid w:val="00BF0DC3"/>
    <w:rsid w:val="00BF0EDF"/>
    <w:rsid w:val="00BF1C81"/>
    <w:rsid w:val="00BF1F1D"/>
    <w:rsid w:val="00BF242F"/>
    <w:rsid w:val="00BF33D4"/>
    <w:rsid w:val="00BF3C31"/>
    <w:rsid w:val="00BF3D3F"/>
    <w:rsid w:val="00BF4A61"/>
    <w:rsid w:val="00BF4C4A"/>
    <w:rsid w:val="00BF4CFF"/>
    <w:rsid w:val="00BF5156"/>
    <w:rsid w:val="00BF5354"/>
    <w:rsid w:val="00BF65B3"/>
    <w:rsid w:val="00BF700D"/>
    <w:rsid w:val="00BF7549"/>
    <w:rsid w:val="00BF7F61"/>
    <w:rsid w:val="00C0047A"/>
    <w:rsid w:val="00C0061A"/>
    <w:rsid w:val="00C00936"/>
    <w:rsid w:val="00C00D0B"/>
    <w:rsid w:val="00C01D9B"/>
    <w:rsid w:val="00C03295"/>
    <w:rsid w:val="00C032B6"/>
    <w:rsid w:val="00C04425"/>
    <w:rsid w:val="00C0467B"/>
    <w:rsid w:val="00C04B15"/>
    <w:rsid w:val="00C04D59"/>
    <w:rsid w:val="00C04FF0"/>
    <w:rsid w:val="00C053D5"/>
    <w:rsid w:val="00C055AA"/>
    <w:rsid w:val="00C06168"/>
    <w:rsid w:val="00C0661D"/>
    <w:rsid w:val="00C06635"/>
    <w:rsid w:val="00C06691"/>
    <w:rsid w:val="00C06E7D"/>
    <w:rsid w:val="00C07630"/>
    <w:rsid w:val="00C0771B"/>
    <w:rsid w:val="00C0776E"/>
    <w:rsid w:val="00C0786C"/>
    <w:rsid w:val="00C10B09"/>
    <w:rsid w:val="00C11347"/>
    <w:rsid w:val="00C113AB"/>
    <w:rsid w:val="00C13570"/>
    <w:rsid w:val="00C14DD0"/>
    <w:rsid w:val="00C155AE"/>
    <w:rsid w:val="00C15B45"/>
    <w:rsid w:val="00C15C42"/>
    <w:rsid w:val="00C15D8E"/>
    <w:rsid w:val="00C15FEF"/>
    <w:rsid w:val="00C16375"/>
    <w:rsid w:val="00C167EF"/>
    <w:rsid w:val="00C20108"/>
    <w:rsid w:val="00C20C52"/>
    <w:rsid w:val="00C2251D"/>
    <w:rsid w:val="00C2263D"/>
    <w:rsid w:val="00C22AC7"/>
    <w:rsid w:val="00C23102"/>
    <w:rsid w:val="00C232E3"/>
    <w:rsid w:val="00C23991"/>
    <w:rsid w:val="00C23DB8"/>
    <w:rsid w:val="00C24677"/>
    <w:rsid w:val="00C25837"/>
    <w:rsid w:val="00C26089"/>
    <w:rsid w:val="00C26BA3"/>
    <w:rsid w:val="00C26BD2"/>
    <w:rsid w:val="00C272F9"/>
    <w:rsid w:val="00C3007D"/>
    <w:rsid w:val="00C3114B"/>
    <w:rsid w:val="00C3118F"/>
    <w:rsid w:val="00C314E3"/>
    <w:rsid w:val="00C318C7"/>
    <w:rsid w:val="00C32673"/>
    <w:rsid w:val="00C32BE1"/>
    <w:rsid w:val="00C32C68"/>
    <w:rsid w:val="00C3323D"/>
    <w:rsid w:val="00C33530"/>
    <w:rsid w:val="00C33912"/>
    <w:rsid w:val="00C339C3"/>
    <w:rsid w:val="00C34CDB"/>
    <w:rsid w:val="00C352F5"/>
    <w:rsid w:val="00C3544E"/>
    <w:rsid w:val="00C35602"/>
    <w:rsid w:val="00C35A33"/>
    <w:rsid w:val="00C36061"/>
    <w:rsid w:val="00C36E8F"/>
    <w:rsid w:val="00C37787"/>
    <w:rsid w:val="00C3782F"/>
    <w:rsid w:val="00C4016A"/>
    <w:rsid w:val="00C40586"/>
    <w:rsid w:val="00C42AE7"/>
    <w:rsid w:val="00C42E1B"/>
    <w:rsid w:val="00C438BA"/>
    <w:rsid w:val="00C43947"/>
    <w:rsid w:val="00C43C90"/>
    <w:rsid w:val="00C43ECA"/>
    <w:rsid w:val="00C444FB"/>
    <w:rsid w:val="00C4464E"/>
    <w:rsid w:val="00C44D6D"/>
    <w:rsid w:val="00C4507C"/>
    <w:rsid w:val="00C46C8B"/>
    <w:rsid w:val="00C47CAE"/>
    <w:rsid w:val="00C50D6C"/>
    <w:rsid w:val="00C51C04"/>
    <w:rsid w:val="00C52233"/>
    <w:rsid w:val="00C52899"/>
    <w:rsid w:val="00C53B2F"/>
    <w:rsid w:val="00C53CF6"/>
    <w:rsid w:val="00C54FBD"/>
    <w:rsid w:val="00C55EE8"/>
    <w:rsid w:val="00C57193"/>
    <w:rsid w:val="00C5722D"/>
    <w:rsid w:val="00C57353"/>
    <w:rsid w:val="00C57540"/>
    <w:rsid w:val="00C577FD"/>
    <w:rsid w:val="00C57CF9"/>
    <w:rsid w:val="00C57D24"/>
    <w:rsid w:val="00C57D63"/>
    <w:rsid w:val="00C57DA7"/>
    <w:rsid w:val="00C6052B"/>
    <w:rsid w:val="00C60F90"/>
    <w:rsid w:val="00C61BAF"/>
    <w:rsid w:val="00C61F64"/>
    <w:rsid w:val="00C62219"/>
    <w:rsid w:val="00C6224B"/>
    <w:rsid w:val="00C62675"/>
    <w:rsid w:val="00C63C34"/>
    <w:rsid w:val="00C63C44"/>
    <w:rsid w:val="00C64F00"/>
    <w:rsid w:val="00C658AA"/>
    <w:rsid w:val="00C65B44"/>
    <w:rsid w:val="00C65FF6"/>
    <w:rsid w:val="00C6629C"/>
    <w:rsid w:val="00C66676"/>
    <w:rsid w:val="00C6697A"/>
    <w:rsid w:val="00C66AF5"/>
    <w:rsid w:val="00C66D5C"/>
    <w:rsid w:val="00C66D9F"/>
    <w:rsid w:val="00C66F1A"/>
    <w:rsid w:val="00C675EE"/>
    <w:rsid w:val="00C70277"/>
    <w:rsid w:val="00C70860"/>
    <w:rsid w:val="00C7090F"/>
    <w:rsid w:val="00C70A63"/>
    <w:rsid w:val="00C723C4"/>
    <w:rsid w:val="00C72460"/>
    <w:rsid w:val="00C7248A"/>
    <w:rsid w:val="00C7267E"/>
    <w:rsid w:val="00C72BB1"/>
    <w:rsid w:val="00C72C9D"/>
    <w:rsid w:val="00C72FBB"/>
    <w:rsid w:val="00C7365E"/>
    <w:rsid w:val="00C73BEF"/>
    <w:rsid w:val="00C73C21"/>
    <w:rsid w:val="00C74540"/>
    <w:rsid w:val="00C748B5"/>
    <w:rsid w:val="00C7565E"/>
    <w:rsid w:val="00C75B45"/>
    <w:rsid w:val="00C75CBE"/>
    <w:rsid w:val="00C76077"/>
    <w:rsid w:val="00C7695F"/>
    <w:rsid w:val="00C77138"/>
    <w:rsid w:val="00C77166"/>
    <w:rsid w:val="00C7749F"/>
    <w:rsid w:val="00C7798D"/>
    <w:rsid w:val="00C77C76"/>
    <w:rsid w:val="00C80144"/>
    <w:rsid w:val="00C8092B"/>
    <w:rsid w:val="00C80949"/>
    <w:rsid w:val="00C80B7C"/>
    <w:rsid w:val="00C80DE8"/>
    <w:rsid w:val="00C8131E"/>
    <w:rsid w:val="00C8152C"/>
    <w:rsid w:val="00C81835"/>
    <w:rsid w:val="00C81CE3"/>
    <w:rsid w:val="00C82A57"/>
    <w:rsid w:val="00C8328A"/>
    <w:rsid w:val="00C8334B"/>
    <w:rsid w:val="00C83944"/>
    <w:rsid w:val="00C83CFB"/>
    <w:rsid w:val="00C84039"/>
    <w:rsid w:val="00C8482F"/>
    <w:rsid w:val="00C84C69"/>
    <w:rsid w:val="00C85055"/>
    <w:rsid w:val="00C85663"/>
    <w:rsid w:val="00C85BFD"/>
    <w:rsid w:val="00C85E77"/>
    <w:rsid w:val="00C85F93"/>
    <w:rsid w:val="00C86BE5"/>
    <w:rsid w:val="00C87CF0"/>
    <w:rsid w:val="00C87DBA"/>
    <w:rsid w:val="00C87FFC"/>
    <w:rsid w:val="00C900D1"/>
    <w:rsid w:val="00C907F1"/>
    <w:rsid w:val="00C9092B"/>
    <w:rsid w:val="00C90B14"/>
    <w:rsid w:val="00C921F7"/>
    <w:rsid w:val="00C9277D"/>
    <w:rsid w:val="00C92A87"/>
    <w:rsid w:val="00C93167"/>
    <w:rsid w:val="00C94018"/>
    <w:rsid w:val="00C94195"/>
    <w:rsid w:val="00C9423C"/>
    <w:rsid w:val="00C94B0E"/>
    <w:rsid w:val="00C95068"/>
    <w:rsid w:val="00C9537B"/>
    <w:rsid w:val="00C95DC8"/>
    <w:rsid w:val="00C9718F"/>
    <w:rsid w:val="00C97242"/>
    <w:rsid w:val="00CA0423"/>
    <w:rsid w:val="00CA0ABB"/>
    <w:rsid w:val="00CA0E31"/>
    <w:rsid w:val="00CA205A"/>
    <w:rsid w:val="00CA212F"/>
    <w:rsid w:val="00CA2A3A"/>
    <w:rsid w:val="00CA2C18"/>
    <w:rsid w:val="00CA3B6B"/>
    <w:rsid w:val="00CA3EF7"/>
    <w:rsid w:val="00CA4EFE"/>
    <w:rsid w:val="00CA4FFA"/>
    <w:rsid w:val="00CA53DC"/>
    <w:rsid w:val="00CA6956"/>
    <w:rsid w:val="00CA6D3D"/>
    <w:rsid w:val="00CA6D72"/>
    <w:rsid w:val="00CA78FA"/>
    <w:rsid w:val="00CA7FB1"/>
    <w:rsid w:val="00CB00A2"/>
    <w:rsid w:val="00CB019F"/>
    <w:rsid w:val="00CB05EE"/>
    <w:rsid w:val="00CB0D96"/>
    <w:rsid w:val="00CB0F87"/>
    <w:rsid w:val="00CB195E"/>
    <w:rsid w:val="00CB1983"/>
    <w:rsid w:val="00CB26FB"/>
    <w:rsid w:val="00CB271C"/>
    <w:rsid w:val="00CB2FCF"/>
    <w:rsid w:val="00CB3306"/>
    <w:rsid w:val="00CB3EBF"/>
    <w:rsid w:val="00CB43F7"/>
    <w:rsid w:val="00CB456E"/>
    <w:rsid w:val="00CB458C"/>
    <w:rsid w:val="00CB4717"/>
    <w:rsid w:val="00CB5644"/>
    <w:rsid w:val="00CB6075"/>
    <w:rsid w:val="00CB62F3"/>
    <w:rsid w:val="00CB6434"/>
    <w:rsid w:val="00CB718E"/>
    <w:rsid w:val="00CC06D1"/>
    <w:rsid w:val="00CC0777"/>
    <w:rsid w:val="00CC10CC"/>
    <w:rsid w:val="00CC16F9"/>
    <w:rsid w:val="00CC23E8"/>
    <w:rsid w:val="00CC290F"/>
    <w:rsid w:val="00CC348D"/>
    <w:rsid w:val="00CC39A2"/>
    <w:rsid w:val="00CC4202"/>
    <w:rsid w:val="00CC5D20"/>
    <w:rsid w:val="00CC5E70"/>
    <w:rsid w:val="00CC656D"/>
    <w:rsid w:val="00CC66F8"/>
    <w:rsid w:val="00CC6848"/>
    <w:rsid w:val="00CC697B"/>
    <w:rsid w:val="00CC6AF4"/>
    <w:rsid w:val="00CC6F01"/>
    <w:rsid w:val="00CC7245"/>
    <w:rsid w:val="00CD0EAA"/>
    <w:rsid w:val="00CD1363"/>
    <w:rsid w:val="00CD17C8"/>
    <w:rsid w:val="00CD1C9A"/>
    <w:rsid w:val="00CD24B1"/>
    <w:rsid w:val="00CD29DD"/>
    <w:rsid w:val="00CD2C1A"/>
    <w:rsid w:val="00CD2C23"/>
    <w:rsid w:val="00CD2C2B"/>
    <w:rsid w:val="00CD36E3"/>
    <w:rsid w:val="00CD37D5"/>
    <w:rsid w:val="00CD46EE"/>
    <w:rsid w:val="00CD5120"/>
    <w:rsid w:val="00CD67E9"/>
    <w:rsid w:val="00CD68A9"/>
    <w:rsid w:val="00CD69CE"/>
    <w:rsid w:val="00CD7139"/>
    <w:rsid w:val="00CD7C9F"/>
    <w:rsid w:val="00CE022C"/>
    <w:rsid w:val="00CE0F4E"/>
    <w:rsid w:val="00CE1094"/>
    <w:rsid w:val="00CE1E95"/>
    <w:rsid w:val="00CE218F"/>
    <w:rsid w:val="00CE23A3"/>
    <w:rsid w:val="00CE248E"/>
    <w:rsid w:val="00CE2945"/>
    <w:rsid w:val="00CE3981"/>
    <w:rsid w:val="00CE3C3F"/>
    <w:rsid w:val="00CE3D4B"/>
    <w:rsid w:val="00CE3FE0"/>
    <w:rsid w:val="00CE4658"/>
    <w:rsid w:val="00CE4821"/>
    <w:rsid w:val="00CE4B8C"/>
    <w:rsid w:val="00CE4D19"/>
    <w:rsid w:val="00CE5923"/>
    <w:rsid w:val="00CE5CF9"/>
    <w:rsid w:val="00CE6591"/>
    <w:rsid w:val="00CE682C"/>
    <w:rsid w:val="00CE7132"/>
    <w:rsid w:val="00CE7723"/>
    <w:rsid w:val="00CE796A"/>
    <w:rsid w:val="00CF0535"/>
    <w:rsid w:val="00CF0B4B"/>
    <w:rsid w:val="00CF1584"/>
    <w:rsid w:val="00CF15FE"/>
    <w:rsid w:val="00CF1817"/>
    <w:rsid w:val="00CF1A0D"/>
    <w:rsid w:val="00CF2614"/>
    <w:rsid w:val="00CF28B1"/>
    <w:rsid w:val="00CF2AA8"/>
    <w:rsid w:val="00CF4980"/>
    <w:rsid w:val="00CF512A"/>
    <w:rsid w:val="00CF614F"/>
    <w:rsid w:val="00CF6C64"/>
    <w:rsid w:val="00CF6E2A"/>
    <w:rsid w:val="00D00528"/>
    <w:rsid w:val="00D006EF"/>
    <w:rsid w:val="00D00827"/>
    <w:rsid w:val="00D008B9"/>
    <w:rsid w:val="00D00991"/>
    <w:rsid w:val="00D0309F"/>
    <w:rsid w:val="00D03489"/>
    <w:rsid w:val="00D04284"/>
    <w:rsid w:val="00D048C8"/>
    <w:rsid w:val="00D04FA9"/>
    <w:rsid w:val="00D05794"/>
    <w:rsid w:val="00D05D42"/>
    <w:rsid w:val="00D06063"/>
    <w:rsid w:val="00D06204"/>
    <w:rsid w:val="00D06ED8"/>
    <w:rsid w:val="00D06FBF"/>
    <w:rsid w:val="00D10130"/>
    <w:rsid w:val="00D1036F"/>
    <w:rsid w:val="00D10462"/>
    <w:rsid w:val="00D10CCB"/>
    <w:rsid w:val="00D112C3"/>
    <w:rsid w:val="00D127A5"/>
    <w:rsid w:val="00D12986"/>
    <w:rsid w:val="00D138C9"/>
    <w:rsid w:val="00D149DA"/>
    <w:rsid w:val="00D15ACB"/>
    <w:rsid w:val="00D15D4E"/>
    <w:rsid w:val="00D1672E"/>
    <w:rsid w:val="00D16E83"/>
    <w:rsid w:val="00D17AE4"/>
    <w:rsid w:val="00D2015A"/>
    <w:rsid w:val="00D213D9"/>
    <w:rsid w:val="00D21412"/>
    <w:rsid w:val="00D21480"/>
    <w:rsid w:val="00D22789"/>
    <w:rsid w:val="00D23DB7"/>
    <w:rsid w:val="00D23FA5"/>
    <w:rsid w:val="00D24D26"/>
    <w:rsid w:val="00D24D7B"/>
    <w:rsid w:val="00D2535C"/>
    <w:rsid w:val="00D26E70"/>
    <w:rsid w:val="00D26EF8"/>
    <w:rsid w:val="00D27185"/>
    <w:rsid w:val="00D27492"/>
    <w:rsid w:val="00D2768F"/>
    <w:rsid w:val="00D3026B"/>
    <w:rsid w:val="00D30665"/>
    <w:rsid w:val="00D30C88"/>
    <w:rsid w:val="00D31908"/>
    <w:rsid w:val="00D31AEE"/>
    <w:rsid w:val="00D31D74"/>
    <w:rsid w:val="00D32844"/>
    <w:rsid w:val="00D32AD3"/>
    <w:rsid w:val="00D3339F"/>
    <w:rsid w:val="00D33947"/>
    <w:rsid w:val="00D33949"/>
    <w:rsid w:val="00D33A90"/>
    <w:rsid w:val="00D34587"/>
    <w:rsid w:val="00D34D4B"/>
    <w:rsid w:val="00D34DB0"/>
    <w:rsid w:val="00D35240"/>
    <w:rsid w:val="00D35894"/>
    <w:rsid w:val="00D35AB2"/>
    <w:rsid w:val="00D360DF"/>
    <w:rsid w:val="00D36738"/>
    <w:rsid w:val="00D36B45"/>
    <w:rsid w:val="00D36E3C"/>
    <w:rsid w:val="00D37753"/>
    <w:rsid w:val="00D37F2B"/>
    <w:rsid w:val="00D40ED5"/>
    <w:rsid w:val="00D41027"/>
    <w:rsid w:val="00D41399"/>
    <w:rsid w:val="00D413D0"/>
    <w:rsid w:val="00D41ACE"/>
    <w:rsid w:val="00D42094"/>
    <w:rsid w:val="00D420DA"/>
    <w:rsid w:val="00D42435"/>
    <w:rsid w:val="00D4295A"/>
    <w:rsid w:val="00D42B35"/>
    <w:rsid w:val="00D434EC"/>
    <w:rsid w:val="00D43C77"/>
    <w:rsid w:val="00D43EE2"/>
    <w:rsid w:val="00D43F50"/>
    <w:rsid w:val="00D44C3E"/>
    <w:rsid w:val="00D44C6D"/>
    <w:rsid w:val="00D4585F"/>
    <w:rsid w:val="00D45BB8"/>
    <w:rsid w:val="00D45D53"/>
    <w:rsid w:val="00D4638B"/>
    <w:rsid w:val="00D4689D"/>
    <w:rsid w:val="00D47302"/>
    <w:rsid w:val="00D47758"/>
    <w:rsid w:val="00D50538"/>
    <w:rsid w:val="00D5164B"/>
    <w:rsid w:val="00D517E4"/>
    <w:rsid w:val="00D52015"/>
    <w:rsid w:val="00D52087"/>
    <w:rsid w:val="00D52832"/>
    <w:rsid w:val="00D52CBD"/>
    <w:rsid w:val="00D53133"/>
    <w:rsid w:val="00D53E62"/>
    <w:rsid w:val="00D53ECF"/>
    <w:rsid w:val="00D549E6"/>
    <w:rsid w:val="00D5528F"/>
    <w:rsid w:val="00D55E64"/>
    <w:rsid w:val="00D55EF4"/>
    <w:rsid w:val="00D56CC3"/>
    <w:rsid w:val="00D56E03"/>
    <w:rsid w:val="00D5723B"/>
    <w:rsid w:val="00D578E2"/>
    <w:rsid w:val="00D57B29"/>
    <w:rsid w:val="00D606A2"/>
    <w:rsid w:val="00D60CC2"/>
    <w:rsid w:val="00D62244"/>
    <w:rsid w:val="00D6262C"/>
    <w:rsid w:val="00D63318"/>
    <w:rsid w:val="00D63B3E"/>
    <w:rsid w:val="00D63E2F"/>
    <w:rsid w:val="00D64648"/>
    <w:rsid w:val="00D64B80"/>
    <w:rsid w:val="00D65E70"/>
    <w:rsid w:val="00D67A40"/>
    <w:rsid w:val="00D67ACE"/>
    <w:rsid w:val="00D707F6"/>
    <w:rsid w:val="00D71071"/>
    <w:rsid w:val="00D71291"/>
    <w:rsid w:val="00D7148E"/>
    <w:rsid w:val="00D71A5B"/>
    <w:rsid w:val="00D71DBD"/>
    <w:rsid w:val="00D723CA"/>
    <w:rsid w:val="00D731B0"/>
    <w:rsid w:val="00D74471"/>
    <w:rsid w:val="00D74FC8"/>
    <w:rsid w:val="00D7518A"/>
    <w:rsid w:val="00D75C46"/>
    <w:rsid w:val="00D75C54"/>
    <w:rsid w:val="00D76008"/>
    <w:rsid w:val="00D76178"/>
    <w:rsid w:val="00D76EBB"/>
    <w:rsid w:val="00D77236"/>
    <w:rsid w:val="00D77E63"/>
    <w:rsid w:val="00D8155C"/>
    <w:rsid w:val="00D81B76"/>
    <w:rsid w:val="00D826CF"/>
    <w:rsid w:val="00D82FE5"/>
    <w:rsid w:val="00D834D5"/>
    <w:rsid w:val="00D8350E"/>
    <w:rsid w:val="00D83BA0"/>
    <w:rsid w:val="00D83E29"/>
    <w:rsid w:val="00D84321"/>
    <w:rsid w:val="00D846DA"/>
    <w:rsid w:val="00D85BA8"/>
    <w:rsid w:val="00D86052"/>
    <w:rsid w:val="00D86474"/>
    <w:rsid w:val="00D869B5"/>
    <w:rsid w:val="00D86E6E"/>
    <w:rsid w:val="00D87D0F"/>
    <w:rsid w:val="00D87EF5"/>
    <w:rsid w:val="00D87FA9"/>
    <w:rsid w:val="00D90081"/>
    <w:rsid w:val="00D90359"/>
    <w:rsid w:val="00D90964"/>
    <w:rsid w:val="00D9334B"/>
    <w:rsid w:val="00D9385D"/>
    <w:rsid w:val="00D94619"/>
    <w:rsid w:val="00D946C9"/>
    <w:rsid w:val="00D94C41"/>
    <w:rsid w:val="00D95E92"/>
    <w:rsid w:val="00D96D25"/>
    <w:rsid w:val="00D97B82"/>
    <w:rsid w:val="00DA01F3"/>
    <w:rsid w:val="00DA0E24"/>
    <w:rsid w:val="00DA1D7E"/>
    <w:rsid w:val="00DA25BD"/>
    <w:rsid w:val="00DA3D2F"/>
    <w:rsid w:val="00DA3ECA"/>
    <w:rsid w:val="00DA42F8"/>
    <w:rsid w:val="00DA521D"/>
    <w:rsid w:val="00DA5C1C"/>
    <w:rsid w:val="00DA6556"/>
    <w:rsid w:val="00DA66B6"/>
    <w:rsid w:val="00DA66E8"/>
    <w:rsid w:val="00DA6A9A"/>
    <w:rsid w:val="00DA713D"/>
    <w:rsid w:val="00DA78F8"/>
    <w:rsid w:val="00DB039B"/>
    <w:rsid w:val="00DB057A"/>
    <w:rsid w:val="00DB09F8"/>
    <w:rsid w:val="00DB293D"/>
    <w:rsid w:val="00DB3616"/>
    <w:rsid w:val="00DB3A52"/>
    <w:rsid w:val="00DB3F33"/>
    <w:rsid w:val="00DB4273"/>
    <w:rsid w:val="00DB42CA"/>
    <w:rsid w:val="00DB4453"/>
    <w:rsid w:val="00DB4611"/>
    <w:rsid w:val="00DB47B5"/>
    <w:rsid w:val="00DB4DE3"/>
    <w:rsid w:val="00DB50D6"/>
    <w:rsid w:val="00DB6B66"/>
    <w:rsid w:val="00DB7F31"/>
    <w:rsid w:val="00DC0592"/>
    <w:rsid w:val="00DC05EB"/>
    <w:rsid w:val="00DC060D"/>
    <w:rsid w:val="00DC0F2E"/>
    <w:rsid w:val="00DC13DD"/>
    <w:rsid w:val="00DC1FE7"/>
    <w:rsid w:val="00DC356C"/>
    <w:rsid w:val="00DC3575"/>
    <w:rsid w:val="00DC43B0"/>
    <w:rsid w:val="00DC47BA"/>
    <w:rsid w:val="00DC4A89"/>
    <w:rsid w:val="00DC5270"/>
    <w:rsid w:val="00DC58E6"/>
    <w:rsid w:val="00DD06F1"/>
    <w:rsid w:val="00DD1301"/>
    <w:rsid w:val="00DD14E3"/>
    <w:rsid w:val="00DD1C53"/>
    <w:rsid w:val="00DD20CC"/>
    <w:rsid w:val="00DD2346"/>
    <w:rsid w:val="00DD3626"/>
    <w:rsid w:val="00DD363D"/>
    <w:rsid w:val="00DD3CD4"/>
    <w:rsid w:val="00DD48D4"/>
    <w:rsid w:val="00DD49D2"/>
    <w:rsid w:val="00DD509D"/>
    <w:rsid w:val="00DD5AF6"/>
    <w:rsid w:val="00DD5B64"/>
    <w:rsid w:val="00DD5EB5"/>
    <w:rsid w:val="00DD5F83"/>
    <w:rsid w:val="00DD74A9"/>
    <w:rsid w:val="00DD7933"/>
    <w:rsid w:val="00DD79AC"/>
    <w:rsid w:val="00DE00CB"/>
    <w:rsid w:val="00DE014E"/>
    <w:rsid w:val="00DE146D"/>
    <w:rsid w:val="00DE1859"/>
    <w:rsid w:val="00DE18BF"/>
    <w:rsid w:val="00DE2C71"/>
    <w:rsid w:val="00DE3209"/>
    <w:rsid w:val="00DE3A52"/>
    <w:rsid w:val="00DE4C10"/>
    <w:rsid w:val="00DE5088"/>
    <w:rsid w:val="00DE5693"/>
    <w:rsid w:val="00DE5C41"/>
    <w:rsid w:val="00DE70CF"/>
    <w:rsid w:val="00DE72E8"/>
    <w:rsid w:val="00DE7383"/>
    <w:rsid w:val="00DE7565"/>
    <w:rsid w:val="00DE76EC"/>
    <w:rsid w:val="00DF04CF"/>
    <w:rsid w:val="00DF0E8E"/>
    <w:rsid w:val="00DF156C"/>
    <w:rsid w:val="00DF198D"/>
    <w:rsid w:val="00DF2118"/>
    <w:rsid w:val="00DF2482"/>
    <w:rsid w:val="00DF4460"/>
    <w:rsid w:val="00DF45CD"/>
    <w:rsid w:val="00DF491E"/>
    <w:rsid w:val="00DF49DA"/>
    <w:rsid w:val="00DF4B4A"/>
    <w:rsid w:val="00DF4E16"/>
    <w:rsid w:val="00DF4FA9"/>
    <w:rsid w:val="00DF6089"/>
    <w:rsid w:val="00DF61F3"/>
    <w:rsid w:val="00DF6E54"/>
    <w:rsid w:val="00DF77F2"/>
    <w:rsid w:val="00DF7C9C"/>
    <w:rsid w:val="00E000A4"/>
    <w:rsid w:val="00E00653"/>
    <w:rsid w:val="00E009D2"/>
    <w:rsid w:val="00E00A03"/>
    <w:rsid w:val="00E00FDF"/>
    <w:rsid w:val="00E01402"/>
    <w:rsid w:val="00E01670"/>
    <w:rsid w:val="00E01CD0"/>
    <w:rsid w:val="00E01CD9"/>
    <w:rsid w:val="00E021AD"/>
    <w:rsid w:val="00E0376A"/>
    <w:rsid w:val="00E03C55"/>
    <w:rsid w:val="00E04D43"/>
    <w:rsid w:val="00E050EA"/>
    <w:rsid w:val="00E053C6"/>
    <w:rsid w:val="00E05E70"/>
    <w:rsid w:val="00E061C6"/>
    <w:rsid w:val="00E065A1"/>
    <w:rsid w:val="00E06C18"/>
    <w:rsid w:val="00E0727A"/>
    <w:rsid w:val="00E07427"/>
    <w:rsid w:val="00E077E1"/>
    <w:rsid w:val="00E100B4"/>
    <w:rsid w:val="00E1128A"/>
    <w:rsid w:val="00E119A9"/>
    <w:rsid w:val="00E12152"/>
    <w:rsid w:val="00E12207"/>
    <w:rsid w:val="00E123DD"/>
    <w:rsid w:val="00E1254B"/>
    <w:rsid w:val="00E12946"/>
    <w:rsid w:val="00E12D4E"/>
    <w:rsid w:val="00E12E71"/>
    <w:rsid w:val="00E141D6"/>
    <w:rsid w:val="00E143C9"/>
    <w:rsid w:val="00E15027"/>
    <w:rsid w:val="00E15A54"/>
    <w:rsid w:val="00E16BFE"/>
    <w:rsid w:val="00E16E2D"/>
    <w:rsid w:val="00E16FAE"/>
    <w:rsid w:val="00E173F7"/>
    <w:rsid w:val="00E212D6"/>
    <w:rsid w:val="00E21854"/>
    <w:rsid w:val="00E2189E"/>
    <w:rsid w:val="00E23305"/>
    <w:rsid w:val="00E233A2"/>
    <w:rsid w:val="00E23C2A"/>
    <w:rsid w:val="00E2456E"/>
    <w:rsid w:val="00E24E0B"/>
    <w:rsid w:val="00E25399"/>
    <w:rsid w:val="00E254B4"/>
    <w:rsid w:val="00E25DA5"/>
    <w:rsid w:val="00E2631F"/>
    <w:rsid w:val="00E2677E"/>
    <w:rsid w:val="00E26B29"/>
    <w:rsid w:val="00E26E5E"/>
    <w:rsid w:val="00E27042"/>
    <w:rsid w:val="00E2725C"/>
    <w:rsid w:val="00E30277"/>
    <w:rsid w:val="00E30BDA"/>
    <w:rsid w:val="00E31045"/>
    <w:rsid w:val="00E31313"/>
    <w:rsid w:val="00E3142E"/>
    <w:rsid w:val="00E32788"/>
    <w:rsid w:val="00E32934"/>
    <w:rsid w:val="00E32B24"/>
    <w:rsid w:val="00E331F2"/>
    <w:rsid w:val="00E33851"/>
    <w:rsid w:val="00E33A45"/>
    <w:rsid w:val="00E33DD0"/>
    <w:rsid w:val="00E34265"/>
    <w:rsid w:val="00E34D05"/>
    <w:rsid w:val="00E34D2F"/>
    <w:rsid w:val="00E3539B"/>
    <w:rsid w:val="00E3541A"/>
    <w:rsid w:val="00E355DF"/>
    <w:rsid w:val="00E35606"/>
    <w:rsid w:val="00E35A64"/>
    <w:rsid w:val="00E35CFF"/>
    <w:rsid w:val="00E35E2B"/>
    <w:rsid w:val="00E3601B"/>
    <w:rsid w:val="00E363BF"/>
    <w:rsid w:val="00E36E90"/>
    <w:rsid w:val="00E36FB9"/>
    <w:rsid w:val="00E37F6A"/>
    <w:rsid w:val="00E4040F"/>
    <w:rsid w:val="00E4187D"/>
    <w:rsid w:val="00E41D17"/>
    <w:rsid w:val="00E42E9C"/>
    <w:rsid w:val="00E43724"/>
    <w:rsid w:val="00E4481C"/>
    <w:rsid w:val="00E44A36"/>
    <w:rsid w:val="00E45117"/>
    <w:rsid w:val="00E4513A"/>
    <w:rsid w:val="00E458B0"/>
    <w:rsid w:val="00E46036"/>
    <w:rsid w:val="00E462A1"/>
    <w:rsid w:val="00E464AF"/>
    <w:rsid w:val="00E469A6"/>
    <w:rsid w:val="00E46BE7"/>
    <w:rsid w:val="00E46EB5"/>
    <w:rsid w:val="00E476FB"/>
    <w:rsid w:val="00E50159"/>
    <w:rsid w:val="00E50BA4"/>
    <w:rsid w:val="00E50C1A"/>
    <w:rsid w:val="00E51027"/>
    <w:rsid w:val="00E515C8"/>
    <w:rsid w:val="00E51BBF"/>
    <w:rsid w:val="00E52C47"/>
    <w:rsid w:val="00E531FF"/>
    <w:rsid w:val="00E53783"/>
    <w:rsid w:val="00E55348"/>
    <w:rsid w:val="00E55930"/>
    <w:rsid w:val="00E55E02"/>
    <w:rsid w:val="00E560D3"/>
    <w:rsid w:val="00E56109"/>
    <w:rsid w:val="00E56649"/>
    <w:rsid w:val="00E56929"/>
    <w:rsid w:val="00E56E01"/>
    <w:rsid w:val="00E5798A"/>
    <w:rsid w:val="00E57D2E"/>
    <w:rsid w:val="00E6070D"/>
    <w:rsid w:val="00E61B11"/>
    <w:rsid w:val="00E61B95"/>
    <w:rsid w:val="00E61BE6"/>
    <w:rsid w:val="00E631AC"/>
    <w:rsid w:val="00E63994"/>
    <w:rsid w:val="00E65A94"/>
    <w:rsid w:val="00E65ABF"/>
    <w:rsid w:val="00E65C6E"/>
    <w:rsid w:val="00E661B7"/>
    <w:rsid w:val="00E66517"/>
    <w:rsid w:val="00E667CB"/>
    <w:rsid w:val="00E66AE1"/>
    <w:rsid w:val="00E66D62"/>
    <w:rsid w:val="00E66DB4"/>
    <w:rsid w:val="00E66F4B"/>
    <w:rsid w:val="00E671A2"/>
    <w:rsid w:val="00E7115A"/>
    <w:rsid w:val="00E71698"/>
    <w:rsid w:val="00E71CB0"/>
    <w:rsid w:val="00E725E4"/>
    <w:rsid w:val="00E72A48"/>
    <w:rsid w:val="00E72E0D"/>
    <w:rsid w:val="00E73376"/>
    <w:rsid w:val="00E73628"/>
    <w:rsid w:val="00E73759"/>
    <w:rsid w:val="00E73A6B"/>
    <w:rsid w:val="00E757F6"/>
    <w:rsid w:val="00E75913"/>
    <w:rsid w:val="00E759F2"/>
    <w:rsid w:val="00E761B1"/>
    <w:rsid w:val="00E76482"/>
    <w:rsid w:val="00E77A49"/>
    <w:rsid w:val="00E77A90"/>
    <w:rsid w:val="00E77DF0"/>
    <w:rsid w:val="00E8019A"/>
    <w:rsid w:val="00E80297"/>
    <w:rsid w:val="00E80526"/>
    <w:rsid w:val="00E807D9"/>
    <w:rsid w:val="00E809A9"/>
    <w:rsid w:val="00E80F6E"/>
    <w:rsid w:val="00E8124B"/>
    <w:rsid w:val="00E82096"/>
    <w:rsid w:val="00E8234F"/>
    <w:rsid w:val="00E831D2"/>
    <w:rsid w:val="00E840E5"/>
    <w:rsid w:val="00E84286"/>
    <w:rsid w:val="00E853C2"/>
    <w:rsid w:val="00E8616E"/>
    <w:rsid w:val="00E875E4"/>
    <w:rsid w:val="00E9017C"/>
    <w:rsid w:val="00E90B84"/>
    <w:rsid w:val="00E90DF3"/>
    <w:rsid w:val="00E9180A"/>
    <w:rsid w:val="00E91D49"/>
    <w:rsid w:val="00E928A6"/>
    <w:rsid w:val="00E92994"/>
    <w:rsid w:val="00E93377"/>
    <w:rsid w:val="00E936BE"/>
    <w:rsid w:val="00E937D8"/>
    <w:rsid w:val="00E9380D"/>
    <w:rsid w:val="00E94188"/>
    <w:rsid w:val="00E94212"/>
    <w:rsid w:val="00E94AE1"/>
    <w:rsid w:val="00E95B57"/>
    <w:rsid w:val="00E9613C"/>
    <w:rsid w:val="00E9624F"/>
    <w:rsid w:val="00E96DE2"/>
    <w:rsid w:val="00E975B4"/>
    <w:rsid w:val="00E97667"/>
    <w:rsid w:val="00E9781C"/>
    <w:rsid w:val="00E97949"/>
    <w:rsid w:val="00E979F6"/>
    <w:rsid w:val="00E97DCA"/>
    <w:rsid w:val="00EA0087"/>
    <w:rsid w:val="00EA03B9"/>
    <w:rsid w:val="00EA06B6"/>
    <w:rsid w:val="00EA0B19"/>
    <w:rsid w:val="00EA0DCB"/>
    <w:rsid w:val="00EA13C7"/>
    <w:rsid w:val="00EA1A78"/>
    <w:rsid w:val="00EA2349"/>
    <w:rsid w:val="00EA2466"/>
    <w:rsid w:val="00EA25BB"/>
    <w:rsid w:val="00EA2E6F"/>
    <w:rsid w:val="00EA3443"/>
    <w:rsid w:val="00EA4085"/>
    <w:rsid w:val="00EA4E7A"/>
    <w:rsid w:val="00EA5069"/>
    <w:rsid w:val="00EA5835"/>
    <w:rsid w:val="00EA5912"/>
    <w:rsid w:val="00EA676F"/>
    <w:rsid w:val="00EA6C9B"/>
    <w:rsid w:val="00EA6CA0"/>
    <w:rsid w:val="00EB008A"/>
    <w:rsid w:val="00EB11B6"/>
    <w:rsid w:val="00EB13BE"/>
    <w:rsid w:val="00EB267A"/>
    <w:rsid w:val="00EB2BE0"/>
    <w:rsid w:val="00EB46E6"/>
    <w:rsid w:val="00EB50BD"/>
    <w:rsid w:val="00EB6237"/>
    <w:rsid w:val="00EB6F57"/>
    <w:rsid w:val="00EB72E0"/>
    <w:rsid w:val="00EB75A1"/>
    <w:rsid w:val="00EB760B"/>
    <w:rsid w:val="00EB7DAE"/>
    <w:rsid w:val="00EC0158"/>
    <w:rsid w:val="00EC12C8"/>
    <w:rsid w:val="00EC14E2"/>
    <w:rsid w:val="00EC1EC8"/>
    <w:rsid w:val="00EC3373"/>
    <w:rsid w:val="00EC3519"/>
    <w:rsid w:val="00EC3520"/>
    <w:rsid w:val="00EC36FF"/>
    <w:rsid w:val="00EC38D5"/>
    <w:rsid w:val="00EC392C"/>
    <w:rsid w:val="00EC3B02"/>
    <w:rsid w:val="00EC4D39"/>
    <w:rsid w:val="00EC56FE"/>
    <w:rsid w:val="00EC5877"/>
    <w:rsid w:val="00EC5A48"/>
    <w:rsid w:val="00EC5D77"/>
    <w:rsid w:val="00EC6018"/>
    <w:rsid w:val="00EC6327"/>
    <w:rsid w:val="00EC65CB"/>
    <w:rsid w:val="00EC67E5"/>
    <w:rsid w:val="00EC6837"/>
    <w:rsid w:val="00EC6F25"/>
    <w:rsid w:val="00ED0782"/>
    <w:rsid w:val="00ED198B"/>
    <w:rsid w:val="00ED2044"/>
    <w:rsid w:val="00ED2E01"/>
    <w:rsid w:val="00ED3B02"/>
    <w:rsid w:val="00ED3B22"/>
    <w:rsid w:val="00ED43C0"/>
    <w:rsid w:val="00ED47D5"/>
    <w:rsid w:val="00ED4B7A"/>
    <w:rsid w:val="00ED56FE"/>
    <w:rsid w:val="00ED5A71"/>
    <w:rsid w:val="00ED6840"/>
    <w:rsid w:val="00ED6AFA"/>
    <w:rsid w:val="00ED7117"/>
    <w:rsid w:val="00ED7B00"/>
    <w:rsid w:val="00ED7D00"/>
    <w:rsid w:val="00ED7ECE"/>
    <w:rsid w:val="00EE05FC"/>
    <w:rsid w:val="00EE071F"/>
    <w:rsid w:val="00EE08CE"/>
    <w:rsid w:val="00EE0A8E"/>
    <w:rsid w:val="00EE16A4"/>
    <w:rsid w:val="00EE186D"/>
    <w:rsid w:val="00EE1C5B"/>
    <w:rsid w:val="00EE2343"/>
    <w:rsid w:val="00EE2A25"/>
    <w:rsid w:val="00EE2BF7"/>
    <w:rsid w:val="00EE37B6"/>
    <w:rsid w:val="00EE40D2"/>
    <w:rsid w:val="00EE61E2"/>
    <w:rsid w:val="00EE6520"/>
    <w:rsid w:val="00EE6895"/>
    <w:rsid w:val="00EE6DF2"/>
    <w:rsid w:val="00EE6F12"/>
    <w:rsid w:val="00EE7B0E"/>
    <w:rsid w:val="00EF017E"/>
    <w:rsid w:val="00EF02E5"/>
    <w:rsid w:val="00EF0856"/>
    <w:rsid w:val="00EF0F4C"/>
    <w:rsid w:val="00EF1389"/>
    <w:rsid w:val="00EF3530"/>
    <w:rsid w:val="00EF4682"/>
    <w:rsid w:val="00EF4D55"/>
    <w:rsid w:val="00EF59F9"/>
    <w:rsid w:val="00EF5C6C"/>
    <w:rsid w:val="00EF5F57"/>
    <w:rsid w:val="00EF612E"/>
    <w:rsid w:val="00EF68E9"/>
    <w:rsid w:val="00EF708D"/>
    <w:rsid w:val="00EF7EAC"/>
    <w:rsid w:val="00EF7EDC"/>
    <w:rsid w:val="00F00006"/>
    <w:rsid w:val="00F00C48"/>
    <w:rsid w:val="00F01498"/>
    <w:rsid w:val="00F01B24"/>
    <w:rsid w:val="00F01ECC"/>
    <w:rsid w:val="00F0210D"/>
    <w:rsid w:val="00F02376"/>
    <w:rsid w:val="00F02688"/>
    <w:rsid w:val="00F0271B"/>
    <w:rsid w:val="00F027CC"/>
    <w:rsid w:val="00F02BA6"/>
    <w:rsid w:val="00F02FC7"/>
    <w:rsid w:val="00F03220"/>
    <w:rsid w:val="00F04107"/>
    <w:rsid w:val="00F042F9"/>
    <w:rsid w:val="00F045DD"/>
    <w:rsid w:val="00F04894"/>
    <w:rsid w:val="00F0510A"/>
    <w:rsid w:val="00F06AED"/>
    <w:rsid w:val="00F06BD4"/>
    <w:rsid w:val="00F10B97"/>
    <w:rsid w:val="00F10DF6"/>
    <w:rsid w:val="00F11087"/>
    <w:rsid w:val="00F11330"/>
    <w:rsid w:val="00F114C4"/>
    <w:rsid w:val="00F115C8"/>
    <w:rsid w:val="00F1179A"/>
    <w:rsid w:val="00F1187E"/>
    <w:rsid w:val="00F12750"/>
    <w:rsid w:val="00F12A86"/>
    <w:rsid w:val="00F12E5A"/>
    <w:rsid w:val="00F12F6B"/>
    <w:rsid w:val="00F13128"/>
    <w:rsid w:val="00F131A6"/>
    <w:rsid w:val="00F1325F"/>
    <w:rsid w:val="00F13705"/>
    <w:rsid w:val="00F13BCF"/>
    <w:rsid w:val="00F1479E"/>
    <w:rsid w:val="00F1488F"/>
    <w:rsid w:val="00F14B23"/>
    <w:rsid w:val="00F14E08"/>
    <w:rsid w:val="00F15009"/>
    <w:rsid w:val="00F160AB"/>
    <w:rsid w:val="00F1652B"/>
    <w:rsid w:val="00F16F4F"/>
    <w:rsid w:val="00F17757"/>
    <w:rsid w:val="00F17783"/>
    <w:rsid w:val="00F21208"/>
    <w:rsid w:val="00F21806"/>
    <w:rsid w:val="00F218D1"/>
    <w:rsid w:val="00F218D2"/>
    <w:rsid w:val="00F232D6"/>
    <w:rsid w:val="00F234E7"/>
    <w:rsid w:val="00F23D7A"/>
    <w:rsid w:val="00F245D1"/>
    <w:rsid w:val="00F25089"/>
    <w:rsid w:val="00F25097"/>
    <w:rsid w:val="00F2554F"/>
    <w:rsid w:val="00F25E20"/>
    <w:rsid w:val="00F261B7"/>
    <w:rsid w:val="00F269B3"/>
    <w:rsid w:val="00F270CB"/>
    <w:rsid w:val="00F270CC"/>
    <w:rsid w:val="00F273B9"/>
    <w:rsid w:val="00F27721"/>
    <w:rsid w:val="00F279D9"/>
    <w:rsid w:val="00F302A4"/>
    <w:rsid w:val="00F30B8A"/>
    <w:rsid w:val="00F30E6F"/>
    <w:rsid w:val="00F3163A"/>
    <w:rsid w:val="00F31D23"/>
    <w:rsid w:val="00F323E1"/>
    <w:rsid w:val="00F3271E"/>
    <w:rsid w:val="00F329CF"/>
    <w:rsid w:val="00F32C39"/>
    <w:rsid w:val="00F33A3B"/>
    <w:rsid w:val="00F3401B"/>
    <w:rsid w:val="00F34BC5"/>
    <w:rsid w:val="00F34F3D"/>
    <w:rsid w:val="00F351E7"/>
    <w:rsid w:val="00F35728"/>
    <w:rsid w:val="00F35842"/>
    <w:rsid w:val="00F35874"/>
    <w:rsid w:val="00F35B94"/>
    <w:rsid w:val="00F37572"/>
    <w:rsid w:val="00F37A84"/>
    <w:rsid w:val="00F37C4A"/>
    <w:rsid w:val="00F401E0"/>
    <w:rsid w:val="00F408AF"/>
    <w:rsid w:val="00F40B80"/>
    <w:rsid w:val="00F40EA6"/>
    <w:rsid w:val="00F41127"/>
    <w:rsid w:val="00F413AC"/>
    <w:rsid w:val="00F41465"/>
    <w:rsid w:val="00F42CD4"/>
    <w:rsid w:val="00F431CE"/>
    <w:rsid w:val="00F43334"/>
    <w:rsid w:val="00F43A09"/>
    <w:rsid w:val="00F43A3C"/>
    <w:rsid w:val="00F43DDB"/>
    <w:rsid w:val="00F45031"/>
    <w:rsid w:val="00F455EB"/>
    <w:rsid w:val="00F457D6"/>
    <w:rsid w:val="00F45A63"/>
    <w:rsid w:val="00F45E53"/>
    <w:rsid w:val="00F45FA0"/>
    <w:rsid w:val="00F46267"/>
    <w:rsid w:val="00F47513"/>
    <w:rsid w:val="00F4791D"/>
    <w:rsid w:val="00F47DB6"/>
    <w:rsid w:val="00F47FF5"/>
    <w:rsid w:val="00F50513"/>
    <w:rsid w:val="00F50D5F"/>
    <w:rsid w:val="00F50FE6"/>
    <w:rsid w:val="00F51886"/>
    <w:rsid w:val="00F51A2A"/>
    <w:rsid w:val="00F51B90"/>
    <w:rsid w:val="00F51E06"/>
    <w:rsid w:val="00F53F52"/>
    <w:rsid w:val="00F53F9D"/>
    <w:rsid w:val="00F55BDF"/>
    <w:rsid w:val="00F56B39"/>
    <w:rsid w:val="00F57822"/>
    <w:rsid w:val="00F57F26"/>
    <w:rsid w:val="00F61BED"/>
    <w:rsid w:val="00F6292F"/>
    <w:rsid w:val="00F62E28"/>
    <w:rsid w:val="00F635A8"/>
    <w:rsid w:val="00F63828"/>
    <w:rsid w:val="00F63B2E"/>
    <w:rsid w:val="00F63B4E"/>
    <w:rsid w:val="00F645D3"/>
    <w:rsid w:val="00F64C69"/>
    <w:rsid w:val="00F6558F"/>
    <w:rsid w:val="00F65DA7"/>
    <w:rsid w:val="00F667DC"/>
    <w:rsid w:val="00F6725A"/>
    <w:rsid w:val="00F7023C"/>
    <w:rsid w:val="00F70A21"/>
    <w:rsid w:val="00F71A51"/>
    <w:rsid w:val="00F71FFE"/>
    <w:rsid w:val="00F72915"/>
    <w:rsid w:val="00F72CAF"/>
    <w:rsid w:val="00F72D6E"/>
    <w:rsid w:val="00F7300A"/>
    <w:rsid w:val="00F73B12"/>
    <w:rsid w:val="00F73F52"/>
    <w:rsid w:val="00F7467F"/>
    <w:rsid w:val="00F749B4"/>
    <w:rsid w:val="00F74B4C"/>
    <w:rsid w:val="00F757B5"/>
    <w:rsid w:val="00F75892"/>
    <w:rsid w:val="00F76ADF"/>
    <w:rsid w:val="00F76B6C"/>
    <w:rsid w:val="00F76E6D"/>
    <w:rsid w:val="00F7743D"/>
    <w:rsid w:val="00F80C38"/>
    <w:rsid w:val="00F80FD7"/>
    <w:rsid w:val="00F810D1"/>
    <w:rsid w:val="00F8148C"/>
    <w:rsid w:val="00F8180B"/>
    <w:rsid w:val="00F820EE"/>
    <w:rsid w:val="00F82C9B"/>
    <w:rsid w:val="00F82F4D"/>
    <w:rsid w:val="00F8348F"/>
    <w:rsid w:val="00F84781"/>
    <w:rsid w:val="00F84A91"/>
    <w:rsid w:val="00F852A9"/>
    <w:rsid w:val="00F87181"/>
    <w:rsid w:val="00F875D5"/>
    <w:rsid w:val="00F879E8"/>
    <w:rsid w:val="00F87EC5"/>
    <w:rsid w:val="00F90C3A"/>
    <w:rsid w:val="00F92809"/>
    <w:rsid w:val="00F9302C"/>
    <w:rsid w:val="00F93031"/>
    <w:rsid w:val="00F943B2"/>
    <w:rsid w:val="00F94A00"/>
    <w:rsid w:val="00F95229"/>
    <w:rsid w:val="00F96008"/>
    <w:rsid w:val="00F96350"/>
    <w:rsid w:val="00F97008"/>
    <w:rsid w:val="00F973FA"/>
    <w:rsid w:val="00F97B06"/>
    <w:rsid w:val="00FA031E"/>
    <w:rsid w:val="00FA06A2"/>
    <w:rsid w:val="00FA0BF2"/>
    <w:rsid w:val="00FA1434"/>
    <w:rsid w:val="00FA29B4"/>
    <w:rsid w:val="00FA30D7"/>
    <w:rsid w:val="00FA32DC"/>
    <w:rsid w:val="00FA4095"/>
    <w:rsid w:val="00FA4A1E"/>
    <w:rsid w:val="00FA4EC4"/>
    <w:rsid w:val="00FA5482"/>
    <w:rsid w:val="00FA5E47"/>
    <w:rsid w:val="00FA5F1A"/>
    <w:rsid w:val="00FA5FAB"/>
    <w:rsid w:val="00FA6936"/>
    <w:rsid w:val="00FA6BFF"/>
    <w:rsid w:val="00FA6EC8"/>
    <w:rsid w:val="00FB20C7"/>
    <w:rsid w:val="00FB2262"/>
    <w:rsid w:val="00FB2EF1"/>
    <w:rsid w:val="00FB369A"/>
    <w:rsid w:val="00FB3C0F"/>
    <w:rsid w:val="00FB3F48"/>
    <w:rsid w:val="00FB3FB4"/>
    <w:rsid w:val="00FB52B5"/>
    <w:rsid w:val="00FB5376"/>
    <w:rsid w:val="00FB5897"/>
    <w:rsid w:val="00FB5A66"/>
    <w:rsid w:val="00FB5B4F"/>
    <w:rsid w:val="00FB5C4C"/>
    <w:rsid w:val="00FB5CC3"/>
    <w:rsid w:val="00FB624E"/>
    <w:rsid w:val="00FB6767"/>
    <w:rsid w:val="00FB6A00"/>
    <w:rsid w:val="00FB7ECF"/>
    <w:rsid w:val="00FC0351"/>
    <w:rsid w:val="00FC2013"/>
    <w:rsid w:val="00FC2195"/>
    <w:rsid w:val="00FC23A8"/>
    <w:rsid w:val="00FC240F"/>
    <w:rsid w:val="00FC36FD"/>
    <w:rsid w:val="00FC40BB"/>
    <w:rsid w:val="00FC463B"/>
    <w:rsid w:val="00FC48E2"/>
    <w:rsid w:val="00FC4E24"/>
    <w:rsid w:val="00FC5B97"/>
    <w:rsid w:val="00FC625D"/>
    <w:rsid w:val="00FC6544"/>
    <w:rsid w:val="00FD046A"/>
    <w:rsid w:val="00FD09A7"/>
    <w:rsid w:val="00FD0AA5"/>
    <w:rsid w:val="00FD1A61"/>
    <w:rsid w:val="00FD2D0F"/>
    <w:rsid w:val="00FD3154"/>
    <w:rsid w:val="00FD35DD"/>
    <w:rsid w:val="00FD3B87"/>
    <w:rsid w:val="00FD4143"/>
    <w:rsid w:val="00FD48A5"/>
    <w:rsid w:val="00FD49A6"/>
    <w:rsid w:val="00FD50CB"/>
    <w:rsid w:val="00FD51BA"/>
    <w:rsid w:val="00FD53F3"/>
    <w:rsid w:val="00FD5961"/>
    <w:rsid w:val="00FD5DA4"/>
    <w:rsid w:val="00FD7434"/>
    <w:rsid w:val="00FE074C"/>
    <w:rsid w:val="00FE07CE"/>
    <w:rsid w:val="00FE0869"/>
    <w:rsid w:val="00FE1081"/>
    <w:rsid w:val="00FE1504"/>
    <w:rsid w:val="00FE175D"/>
    <w:rsid w:val="00FE1CFF"/>
    <w:rsid w:val="00FE1F0F"/>
    <w:rsid w:val="00FE2A3B"/>
    <w:rsid w:val="00FE2DB9"/>
    <w:rsid w:val="00FE3058"/>
    <w:rsid w:val="00FE32DC"/>
    <w:rsid w:val="00FE3839"/>
    <w:rsid w:val="00FE41DE"/>
    <w:rsid w:val="00FE44ED"/>
    <w:rsid w:val="00FE546C"/>
    <w:rsid w:val="00FE5908"/>
    <w:rsid w:val="00FF092A"/>
    <w:rsid w:val="00FF0EE7"/>
    <w:rsid w:val="00FF15DC"/>
    <w:rsid w:val="00FF1FC4"/>
    <w:rsid w:val="00FF2BD5"/>
    <w:rsid w:val="00FF2D48"/>
    <w:rsid w:val="00FF30C5"/>
    <w:rsid w:val="00FF321E"/>
    <w:rsid w:val="00FF3788"/>
    <w:rsid w:val="00FF37C9"/>
    <w:rsid w:val="00FF37F3"/>
    <w:rsid w:val="00FF3DCE"/>
    <w:rsid w:val="00FF3DF6"/>
    <w:rsid w:val="00FF4203"/>
    <w:rsid w:val="00FF51CC"/>
    <w:rsid w:val="00FF5440"/>
    <w:rsid w:val="00FF55A1"/>
    <w:rsid w:val="00FF5647"/>
    <w:rsid w:val="00FF56D3"/>
    <w:rsid w:val="00FF5747"/>
    <w:rsid w:val="00FF62AF"/>
    <w:rsid w:val="00FF6629"/>
    <w:rsid w:val="00FF6B70"/>
    <w:rsid w:val="00FF724B"/>
    <w:rsid w:val="00FF79A0"/>
    <w:rsid w:val="00FF7C0C"/>
    <w:rsid w:val="00FF7E93"/>
    <w:rsid w:val="0B81DEC6"/>
    <w:rsid w:val="170A8091"/>
    <w:rsid w:val="288BE56B"/>
    <w:rsid w:val="2E270276"/>
    <w:rsid w:val="46BAA800"/>
    <w:rsid w:val="50EFD716"/>
    <w:rsid w:val="6D2F5EFB"/>
    <w:rsid w:val="6D9053E0"/>
    <w:rsid w:val="77A2A472"/>
    <w:rsid w:val="7D24792E"/>
    <w:rsid w:val="7E282E9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02E63"/>
  <w15:docId w15:val="{77AB44A1-663C-4ABF-8419-3E41F9289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45D"/>
    <w:pPr>
      <w:spacing w:before="160" w:line="288" w:lineRule="auto"/>
    </w:pPr>
    <w:rPr>
      <w:color w:val="434D54"/>
      <w:sz w:val="22"/>
    </w:rPr>
  </w:style>
  <w:style w:type="paragraph" w:styleId="Heading1">
    <w:name w:val="heading 1"/>
    <w:basedOn w:val="Normal"/>
    <w:next w:val="Normal"/>
    <w:link w:val="Heading1Char"/>
    <w:uiPriority w:val="9"/>
    <w:qFormat/>
    <w:rsid w:val="006605AB"/>
    <w:pPr>
      <w:keepNext/>
      <w:keepLines/>
      <w:numPr>
        <w:numId w:val="50"/>
      </w:numPr>
      <w:pBdr>
        <w:left w:val="single" w:sz="24" w:space="12" w:color="E10D11"/>
      </w:pBdr>
      <w:tabs>
        <w:tab w:val="left" w:pos="360"/>
      </w:tabs>
      <w:spacing w:before="80" w:after="80" w:line="240" w:lineRule="auto"/>
      <w:outlineLvl w:val="0"/>
    </w:pPr>
    <w:rPr>
      <w:rFonts w:asciiTheme="majorHAnsi" w:eastAsiaTheme="majorEastAsia" w:hAnsiTheme="majorHAnsi" w:cstheme="majorBidi"/>
      <w:b/>
      <w:spacing w:val="10"/>
      <w:sz w:val="36"/>
      <w:szCs w:val="36"/>
    </w:rPr>
  </w:style>
  <w:style w:type="paragraph" w:styleId="Heading2">
    <w:name w:val="heading 2"/>
    <w:basedOn w:val="Normal"/>
    <w:next w:val="Normal"/>
    <w:link w:val="Heading2Char"/>
    <w:uiPriority w:val="9"/>
    <w:unhideWhenUsed/>
    <w:qFormat/>
    <w:rsid w:val="007D7125"/>
    <w:pPr>
      <w:keepNext/>
      <w:keepLines/>
      <w:numPr>
        <w:ilvl w:val="1"/>
        <w:numId w:val="50"/>
      </w:numPr>
      <w:tabs>
        <w:tab w:val="left" w:pos="0"/>
      </w:tabs>
      <w:spacing w:before="240" w:after="0" w:line="240" w:lineRule="auto"/>
      <w:outlineLvl w:val="1"/>
    </w:pPr>
    <w:rPr>
      <w:rFonts w:asciiTheme="majorHAnsi" w:eastAsiaTheme="majorEastAsia" w:hAnsiTheme="majorHAnsi" w:cstheme="majorBidi"/>
      <w:b/>
      <w:color w:val="C00000"/>
      <w:sz w:val="32"/>
      <w:szCs w:val="36"/>
    </w:rPr>
  </w:style>
  <w:style w:type="paragraph" w:styleId="Heading3">
    <w:name w:val="heading 3"/>
    <w:basedOn w:val="Heading2"/>
    <w:next w:val="Normal"/>
    <w:link w:val="Heading3Char"/>
    <w:uiPriority w:val="9"/>
    <w:unhideWhenUsed/>
    <w:qFormat/>
    <w:rsid w:val="00552E6B"/>
    <w:pPr>
      <w:numPr>
        <w:ilvl w:val="2"/>
      </w:numPr>
      <w:spacing w:before="280" w:after="120"/>
      <w:outlineLvl w:val="2"/>
    </w:pPr>
    <w:rPr>
      <w:caps/>
      <w:spacing w:val="-20"/>
      <w:sz w:val="28"/>
      <w:szCs w:val="28"/>
    </w:rPr>
  </w:style>
  <w:style w:type="paragraph" w:styleId="Heading4">
    <w:name w:val="heading 4"/>
    <w:basedOn w:val="Heading3"/>
    <w:next w:val="Normal"/>
    <w:link w:val="Heading4Char"/>
    <w:uiPriority w:val="9"/>
    <w:unhideWhenUsed/>
    <w:qFormat/>
    <w:rsid w:val="00BB347D"/>
    <w:pPr>
      <w:numPr>
        <w:ilvl w:val="3"/>
      </w:numPr>
      <w:spacing w:before="80" w:after="0" w:line="300" w:lineRule="atLeast"/>
      <w:outlineLvl w:val="3"/>
    </w:pPr>
    <w:rPr>
      <w:rFonts w:cs="Segoe UI"/>
      <w:iCs/>
      <w:caps w:val="0"/>
      <w:sz w:val="22"/>
      <w:szCs w:val="22"/>
    </w:rPr>
  </w:style>
  <w:style w:type="paragraph" w:styleId="Heading5">
    <w:name w:val="heading 5"/>
    <w:basedOn w:val="Normal"/>
    <w:next w:val="Normal"/>
    <w:link w:val="Heading5Char"/>
    <w:uiPriority w:val="9"/>
    <w:unhideWhenUsed/>
    <w:qFormat/>
    <w:rsid w:val="006D0FDF"/>
    <w:pPr>
      <w:keepNext/>
      <w:keepLines/>
      <w:numPr>
        <w:ilvl w:val="4"/>
        <w:numId w:val="50"/>
      </w:numPr>
      <w:spacing w:before="80" w:after="0" w:line="240" w:lineRule="auto"/>
      <w:outlineLvl w:val="4"/>
    </w:pPr>
    <w:rPr>
      <w:rFonts w:asciiTheme="majorHAnsi" w:eastAsiaTheme="majorEastAsia" w:hAnsiTheme="majorHAnsi" w:cstheme="majorBidi"/>
      <w:szCs w:val="24"/>
    </w:rPr>
  </w:style>
  <w:style w:type="paragraph" w:styleId="Heading6">
    <w:name w:val="heading 6"/>
    <w:basedOn w:val="Normal"/>
    <w:next w:val="Normal"/>
    <w:link w:val="Heading6Char"/>
    <w:uiPriority w:val="9"/>
    <w:unhideWhenUsed/>
    <w:qFormat/>
    <w:rsid w:val="006D0FDF"/>
    <w:pPr>
      <w:keepNext/>
      <w:keepLines/>
      <w:numPr>
        <w:ilvl w:val="5"/>
        <w:numId w:val="50"/>
      </w:numPr>
      <w:spacing w:before="80" w:after="0" w:line="240" w:lineRule="auto"/>
      <w:outlineLvl w:val="5"/>
    </w:pPr>
    <w:rPr>
      <w:rFonts w:asciiTheme="majorHAnsi" w:eastAsiaTheme="majorEastAsia" w:hAnsiTheme="majorHAnsi" w:cstheme="majorBidi"/>
      <w:i/>
      <w:iCs/>
      <w:szCs w:val="24"/>
    </w:rPr>
  </w:style>
  <w:style w:type="paragraph" w:styleId="Heading7">
    <w:name w:val="heading 7"/>
    <w:basedOn w:val="Normal"/>
    <w:next w:val="Normal"/>
    <w:link w:val="Heading7Char"/>
    <w:uiPriority w:val="9"/>
    <w:semiHidden/>
    <w:unhideWhenUsed/>
    <w:qFormat/>
    <w:rsid w:val="006D0FDF"/>
    <w:pPr>
      <w:keepNext/>
      <w:keepLines/>
      <w:numPr>
        <w:ilvl w:val="6"/>
        <w:numId w:val="50"/>
      </w:numPr>
      <w:spacing w:before="80" w:after="0" w:line="240" w:lineRule="auto"/>
      <w:outlineLvl w:val="6"/>
    </w:pPr>
    <w:rPr>
      <w:rFonts w:asciiTheme="majorHAnsi" w:eastAsiaTheme="majorEastAsia" w:hAnsiTheme="majorHAnsi" w:cstheme="majorBidi"/>
      <w:color w:val="7A7A7A" w:themeColor="text1" w:themeTint="A6"/>
      <w:sz w:val="24"/>
      <w:szCs w:val="24"/>
    </w:rPr>
  </w:style>
  <w:style w:type="paragraph" w:styleId="Heading8">
    <w:name w:val="heading 8"/>
    <w:basedOn w:val="Normal"/>
    <w:next w:val="Normal"/>
    <w:link w:val="Heading8Char"/>
    <w:uiPriority w:val="9"/>
    <w:semiHidden/>
    <w:unhideWhenUsed/>
    <w:qFormat/>
    <w:rsid w:val="006D0FDF"/>
    <w:pPr>
      <w:keepNext/>
      <w:keepLines/>
      <w:numPr>
        <w:ilvl w:val="7"/>
        <w:numId w:val="50"/>
      </w:numPr>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6D0FDF"/>
    <w:pPr>
      <w:keepNext/>
      <w:keepLines/>
      <w:numPr>
        <w:ilvl w:val="8"/>
        <w:numId w:val="50"/>
      </w:numPr>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rsid w:val="0087479B"/>
    <w:pPr>
      <w:tabs>
        <w:tab w:val="left" w:pos="0"/>
        <w:tab w:val="left" w:pos="1080"/>
        <w:tab w:val="right" w:leader="dot" w:pos="10070"/>
      </w:tabs>
      <w:spacing w:before="120" w:after="120"/>
    </w:pPr>
    <w:rPr>
      <w:rFonts w:ascii="Arial Nova" w:hAnsi="Arial Nova"/>
      <w:b/>
      <w:noProof/>
      <w:color w:val="434D54" w:themeColor="accent6"/>
      <w:kern w:val="2"/>
      <w:sz w:val="24"/>
      <w:szCs w:val="24"/>
      <w14:ligatures w14:val="standardContextual"/>
    </w:rPr>
  </w:style>
  <w:style w:type="paragraph" w:styleId="TOC2">
    <w:name w:val="toc 2"/>
    <w:basedOn w:val="Normal"/>
    <w:autoRedefine/>
    <w:uiPriority w:val="39"/>
    <w:rsid w:val="00503B7E"/>
    <w:pPr>
      <w:tabs>
        <w:tab w:val="left" w:pos="1080"/>
        <w:tab w:val="right" w:leader="dot" w:pos="10070"/>
      </w:tabs>
      <w:spacing w:before="120" w:after="120"/>
      <w:ind w:left="431"/>
    </w:pPr>
    <w:rPr>
      <w:rFonts w:ascii="Arial Nova Light" w:eastAsia="Arial" w:hAnsi="Arial Nova Light" w:cs="Arial"/>
      <w:b/>
      <w:bCs/>
      <w:noProof/>
      <w:sz w:val="24"/>
      <w:szCs w:val="20"/>
      <w:lang w:bidi="en-US"/>
    </w:rPr>
  </w:style>
  <w:style w:type="paragraph" w:styleId="TOC3">
    <w:name w:val="toc 3"/>
    <w:basedOn w:val="Indent-3rdlevel"/>
    <w:autoRedefine/>
    <w:uiPriority w:val="39"/>
    <w:rsid w:val="009A616C"/>
    <w:pPr>
      <w:tabs>
        <w:tab w:val="left" w:leader="hyphen" w:pos="1008"/>
        <w:tab w:val="left" w:pos="1920"/>
        <w:tab w:val="right" w:leader="dot" w:pos="10070"/>
      </w:tabs>
      <w:spacing w:before="120" w:after="120"/>
      <w:ind w:left="1077"/>
    </w:pPr>
    <w:rPr>
      <w:rFonts w:ascii="Arial Nova Light" w:eastAsia="Arial" w:hAnsi="Arial Nova Light" w:cs="Arial"/>
      <w:b/>
      <w:bCs/>
      <w:i/>
      <w:iCs/>
      <w:noProof/>
      <w:sz w:val="24"/>
      <w:szCs w:val="20"/>
      <w:lang w:bidi="en-US"/>
    </w:rPr>
  </w:style>
  <w:style w:type="paragraph" w:styleId="BodyText">
    <w:name w:val="Body Text"/>
    <w:basedOn w:val="Normal"/>
    <w:link w:val="BodyTextChar"/>
    <w:uiPriority w:val="99"/>
    <w:rsid w:val="006D0FDF"/>
    <w:rPr>
      <w:rFonts w:ascii="Arial" w:eastAsia="Arial" w:hAnsi="Arial" w:cs="Arial"/>
      <w:sz w:val="20"/>
      <w:szCs w:val="20"/>
      <w:lang w:bidi="en-US"/>
    </w:rPr>
  </w:style>
  <w:style w:type="paragraph" w:styleId="ListParagraph">
    <w:name w:val="List Paragraph"/>
    <w:aliases w:val="Paragr-1st,Bulleted list"/>
    <w:basedOn w:val="Normal"/>
    <w:link w:val="ListParagraphChar"/>
    <w:uiPriority w:val="34"/>
    <w:qFormat/>
    <w:rsid w:val="006D0FDF"/>
    <w:pPr>
      <w:numPr>
        <w:numId w:val="5"/>
      </w:numPr>
      <w:spacing w:before="0" w:after="0"/>
    </w:pPr>
    <w:rPr>
      <w:rFonts w:eastAsiaTheme="majorEastAsia"/>
    </w:rPr>
  </w:style>
  <w:style w:type="paragraph" w:customStyle="1" w:styleId="TableParagraph">
    <w:name w:val="Table Paragraph"/>
    <w:basedOn w:val="Normal"/>
    <w:uiPriority w:val="4"/>
    <w:rsid w:val="006D0FDF"/>
    <w:pPr>
      <w:spacing w:before="71"/>
      <w:ind w:left="117"/>
    </w:pPr>
    <w:rPr>
      <w:rFonts w:ascii="Arial" w:eastAsia="Arial" w:hAnsi="Arial" w:cs="Arial"/>
      <w:lang w:bidi="en-US"/>
    </w:rPr>
  </w:style>
  <w:style w:type="paragraph" w:styleId="Header">
    <w:name w:val="header"/>
    <w:basedOn w:val="Normal"/>
    <w:link w:val="HeaderChar"/>
    <w:uiPriority w:val="99"/>
    <w:unhideWhenUsed/>
    <w:rsid w:val="006D0FDF"/>
    <w:pPr>
      <w:tabs>
        <w:tab w:val="center" w:pos="4680"/>
        <w:tab w:val="right" w:pos="9360"/>
      </w:tabs>
    </w:pPr>
  </w:style>
  <w:style w:type="character" w:customStyle="1" w:styleId="HeaderChar">
    <w:name w:val="Header Char"/>
    <w:basedOn w:val="DefaultParagraphFont"/>
    <w:link w:val="Header"/>
    <w:uiPriority w:val="99"/>
    <w:rsid w:val="006D0FDF"/>
    <w:rPr>
      <w:color w:val="434D54"/>
      <w:sz w:val="22"/>
    </w:rPr>
  </w:style>
  <w:style w:type="paragraph" w:styleId="Footer">
    <w:name w:val="footer"/>
    <w:basedOn w:val="Normal"/>
    <w:link w:val="FooterChar"/>
    <w:uiPriority w:val="99"/>
    <w:unhideWhenUsed/>
    <w:rsid w:val="006D0FDF"/>
    <w:pPr>
      <w:tabs>
        <w:tab w:val="center" w:pos="4680"/>
        <w:tab w:val="right" w:pos="9360"/>
      </w:tabs>
    </w:pPr>
  </w:style>
  <w:style w:type="character" w:customStyle="1" w:styleId="FooterChar">
    <w:name w:val="Footer Char"/>
    <w:basedOn w:val="DefaultParagraphFont"/>
    <w:link w:val="Footer"/>
    <w:uiPriority w:val="99"/>
    <w:rsid w:val="006D0FDF"/>
    <w:rPr>
      <w:color w:val="434D54"/>
      <w:sz w:val="22"/>
    </w:rPr>
  </w:style>
  <w:style w:type="character" w:customStyle="1" w:styleId="Heading1Char">
    <w:name w:val="Heading 1 Char"/>
    <w:basedOn w:val="DefaultParagraphFont"/>
    <w:link w:val="Heading1"/>
    <w:uiPriority w:val="9"/>
    <w:rsid w:val="006605AB"/>
    <w:rPr>
      <w:rFonts w:asciiTheme="majorHAnsi" w:eastAsiaTheme="majorEastAsia" w:hAnsiTheme="majorHAnsi" w:cstheme="majorBidi"/>
      <w:b/>
      <w:color w:val="434D54"/>
      <w:spacing w:val="10"/>
      <w:sz w:val="36"/>
      <w:szCs w:val="36"/>
    </w:rPr>
  </w:style>
  <w:style w:type="character" w:customStyle="1" w:styleId="Heading2Char">
    <w:name w:val="Heading 2 Char"/>
    <w:basedOn w:val="DefaultParagraphFont"/>
    <w:link w:val="Heading2"/>
    <w:uiPriority w:val="9"/>
    <w:rsid w:val="007D7125"/>
    <w:rPr>
      <w:rFonts w:asciiTheme="majorHAnsi" w:eastAsiaTheme="majorEastAsia" w:hAnsiTheme="majorHAnsi" w:cstheme="majorBidi"/>
      <w:b/>
      <w:color w:val="C00000"/>
      <w:sz w:val="32"/>
      <w:szCs w:val="36"/>
    </w:rPr>
  </w:style>
  <w:style w:type="character" w:customStyle="1" w:styleId="Heading3Char">
    <w:name w:val="Heading 3 Char"/>
    <w:basedOn w:val="DefaultParagraphFont"/>
    <w:link w:val="Heading3"/>
    <w:uiPriority w:val="9"/>
    <w:rsid w:val="00552E6B"/>
    <w:rPr>
      <w:rFonts w:asciiTheme="majorHAnsi" w:eastAsiaTheme="majorEastAsia" w:hAnsiTheme="majorHAnsi" w:cstheme="majorBidi"/>
      <w:b/>
      <w:caps/>
      <w:color w:val="C00000"/>
      <w:spacing w:val="-20"/>
      <w:sz w:val="28"/>
      <w:szCs w:val="28"/>
    </w:rPr>
  </w:style>
  <w:style w:type="character" w:customStyle="1" w:styleId="Heading4Char">
    <w:name w:val="Heading 4 Char"/>
    <w:basedOn w:val="DefaultParagraphFont"/>
    <w:link w:val="Heading4"/>
    <w:uiPriority w:val="9"/>
    <w:rsid w:val="00BB347D"/>
    <w:rPr>
      <w:rFonts w:asciiTheme="majorHAnsi" w:eastAsiaTheme="majorEastAsia" w:hAnsiTheme="majorHAnsi" w:cs="Segoe UI"/>
      <w:b/>
      <w:iCs/>
      <w:color w:val="C00000"/>
      <w:spacing w:val="-20"/>
      <w:sz w:val="22"/>
      <w:szCs w:val="22"/>
    </w:rPr>
  </w:style>
  <w:style w:type="character" w:customStyle="1" w:styleId="Heading5Char">
    <w:name w:val="Heading 5 Char"/>
    <w:basedOn w:val="DefaultParagraphFont"/>
    <w:link w:val="Heading5"/>
    <w:uiPriority w:val="9"/>
    <w:rsid w:val="006D0FDF"/>
    <w:rPr>
      <w:rFonts w:asciiTheme="majorHAnsi" w:eastAsiaTheme="majorEastAsia" w:hAnsiTheme="majorHAnsi" w:cstheme="majorBidi"/>
      <w:color w:val="434D54"/>
      <w:sz w:val="22"/>
      <w:szCs w:val="24"/>
    </w:rPr>
  </w:style>
  <w:style w:type="character" w:customStyle="1" w:styleId="Heading6Char">
    <w:name w:val="Heading 6 Char"/>
    <w:basedOn w:val="DefaultParagraphFont"/>
    <w:link w:val="Heading6"/>
    <w:uiPriority w:val="9"/>
    <w:rsid w:val="006D0FDF"/>
    <w:rPr>
      <w:rFonts w:asciiTheme="majorHAnsi" w:eastAsiaTheme="majorEastAsia" w:hAnsiTheme="majorHAnsi" w:cstheme="majorBidi"/>
      <w:i/>
      <w:iCs/>
      <w:color w:val="434D54"/>
      <w:sz w:val="22"/>
      <w:szCs w:val="24"/>
    </w:rPr>
  </w:style>
  <w:style w:type="character" w:customStyle="1" w:styleId="Heading7Char">
    <w:name w:val="Heading 7 Char"/>
    <w:basedOn w:val="DefaultParagraphFont"/>
    <w:link w:val="Heading7"/>
    <w:uiPriority w:val="9"/>
    <w:semiHidden/>
    <w:rsid w:val="006D0FDF"/>
    <w:rPr>
      <w:rFonts w:asciiTheme="majorHAnsi" w:eastAsiaTheme="majorEastAsia" w:hAnsiTheme="majorHAnsi" w:cstheme="majorBidi"/>
      <w:color w:val="7A7A7A" w:themeColor="text1" w:themeTint="A6"/>
      <w:sz w:val="24"/>
      <w:szCs w:val="24"/>
    </w:rPr>
  </w:style>
  <w:style w:type="character" w:customStyle="1" w:styleId="Heading8Char">
    <w:name w:val="Heading 8 Char"/>
    <w:basedOn w:val="DefaultParagraphFont"/>
    <w:link w:val="Heading8"/>
    <w:uiPriority w:val="9"/>
    <w:semiHidden/>
    <w:rsid w:val="006D0FDF"/>
    <w:rPr>
      <w:rFonts w:asciiTheme="majorHAnsi" w:eastAsiaTheme="majorEastAsia" w:hAnsiTheme="majorHAnsi" w:cstheme="majorBidi"/>
      <w:caps/>
      <w:color w:val="434D54"/>
      <w:sz w:val="22"/>
    </w:rPr>
  </w:style>
  <w:style w:type="character" w:customStyle="1" w:styleId="Heading9Char">
    <w:name w:val="Heading 9 Char"/>
    <w:basedOn w:val="DefaultParagraphFont"/>
    <w:link w:val="Heading9"/>
    <w:uiPriority w:val="9"/>
    <w:semiHidden/>
    <w:rsid w:val="006D0FDF"/>
    <w:rPr>
      <w:rFonts w:asciiTheme="majorHAnsi" w:eastAsiaTheme="majorEastAsia" w:hAnsiTheme="majorHAnsi" w:cstheme="majorBidi"/>
      <w:i/>
      <w:iCs/>
      <w:caps/>
      <w:color w:val="434D54"/>
      <w:sz w:val="22"/>
    </w:rPr>
  </w:style>
  <w:style w:type="paragraph" w:styleId="Caption">
    <w:name w:val="caption"/>
    <w:basedOn w:val="Normal"/>
    <w:next w:val="Normal"/>
    <w:uiPriority w:val="35"/>
    <w:unhideWhenUsed/>
    <w:qFormat/>
    <w:rsid w:val="006D0FDF"/>
    <w:rPr>
      <w:rFonts w:ascii="Arial Nova" w:hAnsi="Arial Nova"/>
      <w:b/>
    </w:rPr>
  </w:style>
  <w:style w:type="character" w:styleId="Strong">
    <w:name w:val="Strong"/>
    <w:basedOn w:val="DefaultParagraphFont"/>
    <w:uiPriority w:val="22"/>
    <w:qFormat/>
    <w:rsid w:val="006D0FDF"/>
    <w:rPr>
      <w:rFonts w:ascii="Arial Nova" w:eastAsiaTheme="minorEastAsia" w:hAnsi="Arial Nova" w:cstheme="minorBidi"/>
      <w:b/>
      <w:bCs/>
      <w:color w:val="434D54"/>
      <w:spacing w:val="0"/>
      <w:w w:val="100"/>
      <w:position w:val="0"/>
      <w:sz w:val="22"/>
      <w:szCs w:val="20"/>
    </w:rPr>
  </w:style>
  <w:style w:type="character" w:styleId="Emphasis">
    <w:name w:val="Emphasis"/>
    <w:basedOn w:val="DefaultParagraphFont"/>
    <w:uiPriority w:val="20"/>
    <w:qFormat/>
    <w:rsid w:val="006D0FDF"/>
    <w:rPr>
      <w:rFonts w:asciiTheme="minorHAnsi" w:eastAsiaTheme="minorEastAsia" w:hAnsiTheme="minorHAnsi" w:cstheme="minorBidi"/>
      <w:i/>
      <w:iCs/>
      <w:color w:val="E10D11" w:themeColor="accent1"/>
      <w:sz w:val="22"/>
      <w:szCs w:val="20"/>
    </w:rPr>
  </w:style>
  <w:style w:type="paragraph" w:styleId="NoSpacing">
    <w:name w:val="No Spacing"/>
    <w:autoRedefine/>
    <w:uiPriority w:val="1"/>
    <w:qFormat/>
    <w:rsid w:val="006D0FDF"/>
    <w:pPr>
      <w:spacing w:after="0" w:line="240" w:lineRule="auto"/>
    </w:pPr>
    <w:rPr>
      <w:color w:val="434D54"/>
      <w:sz w:val="22"/>
    </w:rPr>
  </w:style>
  <w:style w:type="paragraph" w:styleId="Quote">
    <w:name w:val="Quote"/>
    <w:basedOn w:val="Normal"/>
    <w:next w:val="Normal"/>
    <w:link w:val="QuoteChar"/>
    <w:autoRedefine/>
    <w:uiPriority w:val="29"/>
    <w:qFormat/>
    <w:rsid w:val="006D0FDF"/>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6D0FDF"/>
    <w:rPr>
      <w:rFonts w:asciiTheme="majorHAnsi" w:eastAsiaTheme="majorEastAsia" w:hAnsiTheme="majorHAnsi" w:cstheme="majorBidi"/>
      <w:color w:val="434D54"/>
      <w:sz w:val="22"/>
      <w:szCs w:val="24"/>
    </w:rPr>
  </w:style>
  <w:style w:type="paragraph" w:styleId="IntenseQuote">
    <w:name w:val="Intense Quote"/>
    <w:basedOn w:val="Normal"/>
    <w:next w:val="Normal"/>
    <w:link w:val="IntenseQuoteChar"/>
    <w:autoRedefine/>
    <w:uiPriority w:val="30"/>
    <w:qFormat/>
    <w:rsid w:val="006D0FDF"/>
    <w:pPr>
      <w:spacing w:before="100" w:beforeAutospacing="1" w:after="240"/>
      <w:ind w:left="936" w:right="936"/>
      <w:jc w:val="center"/>
    </w:pPr>
    <w:rPr>
      <w:rFonts w:asciiTheme="majorHAnsi" w:eastAsiaTheme="majorEastAsia" w:hAnsiTheme="majorHAnsi" w:cstheme="majorBidi"/>
      <w:b/>
      <w:caps/>
      <w:color w:val="E10D11" w:themeColor="accent1"/>
      <w:spacing w:val="10"/>
      <w:szCs w:val="28"/>
    </w:rPr>
  </w:style>
  <w:style w:type="character" w:customStyle="1" w:styleId="IntenseQuoteChar">
    <w:name w:val="Intense Quote Char"/>
    <w:basedOn w:val="DefaultParagraphFont"/>
    <w:link w:val="IntenseQuote"/>
    <w:uiPriority w:val="30"/>
    <w:rsid w:val="006D0FDF"/>
    <w:rPr>
      <w:rFonts w:asciiTheme="majorHAnsi" w:eastAsiaTheme="majorEastAsia" w:hAnsiTheme="majorHAnsi" w:cstheme="majorBidi"/>
      <w:b/>
      <w:caps/>
      <w:color w:val="E10D11" w:themeColor="accent1"/>
      <w:spacing w:val="10"/>
      <w:sz w:val="22"/>
      <w:szCs w:val="28"/>
    </w:rPr>
  </w:style>
  <w:style w:type="character" w:styleId="SubtleEmphasis">
    <w:name w:val="Subtle Emphasis"/>
    <w:basedOn w:val="DefaultParagraphFont"/>
    <w:uiPriority w:val="19"/>
    <w:qFormat/>
    <w:rsid w:val="006D0FDF"/>
    <w:rPr>
      <w:rFonts w:asciiTheme="minorHAnsi" w:hAnsiTheme="minorHAnsi"/>
      <w:i/>
      <w:iCs/>
      <w:color w:val="434D54"/>
      <w:sz w:val="22"/>
    </w:rPr>
  </w:style>
  <w:style w:type="character" w:styleId="IntenseEmphasis">
    <w:name w:val="Intense Emphasis"/>
    <w:basedOn w:val="DefaultParagraphFont"/>
    <w:uiPriority w:val="21"/>
    <w:qFormat/>
    <w:rsid w:val="006D0FDF"/>
    <w:rPr>
      <w:rFonts w:ascii="Arial Nova" w:hAnsi="Arial Nova" w:cstheme="minorBidi"/>
      <w:b/>
      <w:bCs/>
      <w:i/>
      <w:iCs/>
      <w:color w:val="E10D11" w:themeColor="accent1"/>
      <w:spacing w:val="0"/>
      <w:w w:val="100"/>
      <w:position w:val="0"/>
      <w:sz w:val="22"/>
      <w:szCs w:val="20"/>
    </w:rPr>
  </w:style>
  <w:style w:type="character" w:styleId="SubtleReference">
    <w:name w:val="Subtle Reference"/>
    <w:basedOn w:val="DefaultParagraphFont"/>
    <w:uiPriority w:val="31"/>
    <w:qFormat/>
    <w:rsid w:val="006D0FDF"/>
    <w:rPr>
      <w:rFonts w:asciiTheme="minorHAnsi" w:eastAsiaTheme="minorEastAsia" w:hAnsiTheme="minorHAnsi" w:cstheme="minorBidi"/>
      <w:caps w:val="0"/>
      <w:smallCaps/>
      <w:color w:val="434D54"/>
      <w:spacing w:val="10"/>
      <w:w w:val="100"/>
      <w:sz w:val="22"/>
      <w:szCs w:val="20"/>
      <w:u w:val="single" w:color="989898" w:themeColor="text1" w:themeTint="80"/>
      <w:bdr w:val="single" w:sz="4" w:space="0" w:color="auto"/>
    </w:rPr>
  </w:style>
  <w:style w:type="character" w:styleId="IntenseReference">
    <w:name w:val="Intense Reference"/>
    <w:basedOn w:val="DefaultParagraphFont"/>
    <w:uiPriority w:val="32"/>
    <w:qFormat/>
    <w:rsid w:val="006D0FDF"/>
    <w:rPr>
      <w:rFonts w:asciiTheme="minorHAnsi" w:eastAsiaTheme="minorEastAsia" w:hAnsiTheme="minorHAnsi" w:cstheme="minorBidi"/>
      <w:b/>
      <w:bCs/>
      <w:caps w:val="0"/>
      <w:smallCaps/>
      <w:color w:val="434D54"/>
      <w:spacing w:val="10"/>
      <w:w w:val="100"/>
      <w:position w:val="0"/>
      <w:sz w:val="22"/>
      <w:szCs w:val="20"/>
      <w:u w:val="single"/>
    </w:rPr>
  </w:style>
  <w:style w:type="character" w:styleId="BookTitle">
    <w:name w:val="Book Title"/>
    <w:basedOn w:val="DefaultParagraphFont"/>
    <w:uiPriority w:val="33"/>
    <w:qFormat/>
    <w:rsid w:val="006D0FDF"/>
    <w:rPr>
      <w:rFonts w:asciiTheme="minorHAnsi" w:eastAsiaTheme="minorEastAsia" w:hAnsiTheme="minorHAnsi" w:cstheme="minorBidi"/>
      <w:b/>
      <w:bCs/>
      <w:i/>
      <w:iCs/>
      <w:caps w:val="0"/>
      <w:smallCaps w:val="0"/>
      <w:color w:val="434D54"/>
      <w:spacing w:val="10"/>
      <w:w w:val="100"/>
      <w:sz w:val="20"/>
      <w:szCs w:val="20"/>
    </w:rPr>
  </w:style>
  <w:style w:type="paragraph" w:styleId="TOCHeading">
    <w:name w:val="TOC Heading"/>
    <w:basedOn w:val="Heading1"/>
    <w:next w:val="Normal"/>
    <w:link w:val="TOCHeadingChar"/>
    <w:uiPriority w:val="39"/>
    <w:unhideWhenUsed/>
    <w:qFormat/>
    <w:rsid w:val="006D0FDF"/>
    <w:pPr>
      <w:outlineLvl w:val="9"/>
    </w:pPr>
    <w:rPr>
      <w:b w:val="0"/>
    </w:rPr>
  </w:style>
  <w:style w:type="character" w:styleId="Hyperlink">
    <w:name w:val="Hyperlink"/>
    <w:basedOn w:val="DefaultParagraphFont"/>
    <w:uiPriority w:val="99"/>
    <w:unhideWhenUsed/>
    <w:rsid w:val="007F5ED4"/>
    <w:rPr>
      <w:rFonts w:ascii="Arial Nova" w:hAnsi="Arial Nova"/>
      <w:b/>
      <w:color w:val="1A4D66" w:themeColor="hyperlink"/>
      <w:u w:val="none"/>
    </w:rPr>
  </w:style>
  <w:style w:type="paragraph" w:customStyle="1" w:styleId="Hansen-Table-Style">
    <w:name w:val="Hansen-Table-Style"/>
    <w:basedOn w:val="TOCHeading"/>
    <w:link w:val="Hansen-Table-StyleChar"/>
    <w:uiPriority w:val="4"/>
    <w:rsid w:val="00AD1D58"/>
    <w:pPr>
      <w:pBdr>
        <w:left w:val="single" w:sz="24" w:space="12" w:color="E10D11" w:themeColor="accent1"/>
      </w:pBdr>
      <w:ind w:firstLine="0"/>
    </w:pPr>
    <w:rPr>
      <w:rFonts w:ascii="Arial Nova" w:hAnsi="Arial Nova"/>
      <w:b/>
    </w:rPr>
  </w:style>
  <w:style w:type="character" w:customStyle="1" w:styleId="TOCHeadingChar">
    <w:name w:val="TOC Heading Char"/>
    <w:basedOn w:val="Heading1Char"/>
    <w:link w:val="TOCHeading"/>
    <w:uiPriority w:val="39"/>
    <w:rsid w:val="006D0FDF"/>
    <w:rPr>
      <w:rFonts w:asciiTheme="majorHAnsi" w:eastAsiaTheme="majorEastAsia" w:hAnsiTheme="majorHAnsi" w:cstheme="majorBidi"/>
      <w:b w:val="0"/>
      <w:color w:val="434D54"/>
      <w:spacing w:val="10"/>
      <w:sz w:val="36"/>
      <w:szCs w:val="36"/>
    </w:rPr>
  </w:style>
  <w:style w:type="character" w:customStyle="1" w:styleId="Hansen-Table-StyleChar">
    <w:name w:val="Hansen-Table-Style Char"/>
    <w:basedOn w:val="TOCHeadingChar"/>
    <w:link w:val="Hansen-Table-Style"/>
    <w:uiPriority w:val="4"/>
    <w:rsid w:val="00AD1D58"/>
    <w:rPr>
      <w:rFonts w:ascii="Arial Nova" w:eastAsiaTheme="majorEastAsia" w:hAnsi="Arial Nova" w:cstheme="majorBidi"/>
      <w:b/>
      <w:color w:val="434D54"/>
      <w:spacing w:val="10"/>
      <w:sz w:val="36"/>
      <w:szCs w:val="36"/>
    </w:rPr>
  </w:style>
  <w:style w:type="table" w:styleId="TableGrid">
    <w:name w:val="Table Grid"/>
    <w:basedOn w:val="TableNormal"/>
    <w:uiPriority w:val="59"/>
    <w:rsid w:val="006D0FD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BodyText"/>
    <w:link w:val="BulletChar"/>
    <w:uiPriority w:val="4"/>
    <w:qFormat/>
    <w:rsid w:val="006D0FDF"/>
    <w:pPr>
      <w:widowControl w:val="0"/>
      <w:numPr>
        <w:numId w:val="4"/>
      </w:numPr>
      <w:spacing w:before="120" w:after="120"/>
    </w:pPr>
    <w:rPr>
      <w:rFonts w:asciiTheme="minorHAnsi" w:eastAsia="Calibri" w:hAnsiTheme="minorHAnsi" w:cstheme="minorHAnsi"/>
      <w:sz w:val="22"/>
      <w:szCs w:val="22"/>
      <w:lang w:val="en-GB" w:eastAsia="zh-CN" w:bidi="ar-SA"/>
    </w:rPr>
  </w:style>
  <w:style w:type="character" w:customStyle="1" w:styleId="BulletChar">
    <w:name w:val="Bullet Char"/>
    <w:basedOn w:val="DefaultParagraphFont"/>
    <w:link w:val="Bullet"/>
    <w:uiPriority w:val="4"/>
    <w:rsid w:val="006D0FDF"/>
    <w:rPr>
      <w:rFonts w:eastAsia="Calibri" w:cstheme="minorHAnsi"/>
      <w:color w:val="434D54"/>
      <w:sz w:val="22"/>
      <w:szCs w:val="22"/>
      <w:lang w:val="en-GB" w:eastAsia="zh-CN"/>
    </w:rPr>
  </w:style>
  <w:style w:type="paragraph" w:customStyle="1" w:styleId="Bullet-2ndlevel">
    <w:name w:val="Bullet -2nd level"/>
    <w:basedOn w:val="Bullet"/>
    <w:next w:val="Bullet"/>
    <w:uiPriority w:val="4"/>
    <w:qFormat/>
    <w:rsid w:val="006D0FDF"/>
    <w:pPr>
      <w:numPr>
        <w:numId w:val="1"/>
      </w:numPr>
      <w:spacing w:before="0"/>
    </w:pPr>
  </w:style>
  <w:style w:type="paragraph" w:customStyle="1" w:styleId="TableHeading">
    <w:name w:val="Table Heading"/>
    <w:basedOn w:val="Normal"/>
    <w:link w:val="TableHeadingChar"/>
    <w:autoRedefine/>
    <w:uiPriority w:val="3"/>
    <w:qFormat/>
    <w:rsid w:val="006D0FDF"/>
    <w:pPr>
      <w:widowControl w:val="0"/>
      <w:spacing w:before="120" w:after="120" w:line="240" w:lineRule="auto"/>
    </w:pPr>
    <w:rPr>
      <w:rFonts w:ascii="Arial Nova" w:eastAsia="Calibri" w:hAnsi="Arial Nova" w:cstheme="minorHAnsi"/>
      <w:b/>
      <w:color w:val="FFFFFF"/>
      <w:sz w:val="24"/>
      <w:szCs w:val="28"/>
      <w:lang w:val="en-GB"/>
    </w:rPr>
  </w:style>
  <w:style w:type="paragraph" w:customStyle="1" w:styleId="Tabletext">
    <w:name w:val="Table text"/>
    <w:basedOn w:val="BodyText"/>
    <w:autoRedefine/>
    <w:uiPriority w:val="3"/>
    <w:qFormat/>
    <w:rsid w:val="006D0FDF"/>
    <w:pPr>
      <w:widowControl w:val="0"/>
      <w:spacing w:before="80" w:after="120" w:line="240" w:lineRule="auto"/>
    </w:pPr>
    <w:rPr>
      <w:rFonts w:asciiTheme="minorHAnsi" w:eastAsia="Calibri" w:hAnsiTheme="minorHAnsi" w:cstheme="minorHAnsi"/>
      <w:szCs w:val="22"/>
      <w:lang w:val="en-GB" w:bidi="ar-SA"/>
    </w:rPr>
  </w:style>
  <w:style w:type="paragraph" w:customStyle="1" w:styleId="Bulletspaceaboveandbelow">
    <w:name w:val="Bullet space above and below"/>
    <w:basedOn w:val="Bullet"/>
    <w:link w:val="BulletspaceaboveandbelowChar"/>
    <w:autoRedefine/>
    <w:uiPriority w:val="4"/>
    <w:qFormat/>
    <w:rsid w:val="006D0FDF"/>
    <w:pPr>
      <w:spacing w:before="240" w:after="240"/>
    </w:pPr>
    <w:rPr>
      <w:color w:val="333333"/>
    </w:rPr>
  </w:style>
  <w:style w:type="character" w:customStyle="1" w:styleId="BulletspaceaboveandbelowChar">
    <w:name w:val="Bullet space above and below Char"/>
    <w:basedOn w:val="BulletChar"/>
    <w:link w:val="Bulletspaceaboveandbelow"/>
    <w:uiPriority w:val="4"/>
    <w:rsid w:val="006D0FDF"/>
    <w:rPr>
      <w:rFonts w:eastAsia="Calibri" w:cstheme="minorHAnsi"/>
      <w:color w:val="333333"/>
      <w:sz w:val="22"/>
      <w:szCs w:val="22"/>
      <w:lang w:val="en-GB" w:eastAsia="zh-CN"/>
    </w:rPr>
  </w:style>
  <w:style w:type="paragraph" w:customStyle="1" w:styleId="Notebullet">
    <w:name w:val="Note bullet"/>
    <w:basedOn w:val="Normal"/>
    <w:uiPriority w:val="3"/>
    <w:qFormat/>
    <w:rsid w:val="006D0FDF"/>
    <w:pPr>
      <w:widowControl w:val="0"/>
      <w:pBdr>
        <w:top w:val="single" w:sz="4" w:space="6" w:color="3399CC"/>
        <w:left w:val="single" w:sz="4" w:space="6" w:color="3399CC"/>
        <w:bottom w:val="single" w:sz="4" w:space="6" w:color="3399CC"/>
        <w:right w:val="single" w:sz="4" w:space="6" w:color="3399CC"/>
      </w:pBdr>
      <w:spacing w:before="120" w:after="120" w:line="240" w:lineRule="auto"/>
      <w:ind w:left="90" w:right="180"/>
    </w:pPr>
    <w:rPr>
      <w:rFonts w:ascii="Arial Nova" w:eastAsia="Calibri" w:hAnsi="Arial Nova" w:cstheme="minorHAnsi"/>
      <w:szCs w:val="22"/>
      <w:lang w:val="en-GB"/>
    </w:rPr>
  </w:style>
  <w:style w:type="paragraph" w:customStyle="1" w:styleId="Path">
    <w:name w:val="Path"/>
    <w:basedOn w:val="BodyText"/>
    <w:link w:val="PathChar"/>
    <w:autoRedefine/>
    <w:uiPriority w:val="3"/>
    <w:qFormat/>
    <w:rsid w:val="006D0FDF"/>
    <w:pPr>
      <w:spacing w:after="240" w:line="240" w:lineRule="auto"/>
      <w:jc w:val="center"/>
    </w:pPr>
    <w:rPr>
      <w:rFonts w:asciiTheme="minorHAnsi" w:eastAsia="Calibri" w:hAnsiTheme="minorHAnsi" w:cstheme="minorHAnsi"/>
      <w:color w:val="262B31"/>
      <w:szCs w:val="22"/>
      <w:lang w:val="en-GB" w:bidi="ar-SA"/>
    </w:rPr>
  </w:style>
  <w:style w:type="paragraph" w:customStyle="1" w:styleId="Image">
    <w:name w:val="Image"/>
    <w:basedOn w:val="BodyText"/>
    <w:link w:val="ImageChar"/>
    <w:autoRedefine/>
    <w:uiPriority w:val="3"/>
    <w:qFormat/>
    <w:rsid w:val="006D0FDF"/>
    <w:pPr>
      <w:spacing w:before="240" w:after="240" w:line="240" w:lineRule="auto"/>
    </w:pPr>
    <w:rPr>
      <w:rFonts w:asciiTheme="minorHAnsi" w:eastAsia="Calibri" w:hAnsiTheme="minorHAnsi" w:cstheme="minorHAnsi"/>
      <w:noProof/>
      <w:color w:val="262B31"/>
      <w:sz w:val="22"/>
      <w:szCs w:val="22"/>
      <w:lang w:val="en-GB" w:eastAsia="en-GB" w:bidi="ar-SA"/>
    </w:rPr>
  </w:style>
  <w:style w:type="character" w:customStyle="1" w:styleId="PathChar">
    <w:name w:val="Path Char"/>
    <w:basedOn w:val="DefaultParagraphFont"/>
    <w:link w:val="Path"/>
    <w:uiPriority w:val="3"/>
    <w:rsid w:val="006D0FDF"/>
    <w:rPr>
      <w:rFonts w:eastAsia="Calibri" w:cstheme="minorHAnsi"/>
      <w:color w:val="262B31"/>
      <w:sz w:val="20"/>
      <w:szCs w:val="22"/>
      <w:lang w:val="en-GB"/>
    </w:rPr>
  </w:style>
  <w:style w:type="character" w:customStyle="1" w:styleId="ImageChar">
    <w:name w:val="Image Char"/>
    <w:basedOn w:val="DefaultParagraphFont"/>
    <w:link w:val="Image"/>
    <w:uiPriority w:val="3"/>
    <w:rsid w:val="006D0FDF"/>
    <w:rPr>
      <w:rFonts w:eastAsia="Calibri" w:cstheme="minorHAnsi"/>
      <w:noProof/>
      <w:color w:val="262B31"/>
      <w:sz w:val="22"/>
      <w:szCs w:val="22"/>
      <w:lang w:val="en-GB" w:eastAsia="en-GB"/>
    </w:rPr>
  </w:style>
  <w:style w:type="character" w:customStyle="1" w:styleId="TableHeadingChar">
    <w:name w:val="Table Heading Char"/>
    <w:link w:val="TableHeading"/>
    <w:uiPriority w:val="3"/>
    <w:rsid w:val="006D0FDF"/>
    <w:rPr>
      <w:rFonts w:ascii="Arial Nova" w:eastAsia="Calibri" w:hAnsi="Arial Nova" w:cstheme="minorHAnsi"/>
      <w:b/>
      <w:color w:val="FFFFFF"/>
      <w:sz w:val="24"/>
      <w:szCs w:val="28"/>
      <w:lang w:val="en-GB"/>
    </w:rPr>
  </w:style>
  <w:style w:type="character" w:customStyle="1" w:styleId="ListParagraphChar">
    <w:name w:val="List Paragraph Char"/>
    <w:aliases w:val="Paragr-1st Char,Bulleted list Char"/>
    <w:basedOn w:val="DefaultParagraphFont"/>
    <w:link w:val="ListParagraph"/>
    <w:uiPriority w:val="34"/>
    <w:rsid w:val="006D0FDF"/>
    <w:rPr>
      <w:rFonts w:eastAsiaTheme="majorEastAsia"/>
      <w:color w:val="434D54"/>
      <w:sz w:val="22"/>
    </w:rPr>
  </w:style>
  <w:style w:type="paragraph" w:customStyle="1" w:styleId="Notebullet2">
    <w:name w:val="Note bullet 2"/>
    <w:basedOn w:val="Notebullet"/>
    <w:next w:val="Normal"/>
    <w:uiPriority w:val="3"/>
    <w:qFormat/>
    <w:rsid w:val="006D0FDF"/>
    <w:pPr>
      <w:numPr>
        <w:ilvl w:val="1"/>
      </w:numPr>
      <w:spacing w:before="0"/>
      <w:ind w:left="142"/>
    </w:pPr>
  </w:style>
  <w:style w:type="character" w:styleId="PlaceholderText">
    <w:name w:val="Placeholder Text"/>
    <w:basedOn w:val="DefaultParagraphFont"/>
    <w:uiPriority w:val="99"/>
    <w:semiHidden/>
    <w:rsid w:val="006D0FDF"/>
    <w:rPr>
      <w:color w:val="808080"/>
    </w:rPr>
  </w:style>
  <w:style w:type="character" w:styleId="CommentReference">
    <w:name w:val="annotation reference"/>
    <w:basedOn w:val="DefaultParagraphFont"/>
    <w:uiPriority w:val="99"/>
    <w:semiHidden/>
    <w:unhideWhenUsed/>
    <w:rsid w:val="006D0FDF"/>
    <w:rPr>
      <w:sz w:val="16"/>
      <w:szCs w:val="16"/>
    </w:rPr>
  </w:style>
  <w:style w:type="paragraph" w:styleId="CommentText">
    <w:name w:val="annotation text"/>
    <w:basedOn w:val="Normal"/>
    <w:link w:val="CommentTextChar"/>
    <w:uiPriority w:val="99"/>
    <w:unhideWhenUsed/>
    <w:rsid w:val="006D0FDF"/>
    <w:pPr>
      <w:spacing w:line="240" w:lineRule="auto"/>
    </w:pPr>
    <w:rPr>
      <w:sz w:val="20"/>
      <w:szCs w:val="20"/>
    </w:rPr>
  </w:style>
  <w:style w:type="character" w:customStyle="1" w:styleId="CommentTextChar">
    <w:name w:val="Comment Text Char"/>
    <w:basedOn w:val="DefaultParagraphFont"/>
    <w:link w:val="CommentText"/>
    <w:uiPriority w:val="99"/>
    <w:rsid w:val="006D0FDF"/>
    <w:rPr>
      <w:color w:val="434D54"/>
      <w:sz w:val="20"/>
      <w:szCs w:val="20"/>
    </w:rPr>
  </w:style>
  <w:style w:type="paragraph" w:styleId="CommentSubject">
    <w:name w:val="annotation subject"/>
    <w:basedOn w:val="CommentText"/>
    <w:next w:val="CommentText"/>
    <w:link w:val="CommentSubjectChar"/>
    <w:uiPriority w:val="99"/>
    <w:semiHidden/>
    <w:unhideWhenUsed/>
    <w:rsid w:val="006D0FDF"/>
    <w:rPr>
      <w:b/>
      <w:bCs/>
    </w:rPr>
  </w:style>
  <w:style w:type="character" w:customStyle="1" w:styleId="CommentSubjectChar">
    <w:name w:val="Comment Subject Char"/>
    <w:basedOn w:val="CommentTextChar"/>
    <w:link w:val="CommentSubject"/>
    <w:uiPriority w:val="99"/>
    <w:semiHidden/>
    <w:rsid w:val="006D0FDF"/>
    <w:rPr>
      <w:b/>
      <w:bCs/>
      <w:color w:val="434D54"/>
      <w:sz w:val="20"/>
      <w:szCs w:val="20"/>
    </w:rPr>
  </w:style>
  <w:style w:type="paragraph" w:styleId="BalloonText">
    <w:name w:val="Balloon Text"/>
    <w:basedOn w:val="Normal"/>
    <w:link w:val="BalloonTextChar"/>
    <w:uiPriority w:val="99"/>
    <w:unhideWhenUsed/>
    <w:rsid w:val="006D0FD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D0FDF"/>
    <w:rPr>
      <w:rFonts w:ascii="Segoe UI" w:hAnsi="Segoe UI" w:cs="Segoe UI"/>
      <w:color w:val="434D54"/>
      <w:sz w:val="18"/>
      <w:szCs w:val="18"/>
    </w:rPr>
  </w:style>
  <w:style w:type="table" w:customStyle="1" w:styleId="TableGrid1">
    <w:name w:val="Table Grid1"/>
    <w:basedOn w:val="TableNormal"/>
    <w:next w:val="TableGrid"/>
    <w:uiPriority w:val="39"/>
    <w:rsid w:val="006D0FD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3rdlevel">
    <w:name w:val="Bullet -3rd level"/>
    <w:basedOn w:val="Bullet-2ndlevel"/>
    <w:link w:val="Bullet-3rdlevelChar"/>
    <w:uiPriority w:val="4"/>
    <w:qFormat/>
    <w:rsid w:val="006D0FDF"/>
    <w:pPr>
      <w:numPr>
        <w:numId w:val="2"/>
      </w:numPr>
    </w:pPr>
  </w:style>
  <w:style w:type="character" w:customStyle="1" w:styleId="Bullet-3rdlevelChar">
    <w:name w:val="Bullet -3rd level Char"/>
    <w:basedOn w:val="DefaultParagraphFont"/>
    <w:link w:val="Bullet-3rdlevel"/>
    <w:uiPriority w:val="4"/>
    <w:rsid w:val="006D0FDF"/>
    <w:rPr>
      <w:rFonts w:eastAsia="Calibri" w:cstheme="minorHAnsi"/>
      <w:color w:val="434D54"/>
      <w:sz w:val="22"/>
      <w:szCs w:val="22"/>
      <w:lang w:val="en-GB" w:eastAsia="zh-CN"/>
    </w:rPr>
  </w:style>
  <w:style w:type="paragraph" w:customStyle="1" w:styleId="Command">
    <w:name w:val="Command"/>
    <w:basedOn w:val="Normal"/>
    <w:link w:val="CommandChar"/>
    <w:autoRedefine/>
    <w:uiPriority w:val="4"/>
    <w:qFormat/>
    <w:rsid w:val="006D0FDF"/>
    <w:rPr>
      <w:rFonts w:ascii="Lucida Console" w:hAnsi="Lucida Console"/>
      <w:sz w:val="18"/>
      <w:szCs w:val="20"/>
    </w:rPr>
  </w:style>
  <w:style w:type="paragraph" w:customStyle="1" w:styleId="Code">
    <w:name w:val="Code"/>
    <w:basedOn w:val="ListParagraph"/>
    <w:link w:val="CodeChar"/>
    <w:autoRedefine/>
    <w:uiPriority w:val="4"/>
    <w:qFormat/>
    <w:rsid w:val="006D0FDF"/>
    <w:pPr>
      <w:numPr>
        <w:numId w:val="0"/>
      </w:numPr>
    </w:pPr>
    <w:rPr>
      <w:rFonts w:ascii="Consolas" w:hAnsi="Consolas"/>
    </w:rPr>
  </w:style>
  <w:style w:type="character" w:customStyle="1" w:styleId="CommandChar">
    <w:name w:val="Command Char"/>
    <w:basedOn w:val="DefaultParagraphFont"/>
    <w:link w:val="Command"/>
    <w:uiPriority w:val="4"/>
    <w:rsid w:val="006D0FDF"/>
    <w:rPr>
      <w:rFonts w:ascii="Lucida Console" w:hAnsi="Lucida Console"/>
      <w:color w:val="434D54"/>
      <w:sz w:val="18"/>
      <w:szCs w:val="20"/>
    </w:rPr>
  </w:style>
  <w:style w:type="character" w:customStyle="1" w:styleId="CodeChar">
    <w:name w:val="Code Char"/>
    <w:basedOn w:val="ListParagraphChar"/>
    <w:link w:val="Code"/>
    <w:uiPriority w:val="4"/>
    <w:rsid w:val="006D0FDF"/>
    <w:rPr>
      <w:rFonts w:ascii="Consolas" w:eastAsiaTheme="majorEastAsia" w:hAnsi="Consolas"/>
      <w:color w:val="434D54"/>
      <w:sz w:val="22"/>
    </w:rPr>
  </w:style>
  <w:style w:type="table" w:customStyle="1" w:styleId="TableGrid2">
    <w:name w:val="Table Grid2"/>
    <w:basedOn w:val="TableNormal"/>
    <w:next w:val="TableGrid"/>
    <w:uiPriority w:val="39"/>
    <w:rsid w:val="006D0FD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4thlevel">
    <w:name w:val="Bullet -4th level"/>
    <w:basedOn w:val="Bullet-3rdlevel"/>
    <w:link w:val="Bullet-4thlevelChar"/>
    <w:uiPriority w:val="4"/>
    <w:qFormat/>
    <w:rsid w:val="006D0FDF"/>
    <w:pPr>
      <w:numPr>
        <w:numId w:val="3"/>
      </w:numPr>
      <w:spacing w:line="312" w:lineRule="auto"/>
    </w:pPr>
  </w:style>
  <w:style w:type="paragraph" w:customStyle="1" w:styleId="Indent">
    <w:name w:val="Indent"/>
    <w:basedOn w:val="Normal"/>
    <w:link w:val="IndentChar"/>
    <w:uiPriority w:val="3"/>
    <w:qFormat/>
    <w:rsid w:val="006D0FDF"/>
    <w:pPr>
      <w:ind w:left="360"/>
    </w:pPr>
  </w:style>
  <w:style w:type="character" w:customStyle="1" w:styleId="Bullet-4thlevelChar">
    <w:name w:val="Bullet -4th level Char"/>
    <w:basedOn w:val="Bullet-3rdlevelChar"/>
    <w:link w:val="Bullet-4thlevel"/>
    <w:uiPriority w:val="4"/>
    <w:rsid w:val="006D0FDF"/>
    <w:rPr>
      <w:rFonts w:eastAsia="Calibri" w:cstheme="minorHAnsi"/>
      <w:color w:val="434D54"/>
      <w:sz w:val="22"/>
      <w:szCs w:val="22"/>
      <w:lang w:val="en-GB" w:eastAsia="zh-CN"/>
    </w:rPr>
  </w:style>
  <w:style w:type="paragraph" w:customStyle="1" w:styleId="Indent-2ndlevel">
    <w:name w:val="Indent -2nd level"/>
    <w:basedOn w:val="Indent"/>
    <w:link w:val="Indent-2ndlevelChar"/>
    <w:uiPriority w:val="3"/>
    <w:qFormat/>
    <w:rsid w:val="006D0FDF"/>
    <w:pPr>
      <w:ind w:left="720"/>
    </w:pPr>
  </w:style>
  <w:style w:type="character" w:customStyle="1" w:styleId="IndentChar">
    <w:name w:val="Indent Char"/>
    <w:basedOn w:val="DefaultParagraphFont"/>
    <w:link w:val="Indent"/>
    <w:uiPriority w:val="3"/>
    <w:rsid w:val="006D0FDF"/>
    <w:rPr>
      <w:color w:val="434D54"/>
      <w:sz w:val="22"/>
    </w:rPr>
  </w:style>
  <w:style w:type="character" w:customStyle="1" w:styleId="Indent-2ndlevelChar">
    <w:name w:val="Indent -2nd level Char"/>
    <w:basedOn w:val="IndentChar"/>
    <w:link w:val="Indent-2ndlevel"/>
    <w:uiPriority w:val="3"/>
    <w:rsid w:val="006D0FDF"/>
    <w:rPr>
      <w:color w:val="434D54"/>
      <w:sz w:val="22"/>
    </w:rPr>
  </w:style>
  <w:style w:type="paragraph" w:customStyle="1" w:styleId="Indent-3rdlevel">
    <w:name w:val="Indent -3rd level"/>
    <w:basedOn w:val="Indent-2ndlevel"/>
    <w:link w:val="Indent-3rdlevelChar"/>
    <w:uiPriority w:val="3"/>
    <w:qFormat/>
    <w:rsid w:val="006D0FDF"/>
    <w:pPr>
      <w:ind w:left="1080"/>
    </w:pPr>
  </w:style>
  <w:style w:type="paragraph" w:customStyle="1" w:styleId="Indent-4thlevel">
    <w:name w:val="Indent -4th level"/>
    <w:basedOn w:val="Indent-3rdlevel"/>
    <w:link w:val="Indent-4thlevelChar"/>
    <w:uiPriority w:val="3"/>
    <w:qFormat/>
    <w:rsid w:val="006D0FDF"/>
    <w:pPr>
      <w:ind w:left="1440"/>
    </w:pPr>
  </w:style>
  <w:style w:type="character" w:customStyle="1" w:styleId="Indent-3rdlevelChar">
    <w:name w:val="Indent -3rd level Char"/>
    <w:basedOn w:val="Indent-2ndlevelChar"/>
    <w:link w:val="Indent-3rdlevel"/>
    <w:uiPriority w:val="3"/>
    <w:rsid w:val="006D0FDF"/>
    <w:rPr>
      <w:color w:val="434D54"/>
      <w:sz w:val="22"/>
    </w:rPr>
  </w:style>
  <w:style w:type="character" w:customStyle="1" w:styleId="Indent-4thlevelChar">
    <w:name w:val="Indent -4th level Char"/>
    <w:basedOn w:val="Indent-3rdlevelChar"/>
    <w:link w:val="Indent-4thlevel"/>
    <w:uiPriority w:val="3"/>
    <w:rsid w:val="006D0FDF"/>
    <w:rPr>
      <w:color w:val="434D54"/>
      <w:sz w:val="22"/>
    </w:rPr>
  </w:style>
  <w:style w:type="character" w:styleId="UnresolvedMention">
    <w:name w:val="Unresolved Mention"/>
    <w:basedOn w:val="DefaultParagraphFont"/>
    <w:uiPriority w:val="99"/>
    <w:semiHidden/>
    <w:unhideWhenUsed/>
    <w:rsid w:val="006D0FDF"/>
    <w:rPr>
      <w:color w:val="605E5C"/>
      <w:shd w:val="clear" w:color="auto" w:fill="E1DFDD"/>
    </w:rPr>
  </w:style>
  <w:style w:type="paragraph" w:customStyle="1" w:styleId="hyperlinkstyle">
    <w:name w:val="hyperlink style"/>
    <w:basedOn w:val="Normal"/>
    <w:link w:val="hyperlinkstyleChar"/>
    <w:uiPriority w:val="3"/>
    <w:qFormat/>
    <w:rsid w:val="006D0FDF"/>
    <w:rPr>
      <w:color w:val="ED7D31" w:themeColor="accent5"/>
    </w:rPr>
  </w:style>
  <w:style w:type="table" w:styleId="ListTable5Dark-Accent6">
    <w:name w:val="List Table 5 Dark Accent 6"/>
    <w:basedOn w:val="TableNormal"/>
    <w:uiPriority w:val="50"/>
    <w:rsid w:val="006D0FDF"/>
    <w:pPr>
      <w:spacing w:after="0" w:line="240" w:lineRule="auto"/>
    </w:pPr>
    <w:rPr>
      <w:color w:val="FFFFFF" w:themeColor="background1"/>
    </w:rPr>
    <w:tblPr>
      <w:tblStyleRowBandSize w:val="1"/>
      <w:tblStyleColBandSize w:val="1"/>
      <w:tblBorders>
        <w:top w:val="single" w:sz="24" w:space="0" w:color="434D54" w:themeColor="accent6"/>
        <w:left w:val="single" w:sz="24" w:space="0" w:color="434D54" w:themeColor="accent6"/>
        <w:bottom w:val="single" w:sz="24" w:space="0" w:color="434D54" w:themeColor="accent6"/>
        <w:right w:val="single" w:sz="24" w:space="0" w:color="434D54" w:themeColor="accent6"/>
      </w:tblBorders>
    </w:tblPr>
    <w:tcPr>
      <w:shd w:val="clear" w:color="auto" w:fill="434D5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hyperlinkstyleChar">
    <w:name w:val="hyperlink style Char"/>
    <w:basedOn w:val="DefaultParagraphFont"/>
    <w:link w:val="hyperlinkstyle"/>
    <w:uiPriority w:val="3"/>
    <w:rsid w:val="006D0FDF"/>
    <w:rPr>
      <w:color w:val="ED7D31" w:themeColor="accent5"/>
      <w:sz w:val="22"/>
    </w:rPr>
  </w:style>
  <w:style w:type="table" w:styleId="ListTable6Colorful-Accent4">
    <w:name w:val="List Table 6 Colorful Accent 4"/>
    <w:basedOn w:val="TableNormal"/>
    <w:uiPriority w:val="51"/>
    <w:rsid w:val="006D0FDF"/>
    <w:pPr>
      <w:spacing w:after="0" w:line="240" w:lineRule="auto"/>
    </w:pPr>
    <w:rPr>
      <w:color w:val="5ABBBD" w:themeColor="accent4" w:themeShade="BF"/>
    </w:rPr>
    <w:tblPr>
      <w:tblStyleRowBandSize w:val="1"/>
      <w:tblStyleColBandSize w:val="1"/>
      <w:tblBorders>
        <w:top w:val="single" w:sz="4" w:space="0" w:color="9DD7D8" w:themeColor="accent4"/>
        <w:bottom w:val="single" w:sz="4" w:space="0" w:color="9DD7D8" w:themeColor="accent4"/>
      </w:tblBorders>
    </w:tblPr>
    <w:tblStylePr w:type="firstRow">
      <w:rPr>
        <w:b/>
        <w:bCs/>
      </w:rPr>
      <w:tblPr/>
      <w:tcPr>
        <w:tcBorders>
          <w:bottom w:val="single" w:sz="4" w:space="0" w:color="9DD7D8" w:themeColor="accent4"/>
        </w:tcBorders>
      </w:tcPr>
    </w:tblStylePr>
    <w:tblStylePr w:type="lastRow">
      <w:rPr>
        <w:b/>
        <w:bCs/>
      </w:rPr>
      <w:tblPr/>
      <w:tcPr>
        <w:tcBorders>
          <w:top w:val="double" w:sz="4" w:space="0" w:color="9DD7D8" w:themeColor="accent4"/>
        </w:tcBorders>
      </w:tcPr>
    </w:tblStylePr>
    <w:tblStylePr w:type="firstCol">
      <w:rPr>
        <w:b/>
        <w:bCs/>
      </w:rPr>
    </w:tblStylePr>
    <w:tblStylePr w:type="lastCol">
      <w:rPr>
        <w:b/>
        <w:bCs/>
      </w:rPr>
    </w:tblStylePr>
    <w:tblStylePr w:type="band1Vert">
      <w:tblPr/>
      <w:tcPr>
        <w:shd w:val="clear" w:color="auto" w:fill="EBF6F7" w:themeFill="accent4" w:themeFillTint="33"/>
      </w:tcPr>
    </w:tblStylePr>
    <w:tblStylePr w:type="band1Horz">
      <w:tblPr/>
      <w:tcPr>
        <w:shd w:val="clear" w:color="auto" w:fill="EBF6F7" w:themeFill="accent4" w:themeFillTint="33"/>
      </w:tcPr>
    </w:tblStylePr>
  </w:style>
  <w:style w:type="table" w:styleId="ListTable6Colorful-Accent5">
    <w:name w:val="List Table 6 Colorful Accent 5"/>
    <w:basedOn w:val="TableNormal"/>
    <w:uiPriority w:val="51"/>
    <w:rsid w:val="006D0FDF"/>
    <w:pPr>
      <w:spacing w:after="0" w:line="240" w:lineRule="auto"/>
    </w:pPr>
    <w:rPr>
      <w:color w:val="C45911" w:themeColor="accent5" w:themeShade="BF"/>
    </w:rPr>
    <w:tblPr>
      <w:tblStyleRowBandSize w:val="1"/>
      <w:tblStyleColBandSize w:val="1"/>
      <w:tblBorders>
        <w:top w:val="single" w:sz="4" w:space="0" w:color="ED7D31" w:themeColor="accent5"/>
        <w:bottom w:val="single" w:sz="4" w:space="0" w:color="ED7D31" w:themeColor="accent5"/>
      </w:tblBorders>
    </w:tblPr>
    <w:tblStylePr w:type="firstRow">
      <w:rPr>
        <w:b/>
        <w:bCs/>
      </w:rPr>
      <w:tblPr/>
      <w:tcPr>
        <w:tcBorders>
          <w:bottom w:val="single" w:sz="4" w:space="0" w:color="ED7D31" w:themeColor="accent5"/>
        </w:tcBorders>
      </w:tcPr>
    </w:tblStylePr>
    <w:tblStylePr w:type="lastRow">
      <w:rPr>
        <w:b/>
        <w:bCs/>
      </w:rPr>
      <w:tblPr/>
      <w:tcPr>
        <w:tcBorders>
          <w:top w:val="double" w:sz="4" w:space="0" w:color="ED7D31" w:themeColor="accent5"/>
        </w:tcBorders>
      </w:tcPr>
    </w:tblStylePr>
    <w:tblStylePr w:type="firstCol">
      <w:rPr>
        <w:b/>
        <w:bCs/>
      </w:rPr>
    </w:tblStylePr>
    <w:tblStylePr w:type="lastCol">
      <w:rPr>
        <w:b/>
        <w:bCs/>
      </w:rPr>
    </w:tblStylePr>
    <w:tblStylePr w:type="band1Vert">
      <w:tblPr/>
      <w:tcPr>
        <w:shd w:val="clear" w:color="auto" w:fill="FBE4D5" w:themeFill="accent5" w:themeFillTint="33"/>
      </w:tcPr>
    </w:tblStylePr>
    <w:tblStylePr w:type="band1Horz">
      <w:tblPr/>
      <w:tcPr>
        <w:shd w:val="clear" w:color="auto" w:fill="FBE4D5" w:themeFill="accent5" w:themeFillTint="33"/>
      </w:tcPr>
    </w:tblStylePr>
  </w:style>
  <w:style w:type="table" w:styleId="ListTable4-Accent6">
    <w:name w:val="List Table 4 Accent 6"/>
    <w:basedOn w:val="TableNormal"/>
    <w:uiPriority w:val="49"/>
    <w:rsid w:val="006D0FDF"/>
    <w:pPr>
      <w:spacing w:after="0" w:line="240" w:lineRule="auto"/>
    </w:pPr>
    <w:tblPr>
      <w:tblStyleRowBandSize w:val="1"/>
      <w:tblStyleColBandSize w:val="1"/>
      <w:tblBorders>
        <w:top w:val="single" w:sz="4" w:space="0" w:color="87959F" w:themeColor="accent6" w:themeTint="99"/>
        <w:left w:val="single" w:sz="4" w:space="0" w:color="87959F" w:themeColor="accent6" w:themeTint="99"/>
        <w:bottom w:val="single" w:sz="4" w:space="0" w:color="87959F" w:themeColor="accent6" w:themeTint="99"/>
        <w:right w:val="single" w:sz="4" w:space="0" w:color="87959F" w:themeColor="accent6" w:themeTint="99"/>
        <w:insideH w:val="single" w:sz="4" w:space="0" w:color="87959F" w:themeColor="accent6" w:themeTint="99"/>
      </w:tblBorders>
    </w:tblPr>
    <w:tblStylePr w:type="firstRow">
      <w:rPr>
        <w:b/>
        <w:bCs/>
        <w:color w:val="FFFFFF" w:themeColor="background1"/>
      </w:rPr>
      <w:tblPr/>
      <w:tcPr>
        <w:tcBorders>
          <w:top w:val="single" w:sz="4" w:space="0" w:color="434D54" w:themeColor="accent6"/>
          <w:left w:val="single" w:sz="4" w:space="0" w:color="434D54" w:themeColor="accent6"/>
          <w:bottom w:val="single" w:sz="4" w:space="0" w:color="434D54" w:themeColor="accent6"/>
          <w:right w:val="single" w:sz="4" w:space="0" w:color="434D54" w:themeColor="accent6"/>
          <w:insideH w:val="nil"/>
        </w:tcBorders>
        <w:shd w:val="clear" w:color="auto" w:fill="434D54" w:themeFill="accent6"/>
      </w:tcPr>
    </w:tblStylePr>
    <w:tblStylePr w:type="lastRow">
      <w:rPr>
        <w:b/>
        <w:bCs/>
      </w:rPr>
      <w:tblPr/>
      <w:tcPr>
        <w:tcBorders>
          <w:top w:val="double" w:sz="4" w:space="0" w:color="87959F" w:themeColor="accent6" w:themeTint="99"/>
        </w:tcBorders>
      </w:tcPr>
    </w:tblStylePr>
    <w:tblStylePr w:type="firstCol">
      <w:rPr>
        <w:b/>
        <w:bCs/>
      </w:rPr>
    </w:tblStylePr>
    <w:tblStylePr w:type="lastCol">
      <w:rPr>
        <w:b/>
        <w:bCs/>
      </w:rPr>
    </w:tblStylePr>
    <w:tblStylePr w:type="band1Vert">
      <w:tblPr/>
      <w:tcPr>
        <w:shd w:val="clear" w:color="auto" w:fill="D6DBDF" w:themeFill="accent6" w:themeFillTint="33"/>
      </w:tcPr>
    </w:tblStylePr>
    <w:tblStylePr w:type="band1Horz">
      <w:tblPr/>
      <w:tcPr>
        <w:shd w:val="clear" w:color="auto" w:fill="D6DBDF" w:themeFill="accent6" w:themeFillTint="33"/>
      </w:tcPr>
    </w:tblStylePr>
  </w:style>
  <w:style w:type="table" w:styleId="ListTable3">
    <w:name w:val="List Table 3"/>
    <w:basedOn w:val="TableNormal"/>
    <w:uiPriority w:val="48"/>
    <w:rsid w:val="006D0FDF"/>
    <w:pPr>
      <w:spacing w:after="0"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paragraph" w:customStyle="1" w:styleId="BodyCopyStyle">
    <w:name w:val="Body Copy Style"/>
    <w:basedOn w:val="Normal"/>
    <w:rsid w:val="006D0FDF"/>
    <w:pPr>
      <w:spacing w:before="120" w:after="120"/>
      <w:jc w:val="both"/>
    </w:pPr>
    <w:rPr>
      <w:lang w:eastAsia="en-AU"/>
    </w:rPr>
  </w:style>
  <w:style w:type="character" w:customStyle="1" w:styleId="BodyTextChar">
    <w:name w:val="Body Text Char"/>
    <w:basedOn w:val="DefaultParagraphFont"/>
    <w:link w:val="BodyText"/>
    <w:uiPriority w:val="99"/>
    <w:rsid w:val="006D0FDF"/>
    <w:rPr>
      <w:rFonts w:ascii="Arial" w:eastAsia="Arial" w:hAnsi="Arial" w:cs="Arial"/>
      <w:color w:val="434D54"/>
      <w:sz w:val="20"/>
      <w:szCs w:val="20"/>
      <w:lang w:bidi="en-US"/>
    </w:rPr>
  </w:style>
  <w:style w:type="paragraph" w:customStyle="1" w:styleId="Default">
    <w:name w:val="Default"/>
    <w:rsid w:val="006D0FDF"/>
    <w:pPr>
      <w:autoSpaceDE w:val="0"/>
      <w:autoSpaceDN w:val="0"/>
      <w:adjustRightInd w:val="0"/>
      <w:spacing w:after="0" w:line="240" w:lineRule="auto"/>
    </w:pPr>
    <w:rPr>
      <w:rFonts w:ascii="Trebuchet MS" w:eastAsia="Times New Roman" w:hAnsi="Trebuchet MS" w:cs="Trebuchet MS"/>
      <w:color w:val="000000"/>
      <w:kern w:val="2"/>
      <w:sz w:val="24"/>
      <w:szCs w:val="24"/>
      <w:lang w:val="en-AU"/>
      <w14:ligatures w14:val="standardContextual"/>
    </w:rPr>
  </w:style>
  <w:style w:type="character" w:styleId="PageNumber">
    <w:name w:val="page number"/>
    <w:basedOn w:val="DefaultParagraphFont"/>
    <w:rsid w:val="006D0FDF"/>
  </w:style>
  <w:style w:type="paragraph" w:customStyle="1" w:styleId="Style1">
    <w:name w:val="Style1"/>
    <w:basedOn w:val="Heading2"/>
    <w:rsid w:val="006D0FDF"/>
    <w:pPr>
      <w:ind w:left="360"/>
    </w:pPr>
    <w:rPr>
      <w:caps/>
      <w:color w:val="87959F" w:themeColor="accent6" w:themeTint="99"/>
      <w:sz w:val="28"/>
    </w:rPr>
  </w:style>
  <w:style w:type="paragraph" w:styleId="Title">
    <w:name w:val="Title"/>
    <w:basedOn w:val="Normal"/>
    <w:next w:val="Normal"/>
    <w:link w:val="TitleChar"/>
    <w:uiPriority w:val="10"/>
    <w:qFormat/>
    <w:rsid w:val="001F7D91"/>
    <w:pPr>
      <w:pBdr>
        <w:bottom w:val="single" w:sz="8" w:space="4" w:color="E10D11" w:themeColor="accent1"/>
      </w:pBdr>
      <w:spacing w:before="0" w:after="300" w:line="240" w:lineRule="auto"/>
      <w:contextualSpacing/>
    </w:pPr>
    <w:rPr>
      <w:rFonts w:asciiTheme="majorHAnsi" w:eastAsiaTheme="majorEastAsia" w:hAnsiTheme="majorHAnsi" w:cstheme="majorBidi"/>
      <w:color w:val="262626" w:themeColor="text2" w:themeShade="BF"/>
      <w:spacing w:val="5"/>
      <w:kern w:val="28"/>
      <w:sz w:val="52"/>
      <w:szCs w:val="52"/>
    </w:rPr>
  </w:style>
  <w:style w:type="character" w:customStyle="1" w:styleId="TitleChar">
    <w:name w:val="Title Char"/>
    <w:basedOn w:val="DefaultParagraphFont"/>
    <w:link w:val="Title"/>
    <w:uiPriority w:val="10"/>
    <w:rsid w:val="001F7D91"/>
    <w:rPr>
      <w:rFonts w:asciiTheme="majorHAnsi" w:eastAsiaTheme="majorEastAsia" w:hAnsiTheme="majorHAnsi" w:cstheme="majorBidi"/>
      <w:color w:val="262626" w:themeColor="text2" w:themeShade="BF"/>
      <w:spacing w:val="5"/>
      <w:kern w:val="28"/>
      <w:sz w:val="52"/>
      <w:szCs w:val="52"/>
    </w:rPr>
  </w:style>
  <w:style w:type="paragraph" w:styleId="Subtitle">
    <w:name w:val="Subtitle"/>
    <w:basedOn w:val="Normal"/>
    <w:next w:val="Normal"/>
    <w:link w:val="SubtitleChar"/>
    <w:uiPriority w:val="11"/>
    <w:qFormat/>
    <w:rsid w:val="001F7D91"/>
    <w:pPr>
      <w:numPr>
        <w:ilvl w:val="1"/>
      </w:numPr>
      <w:spacing w:before="0" w:after="200" w:line="276" w:lineRule="auto"/>
    </w:pPr>
    <w:rPr>
      <w:rFonts w:asciiTheme="majorHAnsi" w:eastAsiaTheme="majorEastAsia" w:hAnsiTheme="majorHAnsi" w:cstheme="majorBidi"/>
      <w:i/>
      <w:iCs/>
      <w:color w:val="E10D11" w:themeColor="accent1"/>
      <w:spacing w:val="15"/>
      <w:sz w:val="24"/>
      <w:szCs w:val="24"/>
    </w:rPr>
  </w:style>
  <w:style w:type="character" w:customStyle="1" w:styleId="SubtitleChar">
    <w:name w:val="Subtitle Char"/>
    <w:basedOn w:val="DefaultParagraphFont"/>
    <w:link w:val="Subtitle"/>
    <w:uiPriority w:val="11"/>
    <w:rsid w:val="001F7D91"/>
    <w:rPr>
      <w:rFonts w:asciiTheme="majorHAnsi" w:eastAsiaTheme="majorEastAsia" w:hAnsiTheme="majorHAnsi" w:cstheme="majorBidi"/>
      <w:i/>
      <w:iCs/>
      <w:color w:val="E10D11" w:themeColor="accent1"/>
      <w:spacing w:val="15"/>
      <w:sz w:val="24"/>
      <w:szCs w:val="24"/>
    </w:rPr>
  </w:style>
  <w:style w:type="paragraph" w:styleId="BodyText2">
    <w:name w:val="Body Text 2"/>
    <w:basedOn w:val="Normal"/>
    <w:link w:val="BodyText2Char"/>
    <w:uiPriority w:val="99"/>
    <w:unhideWhenUsed/>
    <w:rsid w:val="001F7D91"/>
    <w:pPr>
      <w:spacing w:before="0" w:after="120" w:line="480" w:lineRule="auto"/>
    </w:pPr>
    <w:rPr>
      <w:rFonts w:ascii="Aptos" w:hAnsi="Aptos"/>
      <w:color w:val="auto"/>
      <w:sz w:val="19"/>
      <w:szCs w:val="22"/>
    </w:rPr>
  </w:style>
  <w:style w:type="character" w:customStyle="1" w:styleId="BodyText2Char">
    <w:name w:val="Body Text 2 Char"/>
    <w:basedOn w:val="DefaultParagraphFont"/>
    <w:link w:val="BodyText2"/>
    <w:uiPriority w:val="99"/>
    <w:rsid w:val="001F7D91"/>
    <w:rPr>
      <w:rFonts w:ascii="Aptos" w:hAnsi="Aptos"/>
      <w:sz w:val="19"/>
      <w:szCs w:val="22"/>
    </w:rPr>
  </w:style>
  <w:style w:type="paragraph" w:styleId="BodyText3">
    <w:name w:val="Body Text 3"/>
    <w:basedOn w:val="Normal"/>
    <w:link w:val="BodyText3Char"/>
    <w:uiPriority w:val="99"/>
    <w:unhideWhenUsed/>
    <w:rsid w:val="001F7D91"/>
    <w:pPr>
      <w:spacing w:before="0" w:after="120" w:line="276" w:lineRule="auto"/>
    </w:pPr>
    <w:rPr>
      <w:rFonts w:ascii="Aptos" w:hAnsi="Aptos"/>
      <w:color w:val="auto"/>
      <w:sz w:val="16"/>
      <w:szCs w:val="16"/>
    </w:rPr>
  </w:style>
  <w:style w:type="character" w:customStyle="1" w:styleId="BodyText3Char">
    <w:name w:val="Body Text 3 Char"/>
    <w:basedOn w:val="DefaultParagraphFont"/>
    <w:link w:val="BodyText3"/>
    <w:uiPriority w:val="99"/>
    <w:rsid w:val="001F7D91"/>
    <w:rPr>
      <w:rFonts w:ascii="Aptos" w:hAnsi="Aptos"/>
      <w:sz w:val="16"/>
      <w:szCs w:val="16"/>
    </w:rPr>
  </w:style>
  <w:style w:type="paragraph" w:styleId="List">
    <w:name w:val="List"/>
    <w:basedOn w:val="Normal"/>
    <w:uiPriority w:val="99"/>
    <w:unhideWhenUsed/>
    <w:rsid w:val="001F7D91"/>
    <w:pPr>
      <w:spacing w:before="0" w:after="200" w:line="276" w:lineRule="auto"/>
      <w:ind w:left="360" w:hanging="360"/>
      <w:contextualSpacing/>
    </w:pPr>
    <w:rPr>
      <w:rFonts w:ascii="Aptos" w:hAnsi="Aptos"/>
      <w:color w:val="auto"/>
      <w:sz w:val="19"/>
      <w:szCs w:val="22"/>
    </w:rPr>
  </w:style>
  <w:style w:type="paragraph" w:styleId="List2">
    <w:name w:val="List 2"/>
    <w:basedOn w:val="Normal"/>
    <w:uiPriority w:val="99"/>
    <w:unhideWhenUsed/>
    <w:rsid w:val="001F7D91"/>
    <w:pPr>
      <w:spacing w:before="0" w:after="200" w:line="276" w:lineRule="auto"/>
      <w:ind w:left="720" w:hanging="360"/>
      <w:contextualSpacing/>
    </w:pPr>
    <w:rPr>
      <w:rFonts w:ascii="Aptos" w:hAnsi="Aptos"/>
      <w:color w:val="auto"/>
      <w:sz w:val="19"/>
      <w:szCs w:val="22"/>
    </w:rPr>
  </w:style>
  <w:style w:type="paragraph" w:styleId="List3">
    <w:name w:val="List 3"/>
    <w:basedOn w:val="Normal"/>
    <w:uiPriority w:val="99"/>
    <w:unhideWhenUsed/>
    <w:rsid w:val="001F7D91"/>
    <w:pPr>
      <w:spacing w:before="0" w:after="200" w:line="276" w:lineRule="auto"/>
      <w:ind w:left="1080" w:hanging="360"/>
      <w:contextualSpacing/>
    </w:pPr>
    <w:rPr>
      <w:rFonts w:ascii="Aptos" w:hAnsi="Aptos"/>
      <w:color w:val="auto"/>
      <w:sz w:val="19"/>
      <w:szCs w:val="22"/>
    </w:rPr>
  </w:style>
  <w:style w:type="paragraph" w:styleId="ListBullet">
    <w:name w:val="List Bullet"/>
    <w:basedOn w:val="Normal"/>
    <w:uiPriority w:val="99"/>
    <w:unhideWhenUsed/>
    <w:rsid w:val="001F7D91"/>
    <w:pPr>
      <w:numPr>
        <w:numId w:val="10"/>
      </w:numPr>
      <w:tabs>
        <w:tab w:val="clear" w:pos="360"/>
      </w:tabs>
      <w:spacing w:before="0" w:after="200" w:line="276" w:lineRule="auto"/>
      <w:ind w:left="0" w:firstLine="0"/>
      <w:contextualSpacing/>
    </w:pPr>
    <w:rPr>
      <w:rFonts w:ascii="Aptos" w:hAnsi="Aptos"/>
      <w:color w:val="auto"/>
      <w:sz w:val="19"/>
      <w:szCs w:val="22"/>
    </w:rPr>
  </w:style>
  <w:style w:type="paragraph" w:styleId="ListBullet2">
    <w:name w:val="List Bullet 2"/>
    <w:basedOn w:val="Normal"/>
    <w:uiPriority w:val="99"/>
    <w:unhideWhenUsed/>
    <w:rsid w:val="001F7D91"/>
    <w:pPr>
      <w:numPr>
        <w:numId w:val="11"/>
      </w:numPr>
      <w:tabs>
        <w:tab w:val="clear" w:pos="720"/>
      </w:tabs>
      <w:spacing w:before="0" w:after="200" w:line="276" w:lineRule="auto"/>
      <w:ind w:left="0" w:firstLine="0"/>
      <w:contextualSpacing/>
    </w:pPr>
    <w:rPr>
      <w:rFonts w:ascii="Aptos" w:hAnsi="Aptos"/>
      <w:color w:val="auto"/>
      <w:sz w:val="19"/>
      <w:szCs w:val="22"/>
    </w:rPr>
  </w:style>
  <w:style w:type="paragraph" w:styleId="ListBullet3">
    <w:name w:val="List Bullet 3"/>
    <w:basedOn w:val="Normal"/>
    <w:uiPriority w:val="99"/>
    <w:unhideWhenUsed/>
    <w:rsid w:val="001F7D91"/>
    <w:pPr>
      <w:numPr>
        <w:numId w:val="8"/>
      </w:numPr>
      <w:tabs>
        <w:tab w:val="clear" w:pos="1080"/>
      </w:tabs>
      <w:spacing w:before="0" w:after="200" w:line="276" w:lineRule="auto"/>
      <w:ind w:left="0" w:firstLine="0"/>
      <w:contextualSpacing/>
    </w:pPr>
    <w:rPr>
      <w:rFonts w:ascii="Aptos" w:hAnsi="Aptos"/>
      <w:color w:val="auto"/>
      <w:sz w:val="19"/>
      <w:szCs w:val="22"/>
    </w:rPr>
  </w:style>
  <w:style w:type="paragraph" w:styleId="ListNumber">
    <w:name w:val="List Number"/>
    <w:basedOn w:val="Normal"/>
    <w:uiPriority w:val="99"/>
    <w:unhideWhenUsed/>
    <w:rsid w:val="001F7D91"/>
    <w:pPr>
      <w:numPr>
        <w:numId w:val="9"/>
      </w:numPr>
      <w:tabs>
        <w:tab w:val="clear" w:pos="360"/>
      </w:tabs>
      <w:spacing w:before="0" w:after="200" w:line="276" w:lineRule="auto"/>
      <w:ind w:left="0" w:firstLine="0"/>
      <w:contextualSpacing/>
    </w:pPr>
    <w:rPr>
      <w:rFonts w:ascii="Aptos" w:hAnsi="Aptos"/>
      <w:color w:val="auto"/>
      <w:sz w:val="19"/>
      <w:szCs w:val="22"/>
    </w:rPr>
  </w:style>
  <w:style w:type="paragraph" w:styleId="ListNumber2">
    <w:name w:val="List Number 2"/>
    <w:basedOn w:val="Normal"/>
    <w:uiPriority w:val="99"/>
    <w:unhideWhenUsed/>
    <w:rsid w:val="001F7D91"/>
    <w:pPr>
      <w:numPr>
        <w:numId w:val="7"/>
      </w:numPr>
      <w:tabs>
        <w:tab w:val="clear" w:pos="720"/>
      </w:tabs>
      <w:spacing w:before="0" w:after="200" w:line="276" w:lineRule="auto"/>
      <w:ind w:left="0" w:firstLine="0"/>
      <w:contextualSpacing/>
    </w:pPr>
    <w:rPr>
      <w:rFonts w:ascii="Aptos" w:hAnsi="Aptos"/>
      <w:color w:val="auto"/>
      <w:sz w:val="19"/>
      <w:szCs w:val="22"/>
    </w:rPr>
  </w:style>
  <w:style w:type="paragraph" w:styleId="ListNumber3">
    <w:name w:val="List Number 3"/>
    <w:basedOn w:val="Normal"/>
    <w:uiPriority w:val="99"/>
    <w:unhideWhenUsed/>
    <w:rsid w:val="001F7D91"/>
    <w:pPr>
      <w:numPr>
        <w:numId w:val="6"/>
      </w:numPr>
      <w:tabs>
        <w:tab w:val="clear" w:pos="1080"/>
      </w:tabs>
      <w:spacing w:before="0" w:after="200" w:line="276" w:lineRule="auto"/>
      <w:ind w:left="0" w:firstLine="0"/>
      <w:contextualSpacing/>
    </w:pPr>
    <w:rPr>
      <w:rFonts w:ascii="Aptos" w:hAnsi="Aptos"/>
      <w:color w:val="auto"/>
      <w:sz w:val="19"/>
      <w:szCs w:val="22"/>
    </w:rPr>
  </w:style>
  <w:style w:type="paragraph" w:styleId="ListContinue">
    <w:name w:val="List Continue"/>
    <w:basedOn w:val="Normal"/>
    <w:uiPriority w:val="99"/>
    <w:unhideWhenUsed/>
    <w:rsid w:val="001F7D91"/>
    <w:pPr>
      <w:spacing w:before="0" w:after="120" w:line="276" w:lineRule="auto"/>
      <w:ind w:left="360"/>
      <w:contextualSpacing/>
    </w:pPr>
    <w:rPr>
      <w:rFonts w:ascii="Aptos" w:hAnsi="Aptos"/>
      <w:color w:val="auto"/>
      <w:sz w:val="19"/>
      <w:szCs w:val="22"/>
    </w:rPr>
  </w:style>
  <w:style w:type="paragraph" w:styleId="ListContinue2">
    <w:name w:val="List Continue 2"/>
    <w:basedOn w:val="Normal"/>
    <w:uiPriority w:val="99"/>
    <w:unhideWhenUsed/>
    <w:rsid w:val="001F7D91"/>
    <w:pPr>
      <w:spacing w:before="0" w:after="120" w:line="276" w:lineRule="auto"/>
      <w:ind w:left="720"/>
      <w:contextualSpacing/>
    </w:pPr>
    <w:rPr>
      <w:rFonts w:ascii="Aptos" w:hAnsi="Aptos"/>
      <w:color w:val="auto"/>
      <w:sz w:val="19"/>
      <w:szCs w:val="22"/>
    </w:rPr>
  </w:style>
  <w:style w:type="paragraph" w:styleId="ListContinue3">
    <w:name w:val="List Continue 3"/>
    <w:basedOn w:val="Normal"/>
    <w:uiPriority w:val="99"/>
    <w:unhideWhenUsed/>
    <w:rsid w:val="001F7D91"/>
    <w:pPr>
      <w:spacing w:before="0" w:after="120" w:line="276" w:lineRule="auto"/>
      <w:ind w:left="1080"/>
      <w:contextualSpacing/>
    </w:pPr>
    <w:rPr>
      <w:rFonts w:ascii="Aptos" w:hAnsi="Aptos"/>
      <w:color w:val="auto"/>
      <w:sz w:val="19"/>
      <w:szCs w:val="22"/>
    </w:rPr>
  </w:style>
  <w:style w:type="paragraph" w:styleId="MacroText">
    <w:name w:val="macro"/>
    <w:link w:val="MacroTextChar"/>
    <w:uiPriority w:val="99"/>
    <w:unhideWhenUsed/>
    <w:rsid w:val="001F7D91"/>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
    <w:uiPriority w:val="99"/>
    <w:rsid w:val="001F7D91"/>
    <w:rPr>
      <w:rFonts w:ascii="Courier" w:hAnsi="Courier"/>
      <w:sz w:val="20"/>
      <w:szCs w:val="20"/>
    </w:rPr>
  </w:style>
  <w:style w:type="table" w:styleId="LightShading">
    <w:name w:val="Light Shading"/>
    <w:basedOn w:val="TableNormal"/>
    <w:uiPriority w:val="60"/>
    <w:rsid w:val="001F7D91"/>
    <w:pPr>
      <w:spacing w:after="0" w:line="240" w:lineRule="auto"/>
    </w:pPr>
    <w:rPr>
      <w:color w:val="262626" w:themeColor="text1" w:themeShade="BF"/>
      <w:sz w:val="22"/>
      <w:szCs w:val="22"/>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rsid w:val="001F7D91"/>
    <w:pPr>
      <w:spacing w:after="0" w:line="240" w:lineRule="auto"/>
    </w:pPr>
    <w:rPr>
      <w:color w:val="A8090C" w:themeColor="accent1" w:themeShade="BF"/>
      <w:sz w:val="22"/>
      <w:szCs w:val="22"/>
    </w:rPr>
    <w:tblPr>
      <w:tblStyleRowBandSize w:val="1"/>
      <w:tblStyleColBandSize w:val="1"/>
      <w:tblBorders>
        <w:top w:val="single" w:sz="8" w:space="0" w:color="E10D11" w:themeColor="accent1"/>
        <w:bottom w:val="single" w:sz="8" w:space="0" w:color="E10D11" w:themeColor="accent1"/>
      </w:tblBorders>
    </w:tblPr>
    <w:tblStylePr w:type="firstRow">
      <w:pPr>
        <w:spacing w:before="0" w:after="0" w:line="240" w:lineRule="auto"/>
      </w:pPr>
      <w:rPr>
        <w:b/>
        <w:bCs/>
      </w:rPr>
      <w:tblPr/>
      <w:tcPr>
        <w:tcBorders>
          <w:top w:val="single" w:sz="8" w:space="0" w:color="E10D11" w:themeColor="accent1"/>
          <w:left w:val="nil"/>
          <w:bottom w:val="single" w:sz="8" w:space="0" w:color="E10D11" w:themeColor="accent1"/>
          <w:right w:val="nil"/>
          <w:insideH w:val="nil"/>
          <w:insideV w:val="nil"/>
        </w:tcBorders>
      </w:tcPr>
    </w:tblStylePr>
    <w:tblStylePr w:type="lastRow">
      <w:pPr>
        <w:spacing w:before="0" w:after="0" w:line="240" w:lineRule="auto"/>
      </w:pPr>
      <w:rPr>
        <w:b/>
        <w:bCs/>
      </w:rPr>
      <w:tblPr/>
      <w:tcPr>
        <w:tcBorders>
          <w:top w:val="single" w:sz="8" w:space="0" w:color="E10D11" w:themeColor="accent1"/>
          <w:left w:val="nil"/>
          <w:bottom w:val="single" w:sz="8" w:space="0" w:color="E10D1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BFC0" w:themeFill="accent1" w:themeFillTint="3F"/>
      </w:tcPr>
    </w:tblStylePr>
    <w:tblStylePr w:type="band1Horz">
      <w:tblPr/>
      <w:tcPr>
        <w:tcBorders>
          <w:left w:val="nil"/>
          <w:right w:val="nil"/>
          <w:insideH w:val="nil"/>
          <w:insideV w:val="nil"/>
        </w:tcBorders>
        <w:shd w:val="clear" w:color="auto" w:fill="FBBFC0" w:themeFill="accent1" w:themeFillTint="3F"/>
      </w:tcPr>
    </w:tblStylePr>
  </w:style>
  <w:style w:type="table" w:styleId="LightShading-Accent2">
    <w:name w:val="Light Shading Accent 2"/>
    <w:basedOn w:val="TableNormal"/>
    <w:uiPriority w:val="60"/>
    <w:rsid w:val="001F7D91"/>
    <w:pPr>
      <w:spacing w:after="0" w:line="240" w:lineRule="auto"/>
    </w:pPr>
    <w:rPr>
      <w:color w:val="BFBF1A" w:themeColor="accent2" w:themeShade="BF"/>
      <w:sz w:val="22"/>
      <w:szCs w:val="22"/>
    </w:rPr>
    <w:tblPr>
      <w:tblStyleRowBandSize w:val="1"/>
      <w:tblStyleColBandSize w:val="1"/>
      <w:tblBorders>
        <w:top w:val="single" w:sz="8" w:space="0" w:color="E5E53E" w:themeColor="accent2"/>
        <w:bottom w:val="single" w:sz="8" w:space="0" w:color="E5E53E" w:themeColor="accent2"/>
      </w:tblBorders>
    </w:tblPr>
    <w:tblStylePr w:type="firstRow">
      <w:pPr>
        <w:spacing w:before="0" w:after="0" w:line="240" w:lineRule="auto"/>
      </w:pPr>
      <w:rPr>
        <w:b/>
        <w:bCs/>
      </w:rPr>
      <w:tblPr/>
      <w:tcPr>
        <w:tcBorders>
          <w:top w:val="single" w:sz="8" w:space="0" w:color="E5E53E" w:themeColor="accent2"/>
          <w:left w:val="nil"/>
          <w:bottom w:val="single" w:sz="8" w:space="0" w:color="E5E53E" w:themeColor="accent2"/>
          <w:right w:val="nil"/>
          <w:insideH w:val="nil"/>
          <w:insideV w:val="nil"/>
        </w:tcBorders>
      </w:tcPr>
    </w:tblStylePr>
    <w:tblStylePr w:type="lastRow">
      <w:pPr>
        <w:spacing w:before="0" w:after="0" w:line="240" w:lineRule="auto"/>
      </w:pPr>
      <w:rPr>
        <w:b/>
        <w:bCs/>
      </w:rPr>
      <w:tblPr/>
      <w:tcPr>
        <w:tcBorders>
          <w:top w:val="single" w:sz="8" w:space="0" w:color="E5E53E" w:themeColor="accent2"/>
          <w:left w:val="nil"/>
          <w:bottom w:val="single" w:sz="8" w:space="0" w:color="E5E53E"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8CF" w:themeFill="accent2" w:themeFillTint="3F"/>
      </w:tcPr>
    </w:tblStylePr>
    <w:tblStylePr w:type="band1Horz">
      <w:tblPr/>
      <w:tcPr>
        <w:tcBorders>
          <w:left w:val="nil"/>
          <w:right w:val="nil"/>
          <w:insideH w:val="nil"/>
          <w:insideV w:val="nil"/>
        </w:tcBorders>
        <w:shd w:val="clear" w:color="auto" w:fill="F8F8CF" w:themeFill="accent2" w:themeFillTint="3F"/>
      </w:tcPr>
    </w:tblStylePr>
  </w:style>
  <w:style w:type="table" w:styleId="LightShading-Accent3">
    <w:name w:val="Light Shading Accent 3"/>
    <w:basedOn w:val="TableNormal"/>
    <w:uiPriority w:val="60"/>
    <w:rsid w:val="001F7D91"/>
    <w:pPr>
      <w:spacing w:after="0" w:line="240" w:lineRule="auto"/>
    </w:pPr>
    <w:rPr>
      <w:color w:val="267298" w:themeColor="accent3" w:themeShade="BF"/>
      <w:sz w:val="22"/>
      <w:szCs w:val="22"/>
    </w:rPr>
    <w:tblPr>
      <w:tblStyleRowBandSize w:val="1"/>
      <w:tblStyleColBandSize w:val="1"/>
      <w:tblBorders>
        <w:top w:val="single" w:sz="8" w:space="0" w:color="3399CC" w:themeColor="accent3"/>
        <w:bottom w:val="single" w:sz="8" w:space="0" w:color="3399CC" w:themeColor="accent3"/>
      </w:tblBorders>
    </w:tblPr>
    <w:tblStylePr w:type="firstRow">
      <w:pPr>
        <w:spacing w:before="0" w:after="0" w:line="240" w:lineRule="auto"/>
      </w:pPr>
      <w:rPr>
        <w:b/>
        <w:bCs/>
      </w:rPr>
      <w:tblPr/>
      <w:tcPr>
        <w:tcBorders>
          <w:top w:val="single" w:sz="8" w:space="0" w:color="3399CC" w:themeColor="accent3"/>
          <w:left w:val="nil"/>
          <w:bottom w:val="single" w:sz="8" w:space="0" w:color="3399CC" w:themeColor="accent3"/>
          <w:right w:val="nil"/>
          <w:insideH w:val="nil"/>
          <w:insideV w:val="nil"/>
        </w:tcBorders>
      </w:tcPr>
    </w:tblStylePr>
    <w:tblStylePr w:type="lastRow">
      <w:pPr>
        <w:spacing w:before="0" w:after="0" w:line="240" w:lineRule="auto"/>
      </w:pPr>
      <w:rPr>
        <w:b/>
        <w:bCs/>
      </w:rPr>
      <w:tblPr/>
      <w:tcPr>
        <w:tcBorders>
          <w:top w:val="single" w:sz="8" w:space="0" w:color="3399CC" w:themeColor="accent3"/>
          <w:left w:val="nil"/>
          <w:bottom w:val="single" w:sz="8" w:space="0" w:color="3399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E5F2" w:themeFill="accent3" w:themeFillTint="3F"/>
      </w:tcPr>
    </w:tblStylePr>
    <w:tblStylePr w:type="band1Horz">
      <w:tblPr/>
      <w:tcPr>
        <w:tcBorders>
          <w:left w:val="nil"/>
          <w:right w:val="nil"/>
          <w:insideH w:val="nil"/>
          <w:insideV w:val="nil"/>
        </w:tcBorders>
        <w:shd w:val="clear" w:color="auto" w:fill="CCE5F2" w:themeFill="accent3" w:themeFillTint="3F"/>
      </w:tcPr>
    </w:tblStylePr>
  </w:style>
  <w:style w:type="table" w:styleId="LightShading-Accent4">
    <w:name w:val="Light Shading Accent 4"/>
    <w:basedOn w:val="TableNormal"/>
    <w:uiPriority w:val="60"/>
    <w:rsid w:val="001F7D91"/>
    <w:pPr>
      <w:spacing w:after="0" w:line="240" w:lineRule="auto"/>
    </w:pPr>
    <w:rPr>
      <w:color w:val="5ABBBD" w:themeColor="accent4" w:themeShade="BF"/>
      <w:sz w:val="22"/>
      <w:szCs w:val="22"/>
    </w:rPr>
    <w:tblPr>
      <w:tblStyleRowBandSize w:val="1"/>
      <w:tblStyleColBandSize w:val="1"/>
      <w:tblBorders>
        <w:top w:val="single" w:sz="8" w:space="0" w:color="9DD7D8" w:themeColor="accent4"/>
        <w:bottom w:val="single" w:sz="8" w:space="0" w:color="9DD7D8" w:themeColor="accent4"/>
      </w:tblBorders>
    </w:tblPr>
    <w:tblStylePr w:type="firstRow">
      <w:pPr>
        <w:spacing w:before="0" w:after="0" w:line="240" w:lineRule="auto"/>
      </w:pPr>
      <w:rPr>
        <w:b/>
        <w:bCs/>
      </w:rPr>
      <w:tblPr/>
      <w:tcPr>
        <w:tcBorders>
          <w:top w:val="single" w:sz="8" w:space="0" w:color="9DD7D8" w:themeColor="accent4"/>
          <w:left w:val="nil"/>
          <w:bottom w:val="single" w:sz="8" w:space="0" w:color="9DD7D8" w:themeColor="accent4"/>
          <w:right w:val="nil"/>
          <w:insideH w:val="nil"/>
          <w:insideV w:val="nil"/>
        </w:tcBorders>
      </w:tcPr>
    </w:tblStylePr>
    <w:tblStylePr w:type="lastRow">
      <w:pPr>
        <w:spacing w:before="0" w:after="0" w:line="240" w:lineRule="auto"/>
      </w:pPr>
      <w:rPr>
        <w:b/>
        <w:bCs/>
      </w:rPr>
      <w:tblPr/>
      <w:tcPr>
        <w:tcBorders>
          <w:top w:val="single" w:sz="8" w:space="0" w:color="9DD7D8" w:themeColor="accent4"/>
          <w:left w:val="nil"/>
          <w:bottom w:val="single" w:sz="8" w:space="0" w:color="9DD7D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F5" w:themeFill="accent4" w:themeFillTint="3F"/>
      </w:tcPr>
    </w:tblStylePr>
    <w:tblStylePr w:type="band1Horz">
      <w:tblPr/>
      <w:tcPr>
        <w:tcBorders>
          <w:left w:val="nil"/>
          <w:right w:val="nil"/>
          <w:insideH w:val="nil"/>
          <w:insideV w:val="nil"/>
        </w:tcBorders>
        <w:shd w:val="clear" w:color="auto" w:fill="E6F5F5" w:themeFill="accent4" w:themeFillTint="3F"/>
      </w:tcPr>
    </w:tblStylePr>
  </w:style>
  <w:style w:type="table" w:styleId="LightShading-Accent5">
    <w:name w:val="Light Shading Accent 5"/>
    <w:basedOn w:val="TableNormal"/>
    <w:uiPriority w:val="60"/>
    <w:rsid w:val="001F7D91"/>
    <w:pPr>
      <w:spacing w:after="0" w:line="240" w:lineRule="auto"/>
    </w:pPr>
    <w:rPr>
      <w:color w:val="C45911" w:themeColor="accent5" w:themeShade="BF"/>
      <w:sz w:val="22"/>
      <w:szCs w:val="22"/>
    </w:rPr>
    <w:tblPr>
      <w:tblStyleRowBandSize w:val="1"/>
      <w:tblStyleColBandSize w:val="1"/>
      <w:tblBorders>
        <w:top w:val="single" w:sz="8" w:space="0" w:color="ED7D31" w:themeColor="accent5"/>
        <w:bottom w:val="single" w:sz="8" w:space="0" w:color="ED7D31" w:themeColor="accent5"/>
      </w:tblBorders>
    </w:tblPr>
    <w:tblStylePr w:type="firstRow">
      <w:pPr>
        <w:spacing w:before="0" w:after="0" w:line="240" w:lineRule="auto"/>
      </w:pPr>
      <w:rPr>
        <w:b/>
        <w:bCs/>
      </w:rPr>
      <w:tblPr/>
      <w:tcPr>
        <w:tcBorders>
          <w:top w:val="single" w:sz="8" w:space="0" w:color="ED7D31" w:themeColor="accent5"/>
          <w:left w:val="nil"/>
          <w:bottom w:val="single" w:sz="8" w:space="0" w:color="ED7D31" w:themeColor="accent5"/>
          <w:right w:val="nil"/>
          <w:insideH w:val="nil"/>
          <w:insideV w:val="nil"/>
        </w:tcBorders>
      </w:tcPr>
    </w:tblStylePr>
    <w:tblStylePr w:type="lastRow">
      <w:pPr>
        <w:spacing w:before="0" w:after="0" w:line="240" w:lineRule="auto"/>
      </w:pPr>
      <w:rPr>
        <w:b/>
        <w:bCs/>
      </w:rPr>
      <w:tblPr/>
      <w:tcPr>
        <w:tcBorders>
          <w:top w:val="single" w:sz="8" w:space="0" w:color="ED7D31" w:themeColor="accent5"/>
          <w:left w:val="nil"/>
          <w:bottom w:val="single" w:sz="8" w:space="0" w:color="ED7D3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5" w:themeFillTint="3F"/>
      </w:tcPr>
    </w:tblStylePr>
    <w:tblStylePr w:type="band1Horz">
      <w:tblPr/>
      <w:tcPr>
        <w:tcBorders>
          <w:left w:val="nil"/>
          <w:right w:val="nil"/>
          <w:insideH w:val="nil"/>
          <w:insideV w:val="nil"/>
        </w:tcBorders>
        <w:shd w:val="clear" w:color="auto" w:fill="FADECB" w:themeFill="accent5" w:themeFillTint="3F"/>
      </w:tcPr>
    </w:tblStylePr>
  </w:style>
  <w:style w:type="table" w:styleId="LightShading-Accent6">
    <w:name w:val="Light Shading Accent 6"/>
    <w:basedOn w:val="TableNormal"/>
    <w:uiPriority w:val="60"/>
    <w:rsid w:val="001F7D91"/>
    <w:pPr>
      <w:spacing w:after="0" w:line="240" w:lineRule="auto"/>
    </w:pPr>
    <w:rPr>
      <w:color w:val="32393E" w:themeColor="accent6" w:themeShade="BF"/>
      <w:sz w:val="22"/>
      <w:szCs w:val="22"/>
    </w:rPr>
    <w:tblPr>
      <w:tblStyleRowBandSize w:val="1"/>
      <w:tblStyleColBandSize w:val="1"/>
      <w:tblBorders>
        <w:top w:val="single" w:sz="8" w:space="0" w:color="434D54" w:themeColor="accent6"/>
        <w:bottom w:val="single" w:sz="8" w:space="0" w:color="434D54" w:themeColor="accent6"/>
      </w:tblBorders>
    </w:tblPr>
    <w:tblStylePr w:type="firstRow">
      <w:pPr>
        <w:spacing w:before="0" w:after="0" w:line="240" w:lineRule="auto"/>
      </w:pPr>
      <w:rPr>
        <w:b/>
        <w:bCs/>
      </w:rPr>
      <w:tblPr/>
      <w:tcPr>
        <w:tcBorders>
          <w:top w:val="single" w:sz="8" w:space="0" w:color="434D54" w:themeColor="accent6"/>
          <w:left w:val="nil"/>
          <w:bottom w:val="single" w:sz="8" w:space="0" w:color="434D54" w:themeColor="accent6"/>
          <w:right w:val="nil"/>
          <w:insideH w:val="nil"/>
          <w:insideV w:val="nil"/>
        </w:tcBorders>
      </w:tcPr>
    </w:tblStylePr>
    <w:tblStylePr w:type="lastRow">
      <w:pPr>
        <w:spacing w:before="0" w:after="0" w:line="240" w:lineRule="auto"/>
      </w:pPr>
      <w:rPr>
        <w:b/>
        <w:bCs/>
      </w:rPr>
      <w:tblPr/>
      <w:tcPr>
        <w:tcBorders>
          <w:top w:val="single" w:sz="8" w:space="0" w:color="434D54" w:themeColor="accent6"/>
          <w:left w:val="nil"/>
          <w:bottom w:val="single" w:sz="8" w:space="0" w:color="434D5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DD3D7" w:themeFill="accent6" w:themeFillTint="3F"/>
      </w:tcPr>
    </w:tblStylePr>
    <w:tblStylePr w:type="band1Horz">
      <w:tblPr/>
      <w:tcPr>
        <w:tcBorders>
          <w:left w:val="nil"/>
          <w:right w:val="nil"/>
          <w:insideH w:val="nil"/>
          <w:insideV w:val="nil"/>
        </w:tcBorders>
        <w:shd w:val="clear" w:color="auto" w:fill="CDD3D7" w:themeFill="accent6" w:themeFillTint="3F"/>
      </w:tcPr>
    </w:tblStylePr>
  </w:style>
  <w:style w:type="table" w:styleId="LightList">
    <w:name w:val="Light List"/>
    <w:basedOn w:val="TableNormal"/>
    <w:uiPriority w:val="61"/>
    <w:rsid w:val="001F7D91"/>
    <w:pPr>
      <w:spacing w:after="0" w:line="240" w:lineRule="auto"/>
    </w:pPr>
    <w:rPr>
      <w:sz w:val="22"/>
      <w:szCs w:val="22"/>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rsid w:val="001F7D91"/>
    <w:pPr>
      <w:spacing w:after="0" w:line="240" w:lineRule="auto"/>
    </w:pPr>
    <w:rPr>
      <w:sz w:val="22"/>
      <w:szCs w:val="22"/>
    </w:rPr>
    <w:tblPr>
      <w:tblStyleRowBandSize w:val="1"/>
      <w:tblStyleColBandSize w:val="1"/>
      <w:tblBorders>
        <w:top w:val="single" w:sz="8" w:space="0" w:color="E10D11" w:themeColor="accent1"/>
        <w:left w:val="single" w:sz="8" w:space="0" w:color="E10D11" w:themeColor="accent1"/>
        <w:bottom w:val="single" w:sz="8" w:space="0" w:color="E10D11" w:themeColor="accent1"/>
        <w:right w:val="single" w:sz="8" w:space="0" w:color="E10D11" w:themeColor="accent1"/>
      </w:tblBorders>
    </w:tblPr>
    <w:tblStylePr w:type="firstRow">
      <w:pPr>
        <w:spacing w:before="0" w:after="0" w:line="240" w:lineRule="auto"/>
      </w:pPr>
      <w:rPr>
        <w:b/>
        <w:bCs/>
        <w:color w:val="FFFFFF" w:themeColor="background1"/>
      </w:rPr>
      <w:tblPr/>
      <w:tcPr>
        <w:shd w:val="clear" w:color="auto" w:fill="E10D11" w:themeFill="accent1"/>
      </w:tcPr>
    </w:tblStylePr>
    <w:tblStylePr w:type="lastRow">
      <w:pPr>
        <w:spacing w:before="0" w:after="0" w:line="240" w:lineRule="auto"/>
      </w:pPr>
      <w:rPr>
        <w:b/>
        <w:bCs/>
      </w:rPr>
      <w:tblPr/>
      <w:tcPr>
        <w:tcBorders>
          <w:top w:val="double" w:sz="6" w:space="0" w:color="E10D11" w:themeColor="accent1"/>
          <w:left w:val="single" w:sz="8" w:space="0" w:color="E10D11" w:themeColor="accent1"/>
          <w:bottom w:val="single" w:sz="8" w:space="0" w:color="E10D11" w:themeColor="accent1"/>
          <w:right w:val="single" w:sz="8" w:space="0" w:color="E10D11" w:themeColor="accent1"/>
        </w:tcBorders>
      </w:tcPr>
    </w:tblStylePr>
    <w:tblStylePr w:type="firstCol">
      <w:rPr>
        <w:b/>
        <w:bCs/>
      </w:rPr>
    </w:tblStylePr>
    <w:tblStylePr w:type="lastCol">
      <w:rPr>
        <w:b/>
        <w:bCs/>
      </w:rPr>
    </w:tblStylePr>
    <w:tblStylePr w:type="band1Vert">
      <w:tblPr/>
      <w:tcPr>
        <w:tcBorders>
          <w:top w:val="single" w:sz="8" w:space="0" w:color="E10D11" w:themeColor="accent1"/>
          <w:left w:val="single" w:sz="8" w:space="0" w:color="E10D11" w:themeColor="accent1"/>
          <w:bottom w:val="single" w:sz="8" w:space="0" w:color="E10D11" w:themeColor="accent1"/>
          <w:right w:val="single" w:sz="8" w:space="0" w:color="E10D11" w:themeColor="accent1"/>
        </w:tcBorders>
      </w:tcPr>
    </w:tblStylePr>
    <w:tblStylePr w:type="band1Horz">
      <w:tblPr/>
      <w:tcPr>
        <w:tcBorders>
          <w:top w:val="single" w:sz="8" w:space="0" w:color="E10D11" w:themeColor="accent1"/>
          <w:left w:val="single" w:sz="8" w:space="0" w:color="E10D11" w:themeColor="accent1"/>
          <w:bottom w:val="single" w:sz="8" w:space="0" w:color="E10D11" w:themeColor="accent1"/>
          <w:right w:val="single" w:sz="8" w:space="0" w:color="E10D11" w:themeColor="accent1"/>
        </w:tcBorders>
      </w:tcPr>
    </w:tblStylePr>
  </w:style>
  <w:style w:type="table" w:styleId="LightList-Accent2">
    <w:name w:val="Light List Accent 2"/>
    <w:basedOn w:val="TableNormal"/>
    <w:uiPriority w:val="61"/>
    <w:rsid w:val="001F7D91"/>
    <w:pPr>
      <w:spacing w:after="0" w:line="240" w:lineRule="auto"/>
    </w:pPr>
    <w:rPr>
      <w:sz w:val="22"/>
      <w:szCs w:val="22"/>
    </w:rPr>
    <w:tblPr>
      <w:tblStyleRowBandSize w:val="1"/>
      <w:tblStyleColBandSize w:val="1"/>
      <w:tblBorders>
        <w:top w:val="single" w:sz="8" w:space="0" w:color="E5E53E" w:themeColor="accent2"/>
        <w:left w:val="single" w:sz="8" w:space="0" w:color="E5E53E" w:themeColor="accent2"/>
        <w:bottom w:val="single" w:sz="8" w:space="0" w:color="E5E53E" w:themeColor="accent2"/>
        <w:right w:val="single" w:sz="8" w:space="0" w:color="E5E53E" w:themeColor="accent2"/>
      </w:tblBorders>
    </w:tblPr>
    <w:tblStylePr w:type="firstRow">
      <w:pPr>
        <w:spacing w:before="0" w:after="0" w:line="240" w:lineRule="auto"/>
      </w:pPr>
      <w:rPr>
        <w:b/>
        <w:bCs/>
        <w:color w:val="FFFFFF" w:themeColor="background1"/>
      </w:rPr>
      <w:tblPr/>
      <w:tcPr>
        <w:shd w:val="clear" w:color="auto" w:fill="E5E53E" w:themeFill="accent2"/>
      </w:tcPr>
    </w:tblStylePr>
    <w:tblStylePr w:type="lastRow">
      <w:pPr>
        <w:spacing w:before="0" w:after="0" w:line="240" w:lineRule="auto"/>
      </w:pPr>
      <w:rPr>
        <w:b/>
        <w:bCs/>
      </w:rPr>
      <w:tblPr/>
      <w:tcPr>
        <w:tcBorders>
          <w:top w:val="double" w:sz="6" w:space="0" w:color="E5E53E" w:themeColor="accent2"/>
          <w:left w:val="single" w:sz="8" w:space="0" w:color="E5E53E" w:themeColor="accent2"/>
          <w:bottom w:val="single" w:sz="8" w:space="0" w:color="E5E53E" w:themeColor="accent2"/>
          <w:right w:val="single" w:sz="8" w:space="0" w:color="E5E53E" w:themeColor="accent2"/>
        </w:tcBorders>
      </w:tcPr>
    </w:tblStylePr>
    <w:tblStylePr w:type="firstCol">
      <w:rPr>
        <w:b/>
        <w:bCs/>
      </w:rPr>
    </w:tblStylePr>
    <w:tblStylePr w:type="lastCol">
      <w:rPr>
        <w:b/>
        <w:bCs/>
      </w:rPr>
    </w:tblStylePr>
    <w:tblStylePr w:type="band1Vert">
      <w:tblPr/>
      <w:tcPr>
        <w:tcBorders>
          <w:top w:val="single" w:sz="8" w:space="0" w:color="E5E53E" w:themeColor="accent2"/>
          <w:left w:val="single" w:sz="8" w:space="0" w:color="E5E53E" w:themeColor="accent2"/>
          <w:bottom w:val="single" w:sz="8" w:space="0" w:color="E5E53E" w:themeColor="accent2"/>
          <w:right w:val="single" w:sz="8" w:space="0" w:color="E5E53E" w:themeColor="accent2"/>
        </w:tcBorders>
      </w:tcPr>
    </w:tblStylePr>
    <w:tblStylePr w:type="band1Horz">
      <w:tblPr/>
      <w:tcPr>
        <w:tcBorders>
          <w:top w:val="single" w:sz="8" w:space="0" w:color="E5E53E" w:themeColor="accent2"/>
          <w:left w:val="single" w:sz="8" w:space="0" w:color="E5E53E" w:themeColor="accent2"/>
          <w:bottom w:val="single" w:sz="8" w:space="0" w:color="E5E53E" w:themeColor="accent2"/>
          <w:right w:val="single" w:sz="8" w:space="0" w:color="E5E53E" w:themeColor="accent2"/>
        </w:tcBorders>
      </w:tcPr>
    </w:tblStylePr>
  </w:style>
  <w:style w:type="table" w:styleId="LightList-Accent3">
    <w:name w:val="Light List Accent 3"/>
    <w:basedOn w:val="TableNormal"/>
    <w:uiPriority w:val="61"/>
    <w:rsid w:val="001F7D91"/>
    <w:pPr>
      <w:spacing w:after="0" w:line="240" w:lineRule="auto"/>
    </w:pPr>
    <w:rPr>
      <w:sz w:val="22"/>
      <w:szCs w:val="22"/>
    </w:rPr>
    <w:tblPr>
      <w:tblStyleRowBandSize w:val="1"/>
      <w:tblStyleColBandSize w:val="1"/>
      <w:tblBorders>
        <w:top w:val="single" w:sz="8" w:space="0" w:color="3399CC" w:themeColor="accent3"/>
        <w:left w:val="single" w:sz="8" w:space="0" w:color="3399CC" w:themeColor="accent3"/>
        <w:bottom w:val="single" w:sz="8" w:space="0" w:color="3399CC" w:themeColor="accent3"/>
        <w:right w:val="single" w:sz="8" w:space="0" w:color="3399CC" w:themeColor="accent3"/>
      </w:tblBorders>
    </w:tblPr>
    <w:tblStylePr w:type="firstRow">
      <w:pPr>
        <w:spacing w:before="0" w:after="0" w:line="240" w:lineRule="auto"/>
      </w:pPr>
      <w:rPr>
        <w:b/>
        <w:bCs/>
        <w:color w:val="FFFFFF" w:themeColor="background1"/>
      </w:rPr>
      <w:tblPr/>
      <w:tcPr>
        <w:shd w:val="clear" w:color="auto" w:fill="3399CC" w:themeFill="accent3"/>
      </w:tcPr>
    </w:tblStylePr>
    <w:tblStylePr w:type="lastRow">
      <w:pPr>
        <w:spacing w:before="0" w:after="0" w:line="240" w:lineRule="auto"/>
      </w:pPr>
      <w:rPr>
        <w:b/>
        <w:bCs/>
      </w:rPr>
      <w:tblPr/>
      <w:tcPr>
        <w:tcBorders>
          <w:top w:val="double" w:sz="6" w:space="0" w:color="3399CC" w:themeColor="accent3"/>
          <w:left w:val="single" w:sz="8" w:space="0" w:color="3399CC" w:themeColor="accent3"/>
          <w:bottom w:val="single" w:sz="8" w:space="0" w:color="3399CC" w:themeColor="accent3"/>
          <w:right w:val="single" w:sz="8" w:space="0" w:color="3399CC" w:themeColor="accent3"/>
        </w:tcBorders>
      </w:tcPr>
    </w:tblStylePr>
    <w:tblStylePr w:type="firstCol">
      <w:rPr>
        <w:b/>
        <w:bCs/>
      </w:rPr>
    </w:tblStylePr>
    <w:tblStylePr w:type="lastCol">
      <w:rPr>
        <w:b/>
        <w:bCs/>
      </w:rPr>
    </w:tblStylePr>
    <w:tblStylePr w:type="band1Vert">
      <w:tblPr/>
      <w:tcPr>
        <w:tcBorders>
          <w:top w:val="single" w:sz="8" w:space="0" w:color="3399CC" w:themeColor="accent3"/>
          <w:left w:val="single" w:sz="8" w:space="0" w:color="3399CC" w:themeColor="accent3"/>
          <w:bottom w:val="single" w:sz="8" w:space="0" w:color="3399CC" w:themeColor="accent3"/>
          <w:right w:val="single" w:sz="8" w:space="0" w:color="3399CC" w:themeColor="accent3"/>
        </w:tcBorders>
      </w:tcPr>
    </w:tblStylePr>
    <w:tblStylePr w:type="band1Horz">
      <w:tblPr/>
      <w:tcPr>
        <w:tcBorders>
          <w:top w:val="single" w:sz="8" w:space="0" w:color="3399CC" w:themeColor="accent3"/>
          <w:left w:val="single" w:sz="8" w:space="0" w:color="3399CC" w:themeColor="accent3"/>
          <w:bottom w:val="single" w:sz="8" w:space="0" w:color="3399CC" w:themeColor="accent3"/>
          <w:right w:val="single" w:sz="8" w:space="0" w:color="3399CC" w:themeColor="accent3"/>
        </w:tcBorders>
      </w:tcPr>
    </w:tblStylePr>
  </w:style>
  <w:style w:type="table" w:styleId="LightList-Accent4">
    <w:name w:val="Light List Accent 4"/>
    <w:basedOn w:val="TableNormal"/>
    <w:uiPriority w:val="61"/>
    <w:rsid w:val="001F7D91"/>
    <w:pPr>
      <w:spacing w:after="0" w:line="240" w:lineRule="auto"/>
    </w:pPr>
    <w:rPr>
      <w:sz w:val="22"/>
      <w:szCs w:val="22"/>
    </w:rPr>
    <w:tblPr>
      <w:tblStyleRowBandSize w:val="1"/>
      <w:tblStyleColBandSize w:val="1"/>
      <w:tblBorders>
        <w:top w:val="single" w:sz="8" w:space="0" w:color="9DD7D8" w:themeColor="accent4"/>
        <w:left w:val="single" w:sz="8" w:space="0" w:color="9DD7D8" w:themeColor="accent4"/>
        <w:bottom w:val="single" w:sz="8" w:space="0" w:color="9DD7D8" w:themeColor="accent4"/>
        <w:right w:val="single" w:sz="8" w:space="0" w:color="9DD7D8" w:themeColor="accent4"/>
      </w:tblBorders>
    </w:tblPr>
    <w:tblStylePr w:type="firstRow">
      <w:pPr>
        <w:spacing w:before="0" w:after="0" w:line="240" w:lineRule="auto"/>
      </w:pPr>
      <w:rPr>
        <w:b/>
        <w:bCs/>
        <w:color w:val="FFFFFF" w:themeColor="background1"/>
      </w:rPr>
      <w:tblPr/>
      <w:tcPr>
        <w:shd w:val="clear" w:color="auto" w:fill="9DD7D8" w:themeFill="accent4"/>
      </w:tcPr>
    </w:tblStylePr>
    <w:tblStylePr w:type="lastRow">
      <w:pPr>
        <w:spacing w:before="0" w:after="0" w:line="240" w:lineRule="auto"/>
      </w:pPr>
      <w:rPr>
        <w:b/>
        <w:bCs/>
      </w:rPr>
      <w:tblPr/>
      <w:tcPr>
        <w:tcBorders>
          <w:top w:val="double" w:sz="6" w:space="0" w:color="9DD7D8" w:themeColor="accent4"/>
          <w:left w:val="single" w:sz="8" w:space="0" w:color="9DD7D8" w:themeColor="accent4"/>
          <w:bottom w:val="single" w:sz="8" w:space="0" w:color="9DD7D8" w:themeColor="accent4"/>
          <w:right w:val="single" w:sz="8" w:space="0" w:color="9DD7D8" w:themeColor="accent4"/>
        </w:tcBorders>
      </w:tcPr>
    </w:tblStylePr>
    <w:tblStylePr w:type="firstCol">
      <w:rPr>
        <w:b/>
        <w:bCs/>
      </w:rPr>
    </w:tblStylePr>
    <w:tblStylePr w:type="lastCol">
      <w:rPr>
        <w:b/>
        <w:bCs/>
      </w:rPr>
    </w:tblStylePr>
    <w:tblStylePr w:type="band1Vert">
      <w:tblPr/>
      <w:tcPr>
        <w:tcBorders>
          <w:top w:val="single" w:sz="8" w:space="0" w:color="9DD7D8" w:themeColor="accent4"/>
          <w:left w:val="single" w:sz="8" w:space="0" w:color="9DD7D8" w:themeColor="accent4"/>
          <w:bottom w:val="single" w:sz="8" w:space="0" w:color="9DD7D8" w:themeColor="accent4"/>
          <w:right w:val="single" w:sz="8" w:space="0" w:color="9DD7D8" w:themeColor="accent4"/>
        </w:tcBorders>
      </w:tcPr>
    </w:tblStylePr>
    <w:tblStylePr w:type="band1Horz">
      <w:tblPr/>
      <w:tcPr>
        <w:tcBorders>
          <w:top w:val="single" w:sz="8" w:space="0" w:color="9DD7D8" w:themeColor="accent4"/>
          <w:left w:val="single" w:sz="8" w:space="0" w:color="9DD7D8" w:themeColor="accent4"/>
          <w:bottom w:val="single" w:sz="8" w:space="0" w:color="9DD7D8" w:themeColor="accent4"/>
          <w:right w:val="single" w:sz="8" w:space="0" w:color="9DD7D8" w:themeColor="accent4"/>
        </w:tcBorders>
      </w:tcPr>
    </w:tblStylePr>
  </w:style>
  <w:style w:type="table" w:styleId="LightList-Accent5">
    <w:name w:val="Light List Accent 5"/>
    <w:basedOn w:val="TableNormal"/>
    <w:uiPriority w:val="61"/>
    <w:rsid w:val="001F7D91"/>
    <w:pPr>
      <w:spacing w:after="0" w:line="240" w:lineRule="auto"/>
    </w:pPr>
    <w:rPr>
      <w:sz w:val="22"/>
      <w:szCs w:val="22"/>
    </w:rPr>
    <w:tblPr>
      <w:tblStyleRowBandSize w:val="1"/>
      <w:tblStyleColBandSize w:val="1"/>
      <w:tblBorders>
        <w:top w:val="single" w:sz="8" w:space="0" w:color="ED7D31" w:themeColor="accent5"/>
        <w:left w:val="single" w:sz="8" w:space="0" w:color="ED7D31" w:themeColor="accent5"/>
        <w:bottom w:val="single" w:sz="8" w:space="0" w:color="ED7D31" w:themeColor="accent5"/>
        <w:right w:val="single" w:sz="8" w:space="0" w:color="ED7D31" w:themeColor="accent5"/>
      </w:tblBorders>
    </w:tblPr>
    <w:tblStylePr w:type="firstRow">
      <w:pPr>
        <w:spacing w:before="0" w:after="0" w:line="240" w:lineRule="auto"/>
      </w:pPr>
      <w:rPr>
        <w:b/>
        <w:bCs/>
        <w:color w:val="FFFFFF" w:themeColor="background1"/>
      </w:rPr>
      <w:tblPr/>
      <w:tcPr>
        <w:shd w:val="clear" w:color="auto" w:fill="ED7D31" w:themeFill="accent5"/>
      </w:tcPr>
    </w:tblStylePr>
    <w:tblStylePr w:type="lastRow">
      <w:pPr>
        <w:spacing w:before="0" w:after="0" w:line="240" w:lineRule="auto"/>
      </w:pPr>
      <w:rPr>
        <w:b/>
        <w:bCs/>
      </w:rPr>
      <w:tblPr/>
      <w:tcPr>
        <w:tcBorders>
          <w:top w:val="double" w:sz="6" w:space="0" w:color="ED7D31" w:themeColor="accent5"/>
          <w:left w:val="single" w:sz="8" w:space="0" w:color="ED7D31" w:themeColor="accent5"/>
          <w:bottom w:val="single" w:sz="8" w:space="0" w:color="ED7D31" w:themeColor="accent5"/>
          <w:right w:val="single" w:sz="8" w:space="0" w:color="ED7D31" w:themeColor="accent5"/>
        </w:tcBorders>
      </w:tcPr>
    </w:tblStylePr>
    <w:tblStylePr w:type="firstCol">
      <w:rPr>
        <w:b/>
        <w:bCs/>
      </w:rPr>
    </w:tblStylePr>
    <w:tblStylePr w:type="lastCol">
      <w:rPr>
        <w:b/>
        <w:bCs/>
      </w:rPr>
    </w:tblStylePr>
    <w:tblStylePr w:type="band1Vert">
      <w:tblPr/>
      <w:tcPr>
        <w:tcBorders>
          <w:top w:val="single" w:sz="8" w:space="0" w:color="ED7D31" w:themeColor="accent5"/>
          <w:left w:val="single" w:sz="8" w:space="0" w:color="ED7D31" w:themeColor="accent5"/>
          <w:bottom w:val="single" w:sz="8" w:space="0" w:color="ED7D31" w:themeColor="accent5"/>
          <w:right w:val="single" w:sz="8" w:space="0" w:color="ED7D31" w:themeColor="accent5"/>
        </w:tcBorders>
      </w:tcPr>
    </w:tblStylePr>
    <w:tblStylePr w:type="band1Horz">
      <w:tblPr/>
      <w:tcPr>
        <w:tcBorders>
          <w:top w:val="single" w:sz="8" w:space="0" w:color="ED7D31" w:themeColor="accent5"/>
          <w:left w:val="single" w:sz="8" w:space="0" w:color="ED7D31" w:themeColor="accent5"/>
          <w:bottom w:val="single" w:sz="8" w:space="0" w:color="ED7D31" w:themeColor="accent5"/>
          <w:right w:val="single" w:sz="8" w:space="0" w:color="ED7D31" w:themeColor="accent5"/>
        </w:tcBorders>
      </w:tcPr>
    </w:tblStylePr>
  </w:style>
  <w:style w:type="table" w:styleId="LightList-Accent6">
    <w:name w:val="Light List Accent 6"/>
    <w:basedOn w:val="TableNormal"/>
    <w:uiPriority w:val="61"/>
    <w:rsid w:val="001F7D91"/>
    <w:pPr>
      <w:spacing w:after="0" w:line="240" w:lineRule="auto"/>
    </w:pPr>
    <w:rPr>
      <w:sz w:val="22"/>
      <w:szCs w:val="22"/>
    </w:rPr>
    <w:tblPr>
      <w:tblStyleRowBandSize w:val="1"/>
      <w:tblStyleColBandSize w:val="1"/>
      <w:tblBorders>
        <w:top w:val="single" w:sz="8" w:space="0" w:color="434D54" w:themeColor="accent6"/>
        <w:left w:val="single" w:sz="8" w:space="0" w:color="434D54" w:themeColor="accent6"/>
        <w:bottom w:val="single" w:sz="8" w:space="0" w:color="434D54" w:themeColor="accent6"/>
        <w:right w:val="single" w:sz="8" w:space="0" w:color="434D54" w:themeColor="accent6"/>
      </w:tblBorders>
    </w:tblPr>
    <w:tblStylePr w:type="firstRow">
      <w:pPr>
        <w:spacing w:before="0" w:after="0" w:line="240" w:lineRule="auto"/>
      </w:pPr>
      <w:rPr>
        <w:b/>
        <w:bCs/>
        <w:color w:val="FFFFFF" w:themeColor="background1"/>
      </w:rPr>
      <w:tblPr/>
      <w:tcPr>
        <w:shd w:val="clear" w:color="auto" w:fill="434D54" w:themeFill="accent6"/>
      </w:tcPr>
    </w:tblStylePr>
    <w:tblStylePr w:type="lastRow">
      <w:pPr>
        <w:spacing w:before="0" w:after="0" w:line="240" w:lineRule="auto"/>
      </w:pPr>
      <w:rPr>
        <w:b/>
        <w:bCs/>
      </w:rPr>
      <w:tblPr/>
      <w:tcPr>
        <w:tcBorders>
          <w:top w:val="double" w:sz="6" w:space="0" w:color="434D54" w:themeColor="accent6"/>
          <w:left w:val="single" w:sz="8" w:space="0" w:color="434D54" w:themeColor="accent6"/>
          <w:bottom w:val="single" w:sz="8" w:space="0" w:color="434D54" w:themeColor="accent6"/>
          <w:right w:val="single" w:sz="8" w:space="0" w:color="434D54" w:themeColor="accent6"/>
        </w:tcBorders>
      </w:tcPr>
    </w:tblStylePr>
    <w:tblStylePr w:type="firstCol">
      <w:rPr>
        <w:b/>
        <w:bCs/>
      </w:rPr>
    </w:tblStylePr>
    <w:tblStylePr w:type="lastCol">
      <w:rPr>
        <w:b/>
        <w:bCs/>
      </w:rPr>
    </w:tblStylePr>
    <w:tblStylePr w:type="band1Vert">
      <w:tblPr/>
      <w:tcPr>
        <w:tcBorders>
          <w:top w:val="single" w:sz="8" w:space="0" w:color="434D54" w:themeColor="accent6"/>
          <w:left w:val="single" w:sz="8" w:space="0" w:color="434D54" w:themeColor="accent6"/>
          <w:bottom w:val="single" w:sz="8" w:space="0" w:color="434D54" w:themeColor="accent6"/>
          <w:right w:val="single" w:sz="8" w:space="0" w:color="434D54" w:themeColor="accent6"/>
        </w:tcBorders>
      </w:tcPr>
    </w:tblStylePr>
    <w:tblStylePr w:type="band1Horz">
      <w:tblPr/>
      <w:tcPr>
        <w:tcBorders>
          <w:top w:val="single" w:sz="8" w:space="0" w:color="434D54" w:themeColor="accent6"/>
          <w:left w:val="single" w:sz="8" w:space="0" w:color="434D54" w:themeColor="accent6"/>
          <w:bottom w:val="single" w:sz="8" w:space="0" w:color="434D54" w:themeColor="accent6"/>
          <w:right w:val="single" w:sz="8" w:space="0" w:color="434D54" w:themeColor="accent6"/>
        </w:tcBorders>
      </w:tcPr>
    </w:tblStylePr>
  </w:style>
  <w:style w:type="table" w:styleId="LightGrid">
    <w:name w:val="Light Grid"/>
    <w:basedOn w:val="TableNormal"/>
    <w:uiPriority w:val="62"/>
    <w:rsid w:val="001F7D91"/>
    <w:pPr>
      <w:spacing w:after="0" w:line="240" w:lineRule="auto"/>
    </w:pPr>
    <w:rPr>
      <w:sz w:val="22"/>
      <w:szCs w:val="22"/>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rsid w:val="001F7D91"/>
    <w:pPr>
      <w:spacing w:after="0" w:line="240" w:lineRule="auto"/>
    </w:pPr>
    <w:rPr>
      <w:sz w:val="22"/>
      <w:szCs w:val="22"/>
    </w:rPr>
    <w:tblPr>
      <w:tblStyleRowBandSize w:val="1"/>
      <w:tblStyleColBandSize w:val="1"/>
      <w:tblBorders>
        <w:top w:val="single" w:sz="8" w:space="0" w:color="E10D11" w:themeColor="accent1"/>
        <w:left w:val="single" w:sz="8" w:space="0" w:color="E10D11" w:themeColor="accent1"/>
        <w:bottom w:val="single" w:sz="8" w:space="0" w:color="E10D11" w:themeColor="accent1"/>
        <w:right w:val="single" w:sz="8" w:space="0" w:color="E10D11" w:themeColor="accent1"/>
        <w:insideH w:val="single" w:sz="8" w:space="0" w:color="E10D11" w:themeColor="accent1"/>
        <w:insideV w:val="single" w:sz="8" w:space="0" w:color="E10D1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0D11" w:themeColor="accent1"/>
          <w:left w:val="single" w:sz="8" w:space="0" w:color="E10D11" w:themeColor="accent1"/>
          <w:bottom w:val="single" w:sz="18" w:space="0" w:color="E10D11" w:themeColor="accent1"/>
          <w:right w:val="single" w:sz="8" w:space="0" w:color="E10D11" w:themeColor="accent1"/>
          <w:insideH w:val="nil"/>
          <w:insideV w:val="single" w:sz="8" w:space="0" w:color="E10D1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0D11" w:themeColor="accent1"/>
          <w:left w:val="single" w:sz="8" w:space="0" w:color="E10D11" w:themeColor="accent1"/>
          <w:bottom w:val="single" w:sz="8" w:space="0" w:color="E10D11" w:themeColor="accent1"/>
          <w:right w:val="single" w:sz="8" w:space="0" w:color="E10D11" w:themeColor="accent1"/>
          <w:insideH w:val="nil"/>
          <w:insideV w:val="single" w:sz="8" w:space="0" w:color="E10D1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0D11" w:themeColor="accent1"/>
          <w:left w:val="single" w:sz="8" w:space="0" w:color="E10D11" w:themeColor="accent1"/>
          <w:bottom w:val="single" w:sz="8" w:space="0" w:color="E10D11" w:themeColor="accent1"/>
          <w:right w:val="single" w:sz="8" w:space="0" w:color="E10D11" w:themeColor="accent1"/>
        </w:tcBorders>
      </w:tcPr>
    </w:tblStylePr>
    <w:tblStylePr w:type="band1Vert">
      <w:tblPr/>
      <w:tcPr>
        <w:tcBorders>
          <w:top w:val="single" w:sz="8" w:space="0" w:color="E10D11" w:themeColor="accent1"/>
          <w:left w:val="single" w:sz="8" w:space="0" w:color="E10D11" w:themeColor="accent1"/>
          <w:bottom w:val="single" w:sz="8" w:space="0" w:color="E10D11" w:themeColor="accent1"/>
          <w:right w:val="single" w:sz="8" w:space="0" w:color="E10D11" w:themeColor="accent1"/>
        </w:tcBorders>
        <w:shd w:val="clear" w:color="auto" w:fill="FBBFC0" w:themeFill="accent1" w:themeFillTint="3F"/>
      </w:tcPr>
    </w:tblStylePr>
    <w:tblStylePr w:type="band1Horz">
      <w:tblPr/>
      <w:tcPr>
        <w:tcBorders>
          <w:top w:val="single" w:sz="8" w:space="0" w:color="E10D11" w:themeColor="accent1"/>
          <w:left w:val="single" w:sz="8" w:space="0" w:color="E10D11" w:themeColor="accent1"/>
          <w:bottom w:val="single" w:sz="8" w:space="0" w:color="E10D11" w:themeColor="accent1"/>
          <w:right w:val="single" w:sz="8" w:space="0" w:color="E10D11" w:themeColor="accent1"/>
          <w:insideV w:val="single" w:sz="8" w:space="0" w:color="E10D11" w:themeColor="accent1"/>
        </w:tcBorders>
        <w:shd w:val="clear" w:color="auto" w:fill="FBBFC0" w:themeFill="accent1" w:themeFillTint="3F"/>
      </w:tcPr>
    </w:tblStylePr>
    <w:tblStylePr w:type="band2Horz">
      <w:tblPr/>
      <w:tcPr>
        <w:tcBorders>
          <w:top w:val="single" w:sz="8" w:space="0" w:color="E10D11" w:themeColor="accent1"/>
          <w:left w:val="single" w:sz="8" w:space="0" w:color="E10D11" w:themeColor="accent1"/>
          <w:bottom w:val="single" w:sz="8" w:space="0" w:color="E10D11" w:themeColor="accent1"/>
          <w:right w:val="single" w:sz="8" w:space="0" w:color="E10D11" w:themeColor="accent1"/>
          <w:insideV w:val="single" w:sz="8" w:space="0" w:color="E10D11" w:themeColor="accent1"/>
        </w:tcBorders>
      </w:tcPr>
    </w:tblStylePr>
  </w:style>
  <w:style w:type="table" w:styleId="LightGrid-Accent2">
    <w:name w:val="Light Grid Accent 2"/>
    <w:basedOn w:val="TableNormal"/>
    <w:uiPriority w:val="62"/>
    <w:rsid w:val="001F7D91"/>
    <w:pPr>
      <w:spacing w:after="0" w:line="240" w:lineRule="auto"/>
    </w:pPr>
    <w:rPr>
      <w:sz w:val="22"/>
      <w:szCs w:val="22"/>
    </w:rPr>
    <w:tblPr>
      <w:tblStyleRowBandSize w:val="1"/>
      <w:tblStyleColBandSize w:val="1"/>
      <w:tblBorders>
        <w:top w:val="single" w:sz="8" w:space="0" w:color="E5E53E" w:themeColor="accent2"/>
        <w:left w:val="single" w:sz="8" w:space="0" w:color="E5E53E" w:themeColor="accent2"/>
        <w:bottom w:val="single" w:sz="8" w:space="0" w:color="E5E53E" w:themeColor="accent2"/>
        <w:right w:val="single" w:sz="8" w:space="0" w:color="E5E53E" w:themeColor="accent2"/>
        <w:insideH w:val="single" w:sz="8" w:space="0" w:color="E5E53E" w:themeColor="accent2"/>
        <w:insideV w:val="single" w:sz="8" w:space="0" w:color="E5E53E"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E53E" w:themeColor="accent2"/>
          <w:left w:val="single" w:sz="8" w:space="0" w:color="E5E53E" w:themeColor="accent2"/>
          <w:bottom w:val="single" w:sz="18" w:space="0" w:color="E5E53E" w:themeColor="accent2"/>
          <w:right w:val="single" w:sz="8" w:space="0" w:color="E5E53E" w:themeColor="accent2"/>
          <w:insideH w:val="nil"/>
          <w:insideV w:val="single" w:sz="8" w:space="0" w:color="E5E53E"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E53E" w:themeColor="accent2"/>
          <w:left w:val="single" w:sz="8" w:space="0" w:color="E5E53E" w:themeColor="accent2"/>
          <w:bottom w:val="single" w:sz="8" w:space="0" w:color="E5E53E" w:themeColor="accent2"/>
          <w:right w:val="single" w:sz="8" w:space="0" w:color="E5E53E" w:themeColor="accent2"/>
          <w:insideH w:val="nil"/>
          <w:insideV w:val="single" w:sz="8" w:space="0" w:color="E5E53E"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E53E" w:themeColor="accent2"/>
          <w:left w:val="single" w:sz="8" w:space="0" w:color="E5E53E" w:themeColor="accent2"/>
          <w:bottom w:val="single" w:sz="8" w:space="0" w:color="E5E53E" w:themeColor="accent2"/>
          <w:right w:val="single" w:sz="8" w:space="0" w:color="E5E53E" w:themeColor="accent2"/>
        </w:tcBorders>
      </w:tcPr>
    </w:tblStylePr>
    <w:tblStylePr w:type="band1Vert">
      <w:tblPr/>
      <w:tcPr>
        <w:tcBorders>
          <w:top w:val="single" w:sz="8" w:space="0" w:color="E5E53E" w:themeColor="accent2"/>
          <w:left w:val="single" w:sz="8" w:space="0" w:color="E5E53E" w:themeColor="accent2"/>
          <w:bottom w:val="single" w:sz="8" w:space="0" w:color="E5E53E" w:themeColor="accent2"/>
          <w:right w:val="single" w:sz="8" w:space="0" w:color="E5E53E" w:themeColor="accent2"/>
        </w:tcBorders>
        <w:shd w:val="clear" w:color="auto" w:fill="F8F8CF" w:themeFill="accent2" w:themeFillTint="3F"/>
      </w:tcPr>
    </w:tblStylePr>
    <w:tblStylePr w:type="band1Horz">
      <w:tblPr/>
      <w:tcPr>
        <w:tcBorders>
          <w:top w:val="single" w:sz="8" w:space="0" w:color="E5E53E" w:themeColor="accent2"/>
          <w:left w:val="single" w:sz="8" w:space="0" w:color="E5E53E" w:themeColor="accent2"/>
          <w:bottom w:val="single" w:sz="8" w:space="0" w:color="E5E53E" w:themeColor="accent2"/>
          <w:right w:val="single" w:sz="8" w:space="0" w:color="E5E53E" w:themeColor="accent2"/>
          <w:insideV w:val="single" w:sz="8" w:space="0" w:color="E5E53E" w:themeColor="accent2"/>
        </w:tcBorders>
        <w:shd w:val="clear" w:color="auto" w:fill="F8F8CF" w:themeFill="accent2" w:themeFillTint="3F"/>
      </w:tcPr>
    </w:tblStylePr>
    <w:tblStylePr w:type="band2Horz">
      <w:tblPr/>
      <w:tcPr>
        <w:tcBorders>
          <w:top w:val="single" w:sz="8" w:space="0" w:color="E5E53E" w:themeColor="accent2"/>
          <w:left w:val="single" w:sz="8" w:space="0" w:color="E5E53E" w:themeColor="accent2"/>
          <w:bottom w:val="single" w:sz="8" w:space="0" w:color="E5E53E" w:themeColor="accent2"/>
          <w:right w:val="single" w:sz="8" w:space="0" w:color="E5E53E" w:themeColor="accent2"/>
          <w:insideV w:val="single" w:sz="8" w:space="0" w:color="E5E53E" w:themeColor="accent2"/>
        </w:tcBorders>
      </w:tcPr>
    </w:tblStylePr>
  </w:style>
  <w:style w:type="table" w:styleId="LightGrid-Accent3">
    <w:name w:val="Light Grid Accent 3"/>
    <w:basedOn w:val="TableNormal"/>
    <w:uiPriority w:val="62"/>
    <w:rsid w:val="001F7D91"/>
    <w:pPr>
      <w:spacing w:after="0" w:line="240" w:lineRule="auto"/>
    </w:pPr>
    <w:rPr>
      <w:sz w:val="22"/>
      <w:szCs w:val="22"/>
    </w:rPr>
    <w:tblPr>
      <w:tblStyleRowBandSize w:val="1"/>
      <w:tblStyleColBandSize w:val="1"/>
      <w:tblBorders>
        <w:top w:val="single" w:sz="8" w:space="0" w:color="3399CC" w:themeColor="accent3"/>
        <w:left w:val="single" w:sz="8" w:space="0" w:color="3399CC" w:themeColor="accent3"/>
        <w:bottom w:val="single" w:sz="8" w:space="0" w:color="3399CC" w:themeColor="accent3"/>
        <w:right w:val="single" w:sz="8" w:space="0" w:color="3399CC" w:themeColor="accent3"/>
        <w:insideH w:val="single" w:sz="8" w:space="0" w:color="3399CC" w:themeColor="accent3"/>
        <w:insideV w:val="single" w:sz="8" w:space="0" w:color="3399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99CC" w:themeColor="accent3"/>
          <w:left w:val="single" w:sz="8" w:space="0" w:color="3399CC" w:themeColor="accent3"/>
          <w:bottom w:val="single" w:sz="18" w:space="0" w:color="3399CC" w:themeColor="accent3"/>
          <w:right w:val="single" w:sz="8" w:space="0" w:color="3399CC" w:themeColor="accent3"/>
          <w:insideH w:val="nil"/>
          <w:insideV w:val="single" w:sz="8" w:space="0" w:color="3399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99CC" w:themeColor="accent3"/>
          <w:left w:val="single" w:sz="8" w:space="0" w:color="3399CC" w:themeColor="accent3"/>
          <w:bottom w:val="single" w:sz="8" w:space="0" w:color="3399CC" w:themeColor="accent3"/>
          <w:right w:val="single" w:sz="8" w:space="0" w:color="3399CC" w:themeColor="accent3"/>
          <w:insideH w:val="nil"/>
          <w:insideV w:val="single" w:sz="8" w:space="0" w:color="3399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99CC" w:themeColor="accent3"/>
          <w:left w:val="single" w:sz="8" w:space="0" w:color="3399CC" w:themeColor="accent3"/>
          <w:bottom w:val="single" w:sz="8" w:space="0" w:color="3399CC" w:themeColor="accent3"/>
          <w:right w:val="single" w:sz="8" w:space="0" w:color="3399CC" w:themeColor="accent3"/>
        </w:tcBorders>
      </w:tcPr>
    </w:tblStylePr>
    <w:tblStylePr w:type="band1Vert">
      <w:tblPr/>
      <w:tcPr>
        <w:tcBorders>
          <w:top w:val="single" w:sz="8" w:space="0" w:color="3399CC" w:themeColor="accent3"/>
          <w:left w:val="single" w:sz="8" w:space="0" w:color="3399CC" w:themeColor="accent3"/>
          <w:bottom w:val="single" w:sz="8" w:space="0" w:color="3399CC" w:themeColor="accent3"/>
          <w:right w:val="single" w:sz="8" w:space="0" w:color="3399CC" w:themeColor="accent3"/>
        </w:tcBorders>
        <w:shd w:val="clear" w:color="auto" w:fill="CCE5F2" w:themeFill="accent3" w:themeFillTint="3F"/>
      </w:tcPr>
    </w:tblStylePr>
    <w:tblStylePr w:type="band1Horz">
      <w:tblPr/>
      <w:tcPr>
        <w:tcBorders>
          <w:top w:val="single" w:sz="8" w:space="0" w:color="3399CC" w:themeColor="accent3"/>
          <w:left w:val="single" w:sz="8" w:space="0" w:color="3399CC" w:themeColor="accent3"/>
          <w:bottom w:val="single" w:sz="8" w:space="0" w:color="3399CC" w:themeColor="accent3"/>
          <w:right w:val="single" w:sz="8" w:space="0" w:color="3399CC" w:themeColor="accent3"/>
          <w:insideV w:val="single" w:sz="8" w:space="0" w:color="3399CC" w:themeColor="accent3"/>
        </w:tcBorders>
        <w:shd w:val="clear" w:color="auto" w:fill="CCE5F2" w:themeFill="accent3" w:themeFillTint="3F"/>
      </w:tcPr>
    </w:tblStylePr>
    <w:tblStylePr w:type="band2Horz">
      <w:tblPr/>
      <w:tcPr>
        <w:tcBorders>
          <w:top w:val="single" w:sz="8" w:space="0" w:color="3399CC" w:themeColor="accent3"/>
          <w:left w:val="single" w:sz="8" w:space="0" w:color="3399CC" w:themeColor="accent3"/>
          <w:bottom w:val="single" w:sz="8" w:space="0" w:color="3399CC" w:themeColor="accent3"/>
          <w:right w:val="single" w:sz="8" w:space="0" w:color="3399CC" w:themeColor="accent3"/>
          <w:insideV w:val="single" w:sz="8" w:space="0" w:color="3399CC" w:themeColor="accent3"/>
        </w:tcBorders>
      </w:tcPr>
    </w:tblStylePr>
  </w:style>
  <w:style w:type="table" w:styleId="LightGrid-Accent4">
    <w:name w:val="Light Grid Accent 4"/>
    <w:basedOn w:val="TableNormal"/>
    <w:uiPriority w:val="62"/>
    <w:rsid w:val="001F7D91"/>
    <w:pPr>
      <w:spacing w:after="0" w:line="240" w:lineRule="auto"/>
    </w:pPr>
    <w:rPr>
      <w:sz w:val="22"/>
      <w:szCs w:val="22"/>
    </w:rPr>
    <w:tblPr>
      <w:tblStyleRowBandSize w:val="1"/>
      <w:tblStyleColBandSize w:val="1"/>
      <w:tblBorders>
        <w:top w:val="single" w:sz="8" w:space="0" w:color="9DD7D8" w:themeColor="accent4"/>
        <w:left w:val="single" w:sz="8" w:space="0" w:color="9DD7D8" w:themeColor="accent4"/>
        <w:bottom w:val="single" w:sz="8" w:space="0" w:color="9DD7D8" w:themeColor="accent4"/>
        <w:right w:val="single" w:sz="8" w:space="0" w:color="9DD7D8" w:themeColor="accent4"/>
        <w:insideH w:val="single" w:sz="8" w:space="0" w:color="9DD7D8" w:themeColor="accent4"/>
        <w:insideV w:val="single" w:sz="8" w:space="0" w:color="9DD7D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D7D8" w:themeColor="accent4"/>
          <w:left w:val="single" w:sz="8" w:space="0" w:color="9DD7D8" w:themeColor="accent4"/>
          <w:bottom w:val="single" w:sz="18" w:space="0" w:color="9DD7D8" w:themeColor="accent4"/>
          <w:right w:val="single" w:sz="8" w:space="0" w:color="9DD7D8" w:themeColor="accent4"/>
          <w:insideH w:val="nil"/>
          <w:insideV w:val="single" w:sz="8" w:space="0" w:color="9DD7D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D7D8" w:themeColor="accent4"/>
          <w:left w:val="single" w:sz="8" w:space="0" w:color="9DD7D8" w:themeColor="accent4"/>
          <w:bottom w:val="single" w:sz="8" w:space="0" w:color="9DD7D8" w:themeColor="accent4"/>
          <w:right w:val="single" w:sz="8" w:space="0" w:color="9DD7D8" w:themeColor="accent4"/>
          <w:insideH w:val="nil"/>
          <w:insideV w:val="single" w:sz="8" w:space="0" w:color="9DD7D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D7D8" w:themeColor="accent4"/>
          <w:left w:val="single" w:sz="8" w:space="0" w:color="9DD7D8" w:themeColor="accent4"/>
          <w:bottom w:val="single" w:sz="8" w:space="0" w:color="9DD7D8" w:themeColor="accent4"/>
          <w:right w:val="single" w:sz="8" w:space="0" w:color="9DD7D8" w:themeColor="accent4"/>
        </w:tcBorders>
      </w:tcPr>
    </w:tblStylePr>
    <w:tblStylePr w:type="band1Vert">
      <w:tblPr/>
      <w:tcPr>
        <w:tcBorders>
          <w:top w:val="single" w:sz="8" w:space="0" w:color="9DD7D8" w:themeColor="accent4"/>
          <w:left w:val="single" w:sz="8" w:space="0" w:color="9DD7D8" w:themeColor="accent4"/>
          <w:bottom w:val="single" w:sz="8" w:space="0" w:color="9DD7D8" w:themeColor="accent4"/>
          <w:right w:val="single" w:sz="8" w:space="0" w:color="9DD7D8" w:themeColor="accent4"/>
        </w:tcBorders>
        <w:shd w:val="clear" w:color="auto" w:fill="E6F5F5" w:themeFill="accent4" w:themeFillTint="3F"/>
      </w:tcPr>
    </w:tblStylePr>
    <w:tblStylePr w:type="band1Horz">
      <w:tblPr/>
      <w:tcPr>
        <w:tcBorders>
          <w:top w:val="single" w:sz="8" w:space="0" w:color="9DD7D8" w:themeColor="accent4"/>
          <w:left w:val="single" w:sz="8" w:space="0" w:color="9DD7D8" w:themeColor="accent4"/>
          <w:bottom w:val="single" w:sz="8" w:space="0" w:color="9DD7D8" w:themeColor="accent4"/>
          <w:right w:val="single" w:sz="8" w:space="0" w:color="9DD7D8" w:themeColor="accent4"/>
          <w:insideV w:val="single" w:sz="8" w:space="0" w:color="9DD7D8" w:themeColor="accent4"/>
        </w:tcBorders>
        <w:shd w:val="clear" w:color="auto" w:fill="E6F5F5" w:themeFill="accent4" w:themeFillTint="3F"/>
      </w:tcPr>
    </w:tblStylePr>
    <w:tblStylePr w:type="band2Horz">
      <w:tblPr/>
      <w:tcPr>
        <w:tcBorders>
          <w:top w:val="single" w:sz="8" w:space="0" w:color="9DD7D8" w:themeColor="accent4"/>
          <w:left w:val="single" w:sz="8" w:space="0" w:color="9DD7D8" w:themeColor="accent4"/>
          <w:bottom w:val="single" w:sz="8" w:space="0" w:color="9DD7D8" w:themeColor="accent4"/>
          <w:right w:val="single" w:sz="8" w:space="0" w:color="9DD7D8" w:themeColor="accent4"/>
          <w:insideV w:val="single" w:sz="8" w:space="0" w:color="9DD7D8" w:themeColor="accent4"/>
        </w:tcBorders>
      </w:tcPr>
    </w:tblStylePr>
  </w:style>
  <w:style w:type="table" w:styleId="LightGrid-Accent5">
    <w:name w:val="Light Grid Accent 5"/>
    <w:basedOn w:val="TableNormal"/>
    <w:uiPriority w:val="62"/>
    <w:rsid w:val="001F7D91"/>
    <w:pPr>
      <w:spacing w:after="0" w:line="240" w:lineRule="auto"/>
    </w:pPr>
    <w:rPr>
      <w:sz w:val="22"/>
      <w:szCs w:val="22"/>
    </w:rPr>
    <w:tblPr>
      <w:tblStyleRowBandSize w:val="1"/>
      <w:tblStyleColBandSize w:val="1"/>
      <w:tblBorders>
        <w:top w:val="single" w:sz="8" w:space="0" w:color="ED7D31" w:themeColor="accent5"/>
        <w:left w:val="single" w:sz="8" w:space="0" w:color="ED7D31" w:themeColor="accent5"/>
        <w:bottom w:val="single" w:sz="8" w:space="0" w:color="ED7D31" w:themeColor="accent5"/>
        <w:right w:val="single" w:sz="8" w:space="0" w:color="ED7D31" w:themeColor="accent5"/>
        <w:insideH w:val="single" w:sz="8" w:space="0" w:color="ED7D31" w:themeColor="accent5"/>
        <w:insideV w:val="single" w:sz="8" w:space="0" w:color="ED7D3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5"/>
          <w:left w:val="single" w:sz="8" w:space="0" w:color="ED7D31" w:themeColor="accent5"/>
          <w:bottom w:val="single" w:sz="18" w:space="0" w:color="ED7D31" w:themeColor="accent5"/>
          <w:right w:val="single" w:sz="8" w:space="0" w:color="ED7D31" w:themeColor="accent5"/>
          <w:insideH w:val="nil"/>
          <w:insideV w:val="single" w:sz="8" w:space="0" w:color="ED7D3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5"/>
          <w:left w:val="single" w:sz="8" w:space="0" w:color="ED7D31" w:themeColor="accent5"/>
          <w:bottom w:val="single" w:sz="8" w:space="0" w:color="ED7D31" w:themeColor="accent5"/>
          <w:right w:val="single" w:sz="8" w:space="0" w:color="ED7D31" w:themeColor="accent5"/>
          <w:insideH w:val="nil"/>
          <w:insideV w:val="single" w:sz="8" w:space="0" w:color="ED7D3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5"/>
          <w:left w:val="single" w:sz="8" w:space="0" w:color="ED7D31" w:themeColor="accent5"/>
          <w:bottom w:val="single" w:sz="8" w:space="0" w:color="ED7D31" w:themeColor="accent5"/>
          <w:right w:val="single" w:sz="8" w:space="0" w:color="ED7D31" w:themeColor="accent5"/>
        </w:tcBorders>
      </w:tcPr>
    </w:tblStylePr>
    <w:tblStylePr w:type="band1Vert">
      <w:tblPr/>
      <w:tcPr>
        <w:tcBorders>
          <w:top w:val="single" w:sz="8" w:space="0" w:color="ED7D31" w:themeColor="accent5"/>
          <w:left w:val="single" w:sz="8" w:space="0" w:color="ED7D31" w:themeColor="accent5"/>
          <w:bottom w:val="single" w:sz="8" w:space="0" w:color="ED7D31" w:themeColor="accent5"/>
          <w:right w:val="single" w:sz="8" w:space="0" w:color="ED7D31" w:themeColor="accent5"/>
        </w:tcBorders>
        <w:shd w:val="clear" w:color="auto" w:fill="FADECB" w:themeFill="accent5" w:themeFillTint="3F"/>
      </w:tcPr>
    </w:tblStylePr>
    <w:tblStylePr w:type="band1Horz">
      <w:tblPr/>
      <w:tcPr>
        <w:tcBorders>
          <w:top w:val="single" w:sz="8" w:space="0" w:color="ED7D31" w:themeColor="accent5"/>
          <w:left w:val="single" w:sz="8" w:space="0" w:color="ED7D31" w:themeColor="accent5"/>
          <w:bottom w:val="single" w:sz="8" w:space="0" w:color="ED7D31" w:themeColor="accent5"/>
          <w:right w:val="single" w:sz="8" w:space="0" w:color="ED7D31" w:themeColor="accent5"/>
          <w:insideV w:val="single" w:sz="8" w:space="0" w:color="ED7D31" w:themeColor="accent5"/>
        </w:tcBorders>
        <w:shd w:val="clear" w:color="auto" w:fill="FADECB" w:themeFill="accent5" w:themeFillTint="3F"/>
      </w:tcPr>
    </w:tblStylePr>
    <w:tblStylePr w:type="band2Horz">
      <w:tblPr/>
      <w:tcPr>
        <w:tcBorders>
          <w:top w:val="single" w:sz="8" w:space="0" w:color="ED7D31" w:themeColor="accent5"/>
          <w:left w:val="single" w:sz="8" w:space="0" w:color="ED7D31" w:themeColor="accent5"/>
          <w:bottom w:val="single" w:sz="8" w:space="0" w:color="ED7D31" w:themeColor="accent5"/>
          <w:right w:val="single" w:sz="8" w:space="0" w:color="ED7D31" w:themeColor="accent5"/>
          <w:insideV w:val="single" w:sz="8" w:space="0" w:color="ED7D31" w:themeColor="accent5"/>
        </w:tcBorders>
      </w:tcPr>
    </w:tblStylePr>
  </w:style>
  <w:style w:type="table" w:styleId="LightGrid-Accent6">
    <w:name w:val="Light Grid Accent 6"/>
    <w:basedOn w:val="TableNormal"/>
    <w:uiPriority w:val="62"/>
    <w:rsid w:val="001F7D91"/>
    <w:pPr>
      <w:spacing w:after="0" w:line="240" w:lineRule="auto"/>
    </w:pPr>
    <w:rPr>
      <w:sz w:val="22"/>
      <w:szCs w:val="22"/>
    </w:rPr>
    <w:tblPr>
      <w:tblStyleRowBandSize w:val="1"/>
      <w:tblStyleColBandSize w:val="1"/>
      <w:tblBorders>
        <w:top w:val="single" w:sz="8" w:space="0" w:color="434D54" w:themeColor="accent6"/>
        <w:left w:val="single" w:sz="8" w:space="0" w:color="434D54" w:themeColor="accent6"/>
        <w:bottom w:val="single" w:sz="8" w:space="0" w:color="434D54" w:themeColor="accent6"/>
        <w:right w:val="single" w:sz="8" w:space="0" w:color="434D54" w:themeColor="accent6"/>
        <w:insideH w:val="single" w:sz="8" w:space="0" w:color="434D54" w:themeColor="accent6"/>
        <w:insideV w:val="single" w:sz="8" w:space="0" w:color="434D5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34D54" w:themeColor="accent6"/>
          <w:left w:val="single" w:sz="8" w:space="0" w:color="434D54" w:themeColor="accent6"/>
          <w:bottom w:val="single" w:sz="18" w:space="0" w:color="434D54" w:themeColor="accent6"/>
          <w:right w:val="single" w:sz="8" w:space="0" w:color="434D54" w:themeColor="accent6"/>
          <w:insideH w:val="nil"/>
          <w:insideV w:val="single" w:sz="8" w:space="0" w:color="434D5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34D54" w:themeColor="accent6"/>
          <w:left w:val="single" w:sz="8" w:space="0" w:color="434D54" w:themeColor="accent6"/>
          <w:bottom w:val="single" w:sz="8" w:space="0" w:color="434D54" w:themeColor="accent6"/>
          <w:right w:val="single" w:sz="8" w:space="0" w:color="434D54" w:themeColor="accent6"/>
          <w:insideH w:val="nil"/>
          <w:insideV w:val="single" w:sz="8" w:space="0" w:color="434D5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34D54" w:themeColor="accent6"/>
          <w:left w:val="single" w:sz="8" w:space="0" w:color="434D54" w:themeColor="accent6"/>
          <w:bottom w:val="single" w:sz="8" w:space="0" w:color="434D54" w:themeColor="accent6"/>
          <w:right w:val="single" w:sz="8" w:space="0" w:color="434D54" w:themeColor="accent6"/>
        </w:tcBorders>
      </w:tcPr>
    </w:tblStylePr>
    <w:tblStylePr w:type="band1Vert">
      <w:tblPr/>
      <w:tcPr>
        <w:tcBorders>
          <w:top w:val="single" w:sz="8" w:space="0" w:color="434D54" w:themeColor="accent6"/>
          <w:left w:val="single" w:sz="8" w:space="0" w:color="434D54" w:themeColor="accent6"/>
          <w:bottom w:val="single" w:sz="8" w:space="0" w:color="434D54" w:themeColor="accent6"/>
          <w:right w:val="single" w:sz="8" w:space="0" w:color="434D54" w:themeColor="accent6"/>
        </w:tcBorders>
        <w:shd w:val="clear" w:color="auto" w:fill="CDD3D7" w:themeFill="accent6" w:themeFillTint="3F"/>
      </w:tcPr>
    </w:tblStylePr>
    <w:tblStylePr w:type="band1Horz">
      <w:tblPr/>
      <w:tcPr>
        <w:tcBorders>
          <w:top w:val="single" w:sz="8" w:space="0" w:color="434D54" w:themeColor="accent6"/>
          <w:left w:val="single" w:sz="8" w:space="0" w:color="434D54" w:themeColor="accent6"/>
          <w:bottom w:val="single" w:sz="8" w:space="0" w:color="434D54" w:themeColor="accent6"/>
          <w:right w:val="single" w:sz="8" w:space="0" w:color="434D54" w:themeColor="accent6"/>
          <w:insideV w:val="single" w:sz="8" w:space="0" w:color="434D54" w:themeColor="accent6"/>
        </w:tcBorders>
        <w:shd w:val="clear" w:color="auto" w:fill="CDD3D7" w:themeFill="accent6" w:themeFillTint="3F"/>
      </w:tcPr>
    </w:tblStylePr>
    <w:tblStylePr w:type="band2Horz">
      <w:tblPr/>
      <w:tcPr>
        <w:tcBorders>
          <w:top w:val="single" w:sz="8" w:space="0" w:color="434D54" w:themeColor="accent6"/>
          <w:left w:val="single" w:sz="8" w:space="0" w:color="434D54" w:themeColor="accent6"/>
          <w:bottom w:val="single" w:sz="8" w:space="0" w:color="434D54" w:themeColor="accent6"/>
          <w:right w:val="single" w:sz="8" w:space="0" w:color="434D54" w:themeColor="accent6"/>
          <w:insideV w:val="single" w:sz="8" w:space="0" w:color="434D54" w:themeColor="accent6"/>
        </w:tcBorders>
      </w:tcPr>
    </w:tblStylePr>
  </w:style>
  <w:style w:type="table" w:styleId="MediumShading1">
    <w:name w:val="Medium Shading 1"/>
    <w:basedOn w:val="TableNormal"/>
    <w:uiPriority w:val="63"/>
    <w:rsid w:val="001F7D91"/>
    <w:pPr>
      <w:spacing w:after="0" w:line="240" w:lineRule="auto"/>
    </w:pPr>
    <w:rPr>
      <w:sz w:val="22"/>
      <w:szCs w:val="22"/>
    </w:r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F7D91"/>
    <w:pPr>
      <w:spacing w:after="0" w:line="240" w:lineRule="auto"/>
    </w:pPr>
    <w:rPr>
      <w:sz w:val="22"/>
      <w:szCs w:val="22"/>
    </w:rPr>
    <w:tblPr>
      <w:tblStyleRowBandSize w:val="1"/>
      <w:tblStyleColBandSize w:val="1"/>
      <w:tblBorders>
        <w:top w:val="single" w:sz="8" w:space="0" w:color="F33E41" w:themeColor="accent1" w:themeTint="BF"/>
        <w:left w:val="single" w:sz="8" w:space="0" w:color="F33E41" w:themeColor="accent1" w:themeTint="BF"/>
        <w:bottom w:val="single" w:sz="8" w:space="0" w:color="F33E41" w:themeColor="accent1" w:themeTint="BF"/>
        <w:right w:val="single" w:sz="8" w:space="0" w:color="F33E41" w:themeColor="accent1" w:themeTint="BF"/>
        <w:insideH w:val="single" w:sz="8" w:space="0" w:color="F33E41" w:themeColor="accent1" w:themeTint="BF"/>
      </w:tblBorders>
    </w:tblPr>
    <w:tblStylePr w:type="firstRow">
      <w:pPr>
        <w:spacing w:before="0" w:after="0" w:line="240" w:lineRule="auto"/>
      </w:pPr>
      <w:rPr>
        <w:b/>
        <w:bCs/>
        <w:color w:val="FFFFFF" w:themeColor="background1"/>
      </w:rPr>
      <w:tblPr/>
      <w:tcPr>
        <w:tcBorders>
          <w:top w:val="single" w:sz="8" w:space="0" w:color="F33E41" w:themeColor="accent1" w:themeTint="BF"/>
          <w:left w:val="single" w:sz="8" w:space="0" w:color="F33E41" w:themeColor="accent1" w:themeTint="BF"/>
          <w:bottom w:val="single" w:sz="8" w:space="0" w:color="F33E41" w:themeColor="accent1" w:themeTint="BF"/>
          <w:right w:val="single" w:sz="8" w:space="0" w:color="F33E41" w:themeColor="accent1" w:themeTint="BF"/>
          <w:insideH w:val="nil"/>
          <w:insideV w:val="nil"/>
        </w:tcBorders>
        <w:shd w:val="clear" w:color="auto" w:fill="E10D11" w:themeFill="accent1"/>
      </w:tcPr>
    </w:tblStylePr>
    <w:tblStylePr w:type="lastRow">
      <w:pPr>
        <w:spacing w:before="0" w:after="0" w:line="240" w:lineRule="auto"/>
      </w:pPr>
      <w:rPr>
        <w:b/>
        <w:bCs/>
      </w:rPr>
      <w:tblPr/>
      <w:tcPr>
        <w:tcBorders>
          <w:top w:val="double" w:sz="6" w:space="0" w:color="F33E41" w:themeColor="accent1" w:themeTint="BF"/>
          <w:left w:val="single" w:sz="8" w:space="0" w:color="F33E41" w:themeColor="accent1" w:themeTint="BF"/>
          <w:bottom w:val="single" w:sz="8" w:space="0" w:color="F33E41" w:themeColor="accent1" w:themeTint="BF"/>
          <w:right w:val="single" w:sz="8" w:space="0" w:color="F33E41"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BFC0" w:themeFill="accent1" w:themeFillTint="3F"/>
      </w:tcPr>
    </w:tblStylePr>
    <w:tblStylePr w:type="band1Horz">
      <w:tblPr/>
      <w:tcPr>
        <w:tcBorders>
          <w:insideH w:val="nil"/>
          <w:insideV w:val="nil"/>
        </w:tcBorders>
        <w:shd w:val="clear" w:color="auto" w:fill="FBBF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F7D91"/>
    <w:pPr>
      <w:spacing w:after="0" w:line="240" w:lineRule="auto"/>
    </w:pPr>
    <w:rPr>
      <w:sz w:val="22"/>
      <w:szCs w:val="22"/>
    </w:rPr>
    <w:tblPr>
      <w:tblStyleRowBandSize w:val="1"/>
      <w:tblStyleColBandSize w:val="1"/>
      <w:tblBorders>
        <w:top w:val="single" w:sz="8" w:space="0" w:color="EBEB6E" w:themeColor="accent2" w:themeTint="BF"/>
        <w:left w:val="single" w:sz="8" w:space="0" w:color="EBEB6E" w:themeColor="accent2" w:themeTint="BF"/>
        <w:bottom w:val="single" w:sz="8" w:space="0" w:color="EBEB6E" w:themeColor="accent2" w:themeTint="BF"/>
        <w:right w:val="single" w:sz="8" w:space="0" w:color="EBEB6E" w:themeColor="accent2" w:themeTint="BF"/>
        <w:insideH w:val="single" w:sz="8" w:space="0" w:color="EBEB6E" w:themeColor="accent2" w:themeTint="BF"/>
      </w:tblBorders>
    </w:tblPr>
    <w:tblStylePr w:type="firstRow">
      <w:pPr>
        <w:spacing w:before="0" w:after="0" w:line="240" w:lineRule="auto"/>
      </w:pPr>
      <w:rPr>
        <w:b/>
        <w:bCs/>
        <w:color w:val="FFFFFF" w:themeColor="background1"/>
      </w:rPr>
      <w:tblPr/>
      <w:tcPr>
        <w:tcBorders>
          <w:top w:val="single" w:sz="8" w:space="0" w:color="EBEB6E" w:themeColor="accent2" w:themeTint="BF"/>
          <w:left w:val="single" w:sz="8" w:space="0" w:color="EBEB6E" w:themeColor="accent2" w:themeTint="BF"/>
          <w:bottom w:val="single" w:sz="8" w:space="0" w:color="EBEB6E" w:themeColor="accent2" w:themeTint="BF"/>
          <w:right w:val="single" w:sz="8" w:space="0" w:color="EBEB6E" w:themeColor="accent2" w:themeTint="BF"/>
          <w:insideH w:val="nil"/>
          <w:insideV w:val="nil"/>
        </w:tcBorders>
        <w:shd w:val="clear" w:color="auto" w:fill="E5E53E" w:themeFill="accent2"/>
      </w:tcPr>
    </w:tblStylePr>
    <w:tblStylePr w:type="lastRow">
      <w:pPr>
        <w:spacing w:before="0" w:after="0" w:line="240" w:lineRule="auto"/>
      </w:pPr>
      <w:rPr>
        <w:b/>
        <w:bCs/>
      </w:rPr>
      <w:tblPr/>
      <w:tcPr>
        <w:tcBorders>
          <w:top w:val="double" w:sz="6" w:space="0" w:color="EBEB6E" w:themeColor="accent2" w:themeTint="BF"/>
          <w:left w:val="single" w:sz="8" w:space="0" w:color="EBEB6E" w:themeColor="accent2" w:themeTint="BF"/>
          <w:bottom w:val="single" w:sz="8" w:space="0" w:color="EBEB6E" w:themeColor="accent2" w:themeTint="BF"/>
          <w:right w:val="single" w:sz="8" w:space="0" w:color="EBEB6E"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F8CF" w:themeFill="accent2" w:themeFillTint="3F"/>
      </w:tcPr>
    </w:tblStylePr>
    <w:tblStylePr w:type="band1Horz">
      <w:tblPr/>
      <w:tcPr>
        <w:tcBorders>
          <w:insideH w:val="nil"/>
          <w:insideV w:val="nil"/>
        </w:tcBorders>
        <w:shd w:val="clear" w:color="auto" w:fill="F8F8C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F7D91"/>
    <w:pPr>
      <w:spacing w:after="0" w:line="240" w:lineRule="auto"/>
    </w:pPr>
    <w:rPr>
      <w:sz w:val="22"/>
      <w:szCs w:val="22"/>
    </w:rPr>
    <w:tblPr>
      <w:tblStyleRowBandSize w:val="1"/>
      <w:tblStyleColBandSize w:val="1"/>
      <w:tblBorders>
        <w:top w:val="single" w:sz="8" w:space="0" w:color="66B2D8" w:themeColor="accent3" w:themeTint="BF"/>
        <w:left w:val="single" w:sz="8" w:space="0" w:color="66B2D8" w:themeColor="accent3" w:themeTint="BF"/>
        <w:bottom w:val="single" w:sz="8" w:space="0" w:color="66B2D8" w:themeColor="accent3" w:themeTint="BF"/>
        <w:right w:val="single" w:sz="8" w:space="0" w:color="66B2D8" w:themeColor="accent3" w:themeTint="BF"/>
        <w:insideH w:val="single" w:sz="8" w:space="0" w:color="66B2D8" w:themeColor="accent3" w:themeTint="BF"/>
      </w:tblBorders>
    </w:tblPr>
    <w:tblStylePr w:type="firstRow">
      <w:pPr>
        <w:spacing w:before="0" w:after="0" w:line="240" w:lineRule="auto"/>
      </w:pPr>
      <w:rPr>
        <w:b/>
        <w:bCs/>
        <w:color w:val="FFFFFF" w:themeColor="background1"/>
      </w:rPr>
      <w:tblPr/>
      <w:tcPr>
        <w:tcBorders>
          <w:top w:val="single" w:sz="8" w:space="0" w:color="66B2D8" w:themeColor="accent3" w:themeTint="BF"/>
          <w:left w:val="single" w:sz="8" w:space="0" w:color="66B2D8" w:themeColor="accent3" w:themeTint="BF"/>
          <w:bottom w:val="single" w:sz="8" w:space="0" w:color="66B2D8" w:themeColor="accent3" w:themeTint="BF"/>
          <w:right w:val="single" w:sz="8" w:space="0" w:color="66B2D8" w:themeColor="accent3" w:themeTint="BF"/>
          <w:insideH w:val="nil"/>
          <w:insideV w:val="nil"/>
        </w:tcBorders>
        <w:shd w:val="clear" w:color="auto" w:fill="3399CC" w:themeFill="accent3"/>
      </w:tcPr>
    </w:tblStylePr>
    <w:tblStylePr w:type="lastRow">
      <w:pPr>
        <w:spacing w:before="0" w:after="0" w:line="240" w:lineRule="auto"/>
      </w:pPr>
      <w:rPr>
        <w:b/>
        <w:bCs/>
      </w:rPr>
      <w:tblPr/>
      <w:tcPr>
        <w:tcBorders>
          <w:top w:val="double" w:sz="6" w:space="0" w:color="66B2D8" w:themeColor="accent3" w:themeTint="BF"/>
          <w:left w:val="single" w:sz="8" w:space="0" w:color="66B2D8" w:themeColor="accent3" w:themeTint="BF"/>
          <w:bottom w:val="single" w:sz="8" w:space="0" w:color="66B2D8" w:themeColor="accent3" w:themeTint="BF"/>
          <w:right w:val="single" w:sz="8" w:space="0" w:color="66B2D8" w:themeColor="accent3" w:themeTint="BF"/>
          <w:insideH w:val="nil"/>
          <w:insideV w:val="nil"/>
        </w:tcBorders>
      </w:tcPr>
    </w:tblStylePr>
    <w:tblStylePr w:type="firstCol">
      <w:rPr>
        <w:b/>
        <w:bCs/>
      </w:rPr>
    </w:tblStylePr>
    <w:tblStylePr w:type="lastCol">
      <w:rPr>
        <w:b/>
        <w:bCs/>
      </w:rPr>
    </w:tblStylePr>
    <w:tblStylePr w:type="band1Vert">
      <w:tblPr/>
      <w:tcPr>
        <w:shd w:val="clear" w:color="auto" w:fill="CCE5F2" w:themeFill="accent3" w:themeFillTint="3F"/>
      </w:tcPr>
    </w:tblStylePr>
    <w:tblStylePr w:type="band1Horz">
      <w:tblPr/>
      <w:tcPr>
        <w:tcBorders>
          <w:insideH w:val="nil"/>
          <w:insideV w:val="nil"/>
        </w:tcBorders>
        <w:shd w:val="clear" w:color="auto" w:fill="CCE5F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F7D91"/>
    <w:pPr>
      <w:spacing w:after="0" w:line="240" w:lineRule="auto"/>
    </w:pPr>
    <w:rPr>
      <w:sz w:val="22"/>
      <w:szCs w:val="22"/>
    </w:rPr>
    <w:tblPr>
      <w:tblStyleRowBandSize w:val="1"/>
      <w:tblStyleColBandSize w:val="1"/>
      <w:tblBorders>
        <w:top w:val="single" w:sz="8" w:space="0" w:color="B5E0E1" w:themeColor="accent4" w:themeTint="BF"/>
        <w:left w:val="single" w:sz="8" w:space="0" w:color="B5E0E1" w:themeColor="accent4" w:themeTint="BF"/>
        <w:bottom w:val="single" w:sz="8" w:space="0" w:color="B5E0E1" w:themeColor="accent4" w:themeTint="BF"/>
        <w:right w:val="single" w:sz="8" w:space="0" w:color="B5E0E1" w:themeColor="accent4" w:themeTint="BF"/>
        <w:insideH w:val="single" w:sz="8" w:space="0" w:color="B5E0E1" w:themeColor="accent4" w:themeTint="BF"/>
      </w:tblBorders>
    </w:tblPr>
    <w:tblStylePr w:type="firstRow">
      <w:pPr>
        <w:spacing w:before="0" w:after="0" w:line="240" w:lineRule="auto"/>
      </w:pPr>
      <w:rPr>
        <w:b/>
        <w:bCs/>
        <w:color w:val="FFFFFF" w:themeColor="background1"/>
      </w:rPr>
      <w:tblPr/>
      <w:tcPr>
        <w:tcBorders>
          <w:top w:val="single" w:sz="8" w:space="0" w:color="B5E0E1" w:themeColor="accent4" w:themeTint="BF"/>
          <w:left w:val="single" w:sz="8" w:space="0" w:color="B5E0E1" w:themeColor="accent4" w:themeTint="BF"/>
          <w:bottom w:val="single" w:sz="8" w:space="0" w:color="B5E0E1" w:themeColor="accent4" w:themeTint="BF"/>
          <w:right w:val="single" w:sz="8" w:space="0" w:color="B5E0E1" w:themeColor="accent4" w:themeTint="BF"/>
          <w:insideH w:val="nil"/>
          <w:insideV w:val="nil"/>
        </w:tcBorders>
        <w:shd w:val="clear" w:color="auto" w:fill="9DD7D8" w:themeFill="accent4"/>
      </w:tcPr>
    </w:tblStylePr>
    <w:tblStylePr w:type="lastRow">
      <w:pPr>
        <w:spacing w:before="0" w:after="0" w:line="240" w:lineRule="auto"/>
      </w:pPr>
      <w:rPr>
        <w:b/>
        <w:bCs/>
      </w:rPr>
      <w:tblPr/>
      <w:tcPr>
        <w:tcBorders>
          <w:top w:val="double" w:sz="6" w:space="0" w:color="B5E0E1" w:themeColor="accent4" w:themeTint="BF"/>
          <w:left w:val="single" w:sz="8" w:space="0" w:color="B5E0E1" w:themeColor="accent4" w:themeTint="BF"/>
          <w:bottom w:val="single" w:sz="8" w:space="0" w:color="B5E0E1" w:themeColor="accent4" w:themeTint="BF"/>
          <w:right w:val="single" w:sz="8" w:space="0" w:color="B5E0E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6F5F5" w:themeFill="accent4" w:themeFillTint="3F"/>
      </w:tcPr>
    </w:tblStylePr>
    <w:tblStylePr w:type="band1Horz">
      <w:tblPr/>
      <w:tcPr>
        <w:tcBorders>
          <w:insideH w:val="nil"/>
          <w:insideV w:val="nil"/>
        </w:tcBorders>
        <w:shd w:val="clear" w:color="auto" w:fill="E6F5F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F7D91"/>
    <w:pPr>
      <w:spacing w:after="0" w:line="240" w:lineRule="auto"/>
    </w:pPr>
    <w:rPr>
      <w:sz w:val="22"/>
      <w:szCs w:val="22"/>
    </w:rPr>
    <w:tblPr>
      <w:tblStyleRowBandSize w:val="1"/>
      <w:tblStyleColBandSize w:val="1"/>
      <w:tblBorders>
        <w:top w:val="single" w:sz="8" w:space="0" w:color="F19D64" w:themeColor="accent5" w:themeTint="BF"/>
        <w:left w:val="single" w:sz="8" w:space="0" w:color="F19D64" w:themeColor="accent5" w:themeTint="BF"/>
        <w:bottom w:val="single" w:sz="8" w:space="0" w:color="F19D64" w:themeColor="accent5" w:themeTint="BF"/>
        <w:right w:val="single" w:sz="8" w:space="0" w:color="F19D64" w:themeColor="accent5" w:themeTint="BF"/>
        <w:insideH w:val="single" w:sz="8" w:space="0" w:color="F19D64" w:themeColor="accent5" w:themeTint="BF"/>
      </w:tblBorders>
    </w:tblPr>
    <w:tblStylePr w:type="firstRow">
      <w:pPr>
        <w:spacing w:before="0" w:after="0" w:line="240" w:lineRule="auto"/>
      </w:pPr>
      <w:rPr>
        <w:b/>
        <w:bCs/>
        <w:color w:val="FFFFFF" w:themeColor="background1"/>
      </w:rPr>
      <w:tblPr/>
      <w:tcPr>
        <w:tcBorders>
          <w:top w:val="single" w:sz="8" w:space="0" w:color="F19D64" w:themeColor="accent5" w:themeTint="BF"/>
          <w:left w:val="single" w:sz="8" w:space="0" w:color="F19D64" w:themeColor="accent5" w:themeTint="BF"/>
          <w:bottom w:val="single" w:sz="8" w:space="0" w:color="F19D64" w:themeColor="accent5" w:themeTint="BF"/>
          <w:right w:val="single" w:sz="8" w:space="0" w:color="F19D64" w:themeColor="accent5" w:themeTint="BF"/>
          <w:insideH w:val="nil"/>
          <w:insideV w:val="nil"/>
        </w:tcBorders>
        <w:shd w:val="clear" w:color="auto" w:fill="ED7D31" w:themeFill="accent5"/>
      </w:tcPr>
    </w:tblStylePr>
    <w:tblStylePr w:type="lastRow">
      <w:pPr>
        <w:spacing w:before="0" w:after="0" w:line="240" w:lineRule="auto"/>
      </w:pPr>
      <w:rPr>
        <w:b/>
        <w:bCs/>
      </w:rPr>
      <w:tblPr/>
      <w:tcPr>
        <w:tcBorders>
          <w:top w:val="double" w:sz="6" w:space="0" w:color="F19D64" w:themeColor="accent5" w:themeTint="BF"/>
          <w:left w:val="single" w:sz="8" w:space="0" w:color="F19D64" w:themeColor="accent5" w:themeTint="BF"/>
          <w:bottom w:val="single" w:sz="8" w:space="0" w:color="F19D64" w:themeColor="accent5" w:themeTint="BF"/>
          <w:right w:val="single" w:sz="8" w:space="0" w:color="F19D6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5" w:themeFillTint="3F"/>
      </w:tcPr>
    </w:tblStylePr>
    <w:tblStylePr w:type="band1Horz">
      <w:tblPr/>
      <w:tcPr>
        <w:tcBorders>
          <w:insideH w:val="nil"/>
          <w:insideV w:val="nil"/>
        </w:tcBorders>
        <w:shd w:val="clear" w:color="auto" w:fill="FADE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F7D91"/>
    <w:pPr>
      <w:spacing w:after="0" w:line="240" w:lineRule="auto"/>
    </w:pPr>
    <w:rPr>
      <w:sz w:val="22"/>
      <w:szCs w:val="22"/>
    </w:rPr>
    <w:tblPr>
      <w:tblStyleRowBandSize w:val="1"/>
      <w:tblStyleColBandSize w:val="1"/>
      <w:tblBorders>
        <w:top w:val="single" w:sz="8" w:space="0" w:color="6B7A86" w:themeColor="accent6" w:themeTint="BF"/>
        <w:left w:val="single" w:sz="8" w:space="0" w:color="6B7A86" w:themeColor="accent6" w:themeTint="BF"/>
        <w:bottom w:val="single" w:sz="8" w:space="0" w:color="6B7A86" w:themeColor="accent6" w:themeTint="BF"/>
        <w:right w:val="single" w:sz="8" w:space="0" w:color="6B7A86" w:themeColor="accent6" w:themeTint="BF"/>
        <w:insideH w:val="single" w:sz="8" w:space="0" w:color="6B7A86" w:themeColor="accent6" w:themeTint="BF"/>
      </w:tblBorders>
    </w:tblPr>
    <w:tblStylePr w:type="firstRow">
      <w:pPr>
        <w:spacing w:before="0" w:after="0" w:line="240" w:lineRule="auto"/>
      </w:pPr>
      <w:rPr>
        <w:b/>
        <w:bCs/>
        <w:color w:val="FFFFFF" w:themeColor="background1"/>
      </w:rPr>
      <w:tblPr/>
      <w:tcPr>
        <w:tcBorders>
          <w:top w:val="single" w:sz="8" w:space="0" w:color="6B7A86" w:themeColor="accent6" w:themeTint="BF"/>
          <w:left w:val="single" w:sz="8" w:space="0" w:color="6B7A86" w:themeColor="accent6" w:themeTint="BF"/>
          <w:bottom w:val="single" w:sz="8" w:space="0" w:color="6B7A86" w:themeColor="accent6" w:themeTint="BF"/>
          <w:right w:val="single" w:sz="8" w:space="0" w:color="6B7A86" w:themeColor="accent6" w:themeTint="BF"/>
          <w:insideH w:val="nil"/>
          <w:insideV w:val="nil"/>
        </w:tcBorders>
        <w:shd w:val="clear" w:color="auto" w:fill="434D54" w:themeFill="accent6"/>
      </w:tcPr>
    </w:tblStylePr>
    <w:tblStylePr w:type="lastRow">
      <w:pPr>
        <w:spacing w:before="0" w:after="0" w:line="240" w:lineRule="auto"/>
      </w:pPr>
      <w:rPr>
        <w:b/>
        <w:bCs/>
      </w:rPr>
      <w:tblPr/>
      <w:tcPr>
        <w:tcBorders>
          <w:top w:val="double" w:sz="6" w:space="0" w:color="6B7A86" w:themeColor="accent6" w:themeTint="BF"/>
          <w:left w:val="single" w:sz="8" w:space="0" w:color="6B7A86" w:themeColor="accent6" w:themeTint="BF"/>
          <w:bottom w:val="single" w:sz="8" w:space="0" w:color="6B7A86" w:themeColor="accent6" w:themeTint="BF"/>
          <w:right w:val="single" w:sz="8" w:space="0" w:color="6B7A86" w:themeColor="accent6" w:themeTint="BF"/>
          <w:insideH w:val="nil"/>
          <w:insideV w:val="nil"/>
        </w:tcBorders>
      </w:tcPr>
    </w:tblStylePr>
    <w:tblStylePr w:type="firstCol">
      <w:rPr>
        <w:b/>
        <w:bCs/>
      </w:rPr>
    </w:tblStylePr>
    <w:tblStylePr w:type="lastCol">
      <w:rPr>
        <w:b/>
        <w:bCs/>
      </w:rPr>
    </w:tblStylePr>
    <w:tblStylePr w:type="band1Vert">
      <w:tblPr/>
      <w:tcPr>
        <w:shd w:val="clear" w:color="auto" w:fill="CDD3D7" w:themeFill="accent6" w:themeFillTint="3F"/>
      </w:tcPr>
    </w:tblStylePr>
    <w:tblStylePr w:type="band1Horz">
      <w:tblPr/>
      <w:tcPr>
        <w:tcBorders>
          <w:insideH w:val="nil"/>
          <w:insideV w:val="nil"/>
        </w:tcBorders>
        <w:shd w:val="clear" w:color="auto" w:fill="CDD3D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F7D91"/>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F7D91"/>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0D1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10D11" w:themeFill="accent1"/>
      </w:tcPr>
    </w:tblStylePr>
    <w:tblStylePr w:type="lastCol">
      <w:rPr>
        <w:b/>
        <w:bCs/>
        <w:color w:val="FFFFFF" w:themeColor="background1"/>
      </w:rPr>
      <w:tblPr/>
      <w:tcPr>
        <w:tcBorders>
          <w:left w:val="nil"/>
          <w:right w:val="nil"/>
          <w:insideH w:val="nil"/>
          <w:insideV w:val="nil"/>
        </w:tcBorders>
        <w:shd w:val="clear" w:color="auto" w:fill="E10D1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F7D91"/>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E53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E53E" w:themeFill="accent2"/>
      </w:tcPr>
    </w:tblStylePr>
    <w:tblStylePr w:type="lastCol">
      <w:rPr>
        <w:b/>
        <w:bCs/>
        <w:color w:val="FFFFFF" w:themeColor="background1"/>
      </w:rPr>
      <w:tblPr/>
      <w:tcPr>
        <w:tcBorders>
          <w:left w:val="nil"/>
          <w:right w:val="nil"/>
          <w:insideH w:val="nil"/>
          <w:insideV w:val="nil"/>
        </w:tcBorders>
        <w:shd w:val="clear" w:color="auto" w:fill="E5E53E"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F7D91"/>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99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399CC" w:themeFill="accent3"/>
      </w:tcPr>
    </w:tblStylePr>
    <w:tblStylePr w:type="lastCol">
      <w:rPr>
        <w:b/>
        <w:bCs/>
        <w:color w:val="FFFFFF" w:themeColor="background1"/>
      </w:rPr>
      <w:tblPr/>
      <w:tcPr>
        <w:tcBorders>
          <w:left w:val="nil"/>
          <w:right w:val="nil"/>
          <w:insideH w:val="nil"/>
          <w:insideV w:val="nil"/>
        </w:tcBorders>
        <w:shd w:val="clear" w:color="auto" w:fill="3399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F7D91"/>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D7D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D7D8" w:themeFill="accent4"/>
      </w:tcPr>
    </w:tblStylePr>
    <w:tblStylePr w:type="lastCol">
      <w:rPr>
        <w:b/>
        <w:bCs/>
        <w:color w:val="FFFFFF" w:themeColor="background1"/>
      </w:rPr>
      <w:tblPr/>
      <w:tcPr>
        <w:tcBorders>
          <w:left w:val="nil"/>
          <w:right w:val="nil"/>
          <w:insideH w:val="nil"/>
          <w:insideV w:val="nil"/>
        </w:tcBorders>
        <w:shd w:val="clear" w:color="auto" w:fill="9DD7D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F7D91"/>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5"/>
      </w:tcPr>
    </w:tblStylePr>
    <w:tblStylePr w:type="lastCol">
      <w:rPr>
        <w:b/>
        <w:bCs/>
        <w:color w:val="FFFFFF" w:themeColor="background1"/>
      </w:rPr>
      <w:tblPr/>
      <w:tcPr>
        <w:tcBorders>
          <w:left w:val="nil"/>
          <w:right w:val="nil"/>
          <w:insideH w:val="nil"/>
          <w:insideV w:val="nil"/>
        </w:tcBorders>
        <w:shd w:val="clear" w:color="auto" w:fill="ED7D3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F7D91"/>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34D5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34D54" w:themeFill="accent6"/>
      </w:tcPr>
    </w:tblStylePr>
    <w:tblStylePr w:type="lastCol">
      <w:rPr>
        <w:b/>
        <w:bCs/>
        <w:color w:val="FFFFFF" w:themeColor="background1"/>
      </w:rPr>
      <w:tblPr/>
      <w:tcPr>
        <w:tcBorders>
          <w:left w:val="nil"/>
          <w:right w:val="nil"/>
          <w:insideH w:val="nil"/>
          <w:insideV w:val="nil"/>
        </w:tcBorders>
        <w:shd w:val="clear" w:color="auto" w:fill="434D5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F7D91"/>
    <w:pPr>
      <w:spacing w:after="0" w:line="240" w:lineRule="auto"/>
    </w:pPr>
    <w:rPr>
      <w:color w:val="333333" w:themeColor="text1"/>
      <w:sz w:val="22"/>
      <w:szCs w:val="22"/>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333333"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rsid w:val="001F7D91"/>
    <w:pPr>
      <w:spacing w:after="0" w:line="240" w:lineRule="auto"/>
    </w:pPr>
    <w:rPr>
      <w:color w:val="333333" w:themeColor="text1"/>
      <w:sz w:val="22"/>
      <w:szCs w:val="22"/>
    </w:rPr>
    <w:tblPr>
      <w:tblStyleRowBandSize w:val="1"/>
      <w:tblStyleColBandSize w:val="1"/>
      <w:tblBorders>
        <w:top w:val="single" w:sz="8" w:space="0" w:color="E10D11" w:themeColor="accent1"/>
        <w:bottom w:val="single" w:sz="8" w:space="0" w:color="E10D11" w:themeColor="accent1"/>
      </w:tblBorders>
    </w:tblPr>
    <w:tblStylePr w:type="firstRow">
      <w:rPr>
        <w:rFonts w:asciiTheme="majorHAnsi" w:eastAsiaTheme="majorEastAsia" w:hAnsiTheme="majorHAnsi" w:cstheme="majorBidi"/>
      </w:rPr>
      <w:tblPr/>
      <w:tcPr>
        <w:tcBorders>
          <w:top w:val="nil"/>
          <w:bottom w:val="single" w:sz="8" w:space="0" w:color="E10D11" w:themeColor="accent1"/>
        </w:tcBorders>
      </w:tcPr>
    </w:tblStylePr>
    <w:tblStylePr w:type="lastRow">
      <w:rPr>
        <w:b/>
        <w:bCs/>
        <w:color w:val="333333" w:themeColor="text2"/>
      </w:rPr>
      <w:tblPr/>
      <w:tcPr>
        <w:tcBorders>
          <w:top w:val="single" w:sz="8" w:space="0" w:color="E10D11" w:themeColor="accent1"/>
          <w:bottom w:val="single" w:sz="8" w:space="0" w:color="E10D11" w:themeColor="accent1"/>
        </w:tcBorders>
      </w:tcPr>
    </w:tblStylePr>
    <w:tblStylePr w:type="firstCol">
      <w:rPr>
        <w:b/>
        <w:bCs/>
      </w:rPr>
    </w:tblStylePr>
    <w:tblStylePr w:type="lastCol">
      <w:rPr>
        <w:b/>
        <w:bCs/>
      </w:rPr>
      <w:tblPr/>
      <w:tcPr>
        <w:tcBorders>
          <w:top w:val="single" w:sz="8" w:space="0" w:color="E10D11" w:themeColor="accent1"/>
          <w:bottom w:val="single" w:sz="8" w:space="0" w:color="E10D11" w:themeColor="accent1"/>
        </w:tcBorders>
      </w:tcPr>
    </w:tblStylePr>
    <w:tblStylePr w:type="band1Vert">
      <w:tblPr/>
      <w:tcPr>
        <w:shd w:val="clear" w:color="auto" w:fill="FBBFC0" w:themeFill="accent1" w:themeFillTint="3F"/>
      </w:tcPr>
    </w:tblStylePr>
    <w:tblStylePr w:type="band1Horz">
      <w:tblPr/>
      <w:tcPr>
        <w:shd w:val="clear" w:color="auto" w:fill="FBBFC0" w:themeFill="accent1" w:themeFillTint="3F"/>
      </w:tcPr>
    </w:tblStylePr>
  </w:style>
  <w:style w:type="table" w:styleId="MediumList1-Accent2">
    <w:name w:val="Medium List 1 Accent 2"/>
    <w:basedOn w:val="TableNormal"/>
    <w:uiPriority w:val="65"/>
    <w:rsid w:val="001F7D91"/>
    <w:pPr>
      <w:spacing w:after="0" w:line="240" w:lineRule="auto"/>
    </w:pPr>
    <w:rPr>
      <w:color w:val="333333" w:themeColor="text1"/>
      <w:sz w:val="22"/>
      <w:szCs w:val="22"/>
    </w:rPr>
    <w:tblPr>
      <w:tblStyleRowBandSize w:val="1"/>
      <w:tblStyleColBandSize w:val="1"/>
      <w:tblBorders>
        <w:top w:val="single" w:sz="8" w:space="0" w:color="E5E53E" w:themeColor="accent2"/>
        <w:bottom w:val="single" w:sz="8" w:space="0" w:color="E5E53E" w:themeColor="accent2"/>
      </w:tblBorders>
    </w:tblPr>
    <w:tblStylePr w:type="firstRow">
      <w:rPr>
        <w:rFonts w:asciiTheme="majorHAnsi" w:eastAsiaTheme="majorEastAsia" w:hAnsiTheme="majorHAnsi" w:cstheme="majorBidi"/>
      </w:rPr>
      <w:tblPr/>
      <w:tcPr>
        <w:tcBorders>
          <w:top w:val="nil"/>
          <w:bottom w:val="single" w:sz="8" w:space="0" w:color="E5E53E" w:themeColor="accent2"/>
        </w:tcBorders>
      </w:tcPr>
    </w:tblStylePr>
    <w:tblStylePr w:type="lastRow">
      <w:rPr>
        <w:b/>
        <w:bCs/>
        <w:color w:val="333333" w:themeColor="text2"/>
      </w:rPr>
      <w:tblPr/>
      <w:tcPr>
        <w:tcBorders>
          <w:top w:val="single" w:sz="8" w:space="0" w:color="E5E53E" w:themeColor="accent2"/>
          <w:bottom w:val="single" w:sz="8" w:space="0" w:color="E5E53E" w:themeColor="accent2"/>
        </w:tcBorders>
      </w:tcPr>
    </w:tblStylePr>
    <w:tblStylePr w:type="firstCol">
      <w:rPr>
        <w:b/>
        <w:bCs/>
      </w:rPr>
    </w:tblStylePr>
    <w:tblStylePr w:type="lastCol">
      <w:rPr>
        <w:b/>
        <w:bCs/>
      </w:rPr>
      <w:tblPr/>
      <w:tcPr>
        <w:tcBorders>
          <w:top w:val="single" w:sz="8" w:space="0" w:color="E5E53E" w:themeColor="accent2"/>
          <w:bottom w:val="single" w:sz="8" w:space="0" w:color="E5E53E" w:themeColor="accent2"/>
        </w:tcBorders>
      </w:tcPr>
    </w:tblStylePr>
    <w:tblStylePr w:type="band1Vert">
      <w:tblPr/>
      <w:tcPr>
        <w:shd w:val="clear" w:color="auto" w:fill="F8F8CF" w:themeFill="accent2" w:themeFillTint="3F"/>
      </w:tcPr>
    </w:tblStylePr>
    <w:tblStylePr w:type="band1Horz">
      <w:tblPr/>
      <w:tcPr>
        <w:shd w:val="clear" w:color="auto" w:fill="F8F8CF" w:themeFill="accent2" w:themeFillTint="3F"/>
      </w:tcPr>
    </w:tblStylePr>
  </w:style>
  <w:style w:type="table" w:styleId="MediumList1-Accent3">
    <w:name w:val="Medium List 1 Accent 3"/>
    <w:basedOn w:val="TableNormal"/>
    <w:uiPriority w:val="65"/>
    <w:rsid w:val="001F7D91"/>
    <w:pPr>
      <w:spacing w:after="0" w:line="240" w:lineRule="auto"/>
    </w:pPr>
    <w:rPr>
      <w:color w:val="333333" w:themeColor="text1"/>
      <w:sz w:val="22"/>
      <w:szCs w:val="22"/>
    </w:rPr>
    <w:tblPr>
      <w:tblStyleRowBandSize w:val="1"/>
      <w:tblStyleColBandSize w:val="1"/>
      <w:tblBorders>
        <w:top w:val="single" w:sz="8" w:space="0" w:color="3399CC" w:themeColor="accent3"/>
        <w:bottom w:val="single" w:sz="8" w:space="0" w:color="3399CC" w:themeColor="accent3"/>
      </w:tblBorders>
    </w:tblPr>
    <w:tblStylePr w:type="firstRow">
      <w:rPr>
        <w:rFonts w:asciiTheme="majorHAnsi" w:eastAsiaTheme="majorEastAsia" w:hAnsiTheme="majorHAnsi" w:cstheme="majorBidi"/>
      </w:rPr>
      <w:tblPr/>
      <w:tcPr>
        <w:tcBorders>
          <w:top w:val="nil"/>
          <w:bottom w:val="single" w:sz="8" w:space="0" w:color="3399CC" w:themeColor="accent3"/>
        </w:tcBorders>
      </w:tcPr>
    </w:tblStylePr>
    <w:tblStylePr w:type="lastRow">
      <w:rPr>
        <w:b/>
        <w:bCs/>
        <w:color w:val="333333" w:themeColor="text2"/>
      </w:rPr>
      <w:tblPr/>
      <w:tcPr>
        <w:tcBorders>
          <w:top w:val="single" w:sz="8" w:space="0" w:color="3399CC" w:themeColor="accent3"/>
          <w:bottom w:val="single" w:sz="8" w:space="0" w:color="3399CC" w:themeColor="accent3"/>
        </w:tcBorders>
      </w:tcPr>
    </w:tblStylePr>
    <w:tblStylePr w:type="firstCol">
      <w:rPr>
        <w:b/>
        <w:bCs/>
      </w:rPr>
    </w:tblStylePr>
    <w:tblStylePr w:type="lastCol">
      <w:rPr>
        <w:b/>
        <w:bCs/>
      </w:rPr>
      <w:tblPr/>
      <w:tcPr>
        <w:tcBorders>
          <w:top w:val="single" w:sz="8" w:space="0" w:color="3399CC" w:themeColor="accent3"/>
          <w:bottom w:val="single" w:sz="8" w:space="0" w:color="3399CC" w:themeColor="accent3"/>
        </w:tcBorders>
      </w:tcPr>
    </w:tblStylePr>
    <w:tblStylePr w:type="band1Vert">
      <w:tblPr/>
      <w:tcPr>
        <w:shd w:val="clear" w:color="auto" w:fill="CCE5F2" w:themeFill="accent3" w:themeFillTint="3F"/>
      </w:tcPr>
    </w:tblStylePr>
    <w:tblStylePr w:type="band1Horz">
      <w:tblPr/>
      <w:tcPr>
        <w:shd w:val="clear" w:color="auto" w:fill="CCE5F2" w:themeFill="accent3" w:themeFillTint="3F"/>
      </w:tcPr>
    </w:tblStylePr>
  </w:style>
  <w:style w:type="table" w:styleId="MediumList1-Accent4">
    <w:name w:val="Medium List 1 Accent 4"/>
    <w:basedOn w:val="TableNormal"/>
    <w:uiPriority w:val="65"/>
    <w:rsid w:val="001F7D91"/>
    <w:pPr>
      <w:spacing w:after="0" w:line="240" w:lineRule="auto"/>
    </w:pPr>
    <w:rPr>
      <w:color w:val="333333" w:themeColor="text1"/>
      <w:sz w:val="22"/>
      <w:szCs w:val="22"/>
    </w:rPr>
    <w:tblPr>
      <w:tblStyleRowBandSize w:val="1"/>
      <w:tblStyleColBandSize w:val="1"/>
      <w:tblBorders>
        <w:top w:val="single" w:sz="8" w:space="0" w:color="9DD7D8" w:themeColor="accent4"/>
        <w:bottom w:val="single" w:sz="8" w:space="0" w:color="9DD7D8" w:themeColor="accent4"/>
      </w:tblBorders>
    </w:tblPr>
    <w:tblStylePr w:type="firstRow">
      <w:rPr>
        <w:rFonts w:asciiTheme="majorHAnsi" w:eastAsiaTheme="majorEastAsia" w:hAnsiTheme="majorHAnsi" w:cstheme="majorBidi"/>
      </w:rPr>
      <w:tblPr/>
      <w:tcPr>
        <w:tcBorders>
          <w:top w:val="nil"/>
          <w:bottom w:val="single" w:sz="8" w:space="0" w:color="9DD7D8" w:themeColor="accent4"/>
        </w:tcBorders>
      </w:tcPr>
    </w:tblStylePr>
    <w:tblStylePr w:type="lastRow">
      <w:rPr>
        <w:b/>
        <w:bCs/>
        <w:color w:val="333333" w:themeColor="text2"/>
      </w:rPr>
      <w:tblPr/>
      <w:tcPr>
        <w:tcBorders>
          <w:top w:val="single" w:sz="8" w:space="0" w:color="9DD7D8" w:themeColor="accent4"/>
          <w:bottom w:val="single" w:sz="8" w:space="0" w:color="9DD7D8" w:themeColor="accent4"/>
        </w:tcBorders>
      </w:tcPr>
    </w:tblStylePr>
    <w:tblStylePr w:type="firstCol">
      <w:rPr>
        <w:b/>
        <w:bCs/>
      </w:rPr>
    </w:tblStylePr>
    <w:tblStylePr w:type="lastCol">
      <w:rPr>
        <w:b/>
        <w:bCs/>
      </w:rPr>
      <w:tblPr/>
      <w:tcPr>
        <w:tcBorders>
          <w:top w:val="single" w:sz="8" w:space="0" w:color="9DD7D8" w:themeColor="accent4"/>
          <w:bottom w:val="single" w:sz="8" w:space="0" w:color="9DD7D8" w:themeColor="accent4"/>
        </w:tcBorders>
      </w:tcPr>
    </w:tblStylePr>
    <w:tblStylePr w:type="band1Vert">
      <w:tblPr/>
      <w:tcPr>
        <w:shd w:val="clear" w:color="auto" w:fill="E6F5F5" w:themeFill="accent4" w:themeFillTint="3F"/>
      </w:tcPr>
    </w:tblStylePr>
    <w:tblStylePr w:type="band1Horz">
      <w:tblPr/>
      <w:tcPr>
        <w:shd w:val="clear" w:color="auto" w:fill="E6F5F5" w:themeFill="accent4" w:themeFillTint="3F"/>
      </w:tcPr>
    </w:tblStylePr>
  </w:style>
  <w:style w:type="table" w:styleId="MediumList1-Accent5">
    <w:name w:val="Medium List 1 Accent 5"/>
    <w:basedOn w:val="TableNormal"/>
    <w:uiPriority w:val="65"/>
    <w:rsid w:val="001F7D91"/>
    <w:pPr>
      <w:spacing w:after="0" w:line="240" w:lineRule="auto"/>
    </w:pPr>
    <w:rPr>
      <w:color w:val="333333" w:themeColor="text1"/>
      <w:sz w:val="22"/>
      <w:szCs w:val="22"/>
    </w:rPr>
    <w:tblPr>
      <w:tblStyleRowBandSize w:val="1"/>
      <w:tblStyleColBandSize w:val="1"/>
      <w:tblBorders>
        <w:top w:val="single" w:sz="8" w:space="0" w:color="ED7D31" w:themeColor="accent5"/>
        <w:bottom w:val="single" w:sz="8" w:space="0" w:color="ED7D31" w:themeColor="accent5"/>
      </w:tblBorders>
    </w:tblPr>
    <w:tblStylePr w:type="firstRow">
      <w:rPr>
        <w:rFonts w:asciiTheme="majorHAnsi" w:eastAsiaTheme="majorEastAsia" w:hAnsiTheme="majorHAnsi" w:cstheme="majorBidi"/>
      </w:rPr>
      <w:tblPr/>
      <w:tcPr>
        <w:tcBorders>
          <w:top w:val="nil"/>
          <w:bottom w:val="single" w:sz="8" w:space="0" w:color="ED7D31" w:themeColor="accent5"/>
        </w:tcBorders>
      </w:tcPr>
    </w:tblStylePr>
    <w:tblStylePr w:type="lastRow">
      <w:rPr>
        <w:b/>
        <w:bCs/>
        <w:color w:val="333333" w:themeColor="text2"/>
      </w:rPr>
      <w:tblPr/>
      <w:tcPr>
        <w:tcBorders>
          <w:top w:val="single" w:sz="8" w:space="0" w:color="ED7D31" w:themeColor="accent5"/>
          <w:bottom w:val="single" w:sz="8" w:space="0" w:color="ED7D31" w:themeColor="accent5"/>
        </w:tcBorders>
      </w:tcPr>
    </w:tblStylePr>
    <w:tblStylePr w:type="firstCol">
      <w:rPr>
        <w:b/>
        <w:bCs/>
      </w:rPr>
    </w:tblStylePr>
    <w:tblStylePr w:type="lastCol">
      <w:rPr>
        <w:b/>
        <w:bCs/>
      </w:rPr>
      <w:tblPr/>
      <w:tcPr>
        <w:tcBorders>
          <w:top w:val="single" w:sz="8" w:space="0" w:color="ED7D31" w:themeColor="accent5"/>
          <w:bottom w:val="single" w:sz="8" w:space="0" w:color="ED7D31" w:themeColor="accent5"/>
        </w:tcBorders>
      </w:tcPr>
    </w:tblStylePr>
    <w:tblStylePr w:type="band1Vert">
      <w:tblPr/>
      <w:tcPr>
        <w:shd w:val="clear" w:color="auto" w:fill="FADECB" w:themeFill="accent5" w:themeFillTint="3F"/>
      </w:tcPr>
    </w:tblStylePr>
    <w:tblStylePr w:type="band1Horz">
      <w:tblPr/>
      <w:tcPr>
        <w:shd w:val="clear" w:color="auto" w:fill="FADECB" w:themeFill="accent5" w:themeFillTint="3F"/>
      </w:tcPr>
    </w:tblStylePr>
  </w:style>
  <w:style w:type="table" w:styleId="MediumList1-Accent6">
    <w:name w:val="Medium List 1 Accent 6"/>
    <w:basedOn w:val="TableNormal"/>
    <w:uiPriority w:val="65"/>
    <w:rsid w:val="001F7D91"/>
    <w:pPr>
      <w:spacing w:after="0" w:line="240" w:lineRule="auto"/>
    </w:pPr>
    <w:rPr>
      <w:color w:val="333333" w:themeColor="text1"/>
      <w:sz w:val="22"/>
      <w:szCs w:val="22"/>
    </w:rPr>
    <w:tblPr>
      <w:tblStyleRowBandSize w:val="1"/>
      <w:tblStyleColBandSize w:val="1"/>
      <w:tblBorders>
        <w:top w:val="single" w:sz="8" w:space="0" w:color="434D54" w:themeColor="accent6"/>
        <w:bottom w:val="single" w:sz="8" w:space="0" w:color="434D54" w:themeColor="accent6"/>
      </w:tblBorders>
    </w:tblPr>
    <w:tblStylePr w:type="firstRow">
      <w:rPr>
        <w:rFonts w:asciiTheme="majorHAnsi" w:eastAsiaTheme="majorEastAsia" w:hAnsiTheme="majorHAnsi" w:cstheme="majorBidi"/>
      </w:rPr>
      <w:tblPr/>
      <w:tcPr>
        <w:tcBorders>
          <w:top w:val="nil"/>
          <w:bottom w:val="single" w:sz="8" w:space="0" w:color="434D54" w:themeColor="accent6"/>
        </w:tcBorders>
      </w:tcPr>
    </w:tblStylePr>
    <w:tblStylePr w:type="lastRow">
      <w:rPr>
        <w:b/>
        <w:bCs/>
        <w:color w:val="333333" w:themeColor="text2"/>
      </w:rPr>
      <w:tblPr/>
      <w:tcPr>
        <w:tcBorders>
          <w:top w:val="single" w:sz="8" w:space="0" w:color="434D54" w:themeColor="accent6"/>
          <w:bottom w:val="single" w:sz="8" w:space="0" w:color="434D54" w:themeColor="accent6"/>
        </w:tcBorders>
      </w:tcPr>
    </w:tblStylePr>
    <w:tblStylePr w:type="firstCol">
      <w:rPr>
        <w:b/>
        <w:bCs/>
      </w:rPr>
    </w:tblStylePr>
    <w:tblStylePr w:type="lastCol">
      <w:rPr>
        <w:b/>
        <w:bCs/>
      </w:rPr>
      <w:tblPr/>
      <w:tcPr>
        <w:tcBorders>
          <w:top w:val="single" w:sz="8" w:space="0" w:color="434D54" w:themeColor="accent6"/>
          <w:bottom w:val="single" w:sz="8" w:space="0" w:color="434D54" w:themeColor="accent6"/>
        </w:tcBorders>
      </w:tcPr>
    </w:tblStylePr>
    <w:tblStylePr w:type="band1Vert">
      <w:tblPr/>
      <w:tcPr>
        <w:shd w:val="clear" w:color="auto" w:fill="CDD3D7" w:themeFill="accent6" w:themeFillTint="3F"/>
      </w:tcPr>
    </w:tblStylePr>
    <w:tblStylePr w:type="band1Horz">
      <w:tblPr/>
      <w:tcPr>
        <w:shd w:val="clear" w:color="auto" w:fill="CDD3D7" w:themeFill="accent6" w:themeFillTint="3F"/>
      </w:tcPr>
    </w:tblStylePr>
  </w:style>
  <w:style w:type="table" w:styleId="MediumList2">
    <w:name w:val="Medium List 2"/>
    <w:basedOn w:val="TableNormal"/>
    <w:uiPriority w:val="66"/>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single" w:sz="8" w:space="0" w:color="333333"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E10D11" w:themeColor="accent1"/>
        <w:left w:val="single" w:sz="8" w:space="0" w:color="E10D11" w:themeColor="accent1"/>
        <w:bottom w:val="single" w:sz="8" w:space="0" w:color="E10D11" w:themeColor="accent1"/>
        <w:right w:val="single" w:sz="8" w:space="0" w:color="E10D11" w:themeColor="accent1"/>
      </w:tblBorders>
    </w:tblPr>
    <w:tblStylePr w:type="firstRow">
      <w:rPr>
        <w:sz w:val="24"/>
        <w:szCs w:val="24"/>
      </w:rPr>
      <w:tblPr/>
      <w:tcPr>
        <w:tcBorders>
          <w:top w:val="nil"/>
          <w:left w:val="nil"/>
          <w:bottom w:val="single" w:sz="24" w:space="0" w:color="E10D11" w:themeColor="accent1"/>
          <w:right w:val="nil"/>
          <w:insideH w:val="nil"/>
          <w:insideV w:val="nil"/>
        </w:tcBorders>
        <w:shd w:val="clear" w:color="auto" w:fill="FFFFFF" w:themeFill="background1"/>
      </w:tcPr>
    </w:tblStylePr>
    <w:tblStylePr w:type="lastRow">
      <w:tblPr/>
      <w:tcPr>
        <w:tcBorders>
          <w:top w:val="single" w:sz="8" w:space="0" w:color="E10D1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0D11" w:themeColor="accent1"/>
          <w:insideH w:val="nil"/>
          <w:insideV w:val="nil"/>
        </w:tcBorders>
        <w:shd w:val="clear" w:color="auto" w:fill="FFFFFF" w:themeFill="background1"/>
      </w:tcPr>
    </w:tblStylePr>
    <w:tblStylePr w:type="lastCol">
      <w:tblPr/>
      <w:tcPr>
        <w:tcBorders>
          <w:top w:val="nil"/>
          <w:left w:val="single" w:sz="8" w:space="0" w:color="E10D1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BFC0" w:themeFill="accent1" w:themeFillTint="3F"/>
      </w:tcPr>
    </w:tblStylePr>
    <w:tblStylePr w:type="band1Horz">
      <w:tblPr/>
      <w:tcPr>
        <w:tcBorders>
          <w:top w:val="nil"/>
          <w:bottom w:val="nil"/>
          <w:insideH w:val="nil"/>
          <w:insideV w:val="nil"/>
        </w:tcBorders>
        <w:shd w:val="clear" w:color="auto" w:fill="FBBF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E5E53E" w:themeColor="accent2"/>
        <w:left w:val="single" w:sz="8" w:space="0" w:color="E5E53E" w:themeColor="accent2"/>
        <w:bottom w:val="single" w:sz="8" w:space="0" w:color="E5E53E" w:themeColor="accent2"/>
        <w:right w:val="single" w:sz="8" w:space="0" w:color="E5E53E" w:themeColor="accent2"/>
      </w:tblBorders>
    </w:tblPr>
    <w:tblStylePr w:type="firstRow">
      <w:rPr>
        <w:sz w:val="24"/>
        <w:szCs w:val="24"/>
      </w:rPr>
      <w:tblPr/>
      <w:tcPr>
        <w:tcBorders>
          <w:top w:val="nil"/>
          <w:left w:val="nil"/>
          <w:bottom w:val="single" w:sz="24" w:space="0" w:color="E5E53E" w:themeColor="accent2"/>
          <w:right w:val="nil"/>
          <w:insideH w:val="nil"/>
          <w:insideV w:val="nil"/>
        </w:tcBorders>
        <w:shd w:val="clear" w:color="auto" w:fill="FFFFFF" w:themeFill="background1"/>
      </w:tcPr>
    </w:tblStylePr>
    <w:tblStylePr w:type="lastRow">
      <w:tblPr/>
      <w:tcPr>
        <w:tcBorders>
          <w:top w:val="single" w:sz="8" w:space="0" w:color="E5E53E"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E53E" w:themeColor="accent2"/>
          <w:insideH w:val="nil"/>
          <w:insideV w:val="nil"/>
        </w:tcBorders>
        <w:shd w:val="clear" w:color="auto" w:fill="FFFFFF" w:themeFill="background1"/>
      </w:tcPr>
    </w:tblStylePr>
    <w:tblStylePr w:type="lastCol">
      <w:tblPr/>
      <w:tcPr>
        <w:tcBorders>
          <w:top w:val="nil"/>
          <w:left w:val="single" w:sz="8" w:space="0" w:color="E5E53E"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8CF" w:themeFill="accent2" w:themeFillTint="3F"/>
      </w:tcPr>
    </w:tblStylePr>
    <w:tblStylePr w:type="band1Horz">
      <w:tblPr/>
      <w:tcPr>
        <w:tcBorders>
          <w:top w:val="nil"/>
          <w:bottom w:val="nil"/>
          <w:insideH w:val="nil"/>
          <w:insideV w:val="nil"/>
        </w:tcBorders>
        <w:shd w:val="clear" w:color="auto" w:fill="F8F8C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3399CC" w:themeColor="accent3"/>
        <w:left w:val="single" w:sz="8" w:space="0" w:color="3399CC" w:themeColor="accent3"/>
        <w:bottom w:val="single" w:sz="8" w:space="0" w:color="3399CC" w:themeColor="accent3"/>
        <w:right w:val="single" w:sz="8" w:space="0" w:color="3399CC" w:themeColor="accent3"/>
      </w:tblBorders>
    </w:tblPr>
    <w:tblStylePr w:type="firstRow">
      <w:rPr>
        <w:sz w:val="24"/>
        <w:szCs w:val="24"/>
      </w:rPr>
      <w:tblPr/>
      <w:tcPr>
        <w:tcBorders>
          <w:top w:val="nil"/>
          <w:left w:val="nil"/>
          <w:bottom w:val="single" w:sz="24" w:space="0" w:color="3399CC" w:themeColor="accent3"/>
          <w:right w:val="nil"/>
          <w:insideH w:val="nil"/>
          <w:insideV w:val="nil"/>
        </w:tcBorders>
        <w:shd w:val="clear" w:color="auto" w:fill="FFFFFF" w:themeFill="background1"/>
      </w:tcPr>
    </w:tblStylePr>
    <w:tblStylePr w:type="lastRow">
      <w:tblPr/>
      <w:tcPr>
        <w:tcBorders>
          <w:top w:val="single" w:sz="8" w:space="0" w:color="3399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99CC" w:themeColor="accent3"/>
          <w:insideH w:val="nil"/>
          <w:insideV w:val="nil"/>
        </w:tcBorders>
        <w:shd w:val="clear" w:color="auto" w:fill="FFFFFF" w:themeFill="background1"/>
      </w:tcPr>
    </w:tblStylePr>
    <w:tblStylePr w:type="lastCol">
      <w:tblPr/>
      <w:tcPr>
        <w:tcBorders>
          <w:top w:val="nil"/>
          <w:left w:val="single" w:sz="8" w:space="0" w:color="3399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E5F2" w:themeFill="accent3" w:themeFillTint="3F"/>
      </w:tcPr>
    </w:tblStylePr>
    <w:tblStylePr w:type="band1Horz">
      <w:tblPr/>
      <w:tcPr>
        <w:tcBorders>
          <w:top w:val="nil"/>
          <w:bottom w:val="nil"/>
          <w:insideH w:val="nil"/>
          <w:insideV w:val="nil"/>
        </w:tcBorders>
        <w:shd w:val="clear" w:color="auto" w:fill="CCE5F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9DD7D8" w:themeColor="accent4"/>
        <w:left w:val="single" w:sz="8" w:space="0" w:color="9DD7D8" w:themeColor="accent4"/>
        <w:bottom w:val="single" w:sz="8" w:space="0" w:color="9DD7D8" w:themeColor="accent4"/>
        <w:right w:val="single" w:sz="8" w:space="0" w:color="9DD7D8" w:themeColor="accent4"/>
      </w:tblBorders>
    </w:tblPr>
    <w:tblStylePr w:type="firstRow">
      <w:rPr>
        <w:sz w:val="24"/>
        <w:szCs w:val="24"/>
      </w:rPr>
      <w:tblPr/>
      <w:tcPr>
        <w:tcBorders>
          <w:top w:val="nil"/>
          <w:left w:val="nil"/>
          <w:bottom w:val="single" w:sz="24" w:space="0" w:color="9DD7D8" w:themeColor="accent4"/>
          <w:right w:val="nil"/>
          <w:insideH w:val="nil"/>
          <w:insideV w:val="nil"/>
        </w:tcBorders>
        <w:shd w:val="clear" w:color="auto" w:fill="FFFFFF" w:themeFill="background1"/>
      </w:tcPr>
    </w:tblStylePr>
    <w:tblStylePr w:type="lastRow">
      <w:tblPr/>
      <w:tcPr>
        <w:tcBorders>
          <w:top w:val="single" w:sz="8" w:space="0" w:color="9DD7D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D7D8" w:themeColor="accent4"/>
          <w:insideH w:val="nil"/>
          <w:insideV w:val="nil"/>
        </w:tcBorders>
        <w:shd w:val="clear" w:color="auto" w:fill="FFFFFF" w:themeFill="background1"/>
      </w:tcPr>
    </w:tblStylePr>
    <w:tblStylePr w:type="lastCol">
      <w:tblPr/>
      <w:tcPr>
        <w:tcBorders>
          <w:top w:val="nil"/>
          <w:left w:val="single" w:sz="8" w:space="0" w:color="9DD7D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F5" w:themeFill="accent4" w:themeFillTint="3F"/>
      </w:tcPr>
    </w:tblStylePr>
    <w:tblStylePr w:type="band1Horz">
      <w:tblPr/>
      <w:tcPr>
        <w:tcBorders>
          <w:top w:val="nil"/>
          <w:bottom w:val="nil"/>
          <w:insideH w:val="nil"/>
          <w:insideV w:val="nil"/>
        </w:tcBorders>
        <w:shd w:val="clear" w:color="auto" w:fill="E6F5F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ED7D31" w:themeColor="accent5"/>
        <w:left w:val="single" w:sz="8" w:space="0" w:color="ED7D31" w:themeColor="accent5"/>
        <w:bottom w:val="single" w:sz="8" w:space="0" w:color="ED7D31" w:themeColor="accent5"/>
        <w:right w:val="single" w:sz="8" w:space="0" w:color="ED7D31" w:themeColor="accent5"/>
      </w:tblBorders>
    </w:tblPr>
    <w:tblStylePr w:type="firstRow">
      <w:rPr>
        <w:sz w:val="24"/>
        <w:szCs w:val="24"/>
      </w:rPr>
      <w:tblPr/>
      <w:tcPr>
        <w:tcBorders>
          <w:top w:val="nil"/>
          <w:left w:val="nil"/>
          <w:bottom w:val="single" w:sz="24" w:space="0" w:color="ED7D31" w:themeColor="accent5"/>
          <w:right w:val="nil"/>
          <w:insideH w:val="nil"/>
          <w:insideV w:val="nil"/>
        </w:tcBorders>
        <w:shd w:val="clear" w:color="auto" w:fill="FFFFFF" w:themeFill="background1"/>
      </w:tcPr>
    </w:tblStylePr>
    <w:tblStylePr w:type="lastRow">
      <w:tblPr/>
      <w:tcPr>
        <w:tcBorders>
          <w:top w:val="single" w:sz="8" w:space="0" w:color="ED7D31"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5"/>
          <w:insideH w:val="nil"/>
          <w:insideV w:val="nil"/>
        </w:tcBorders>
        <w:shd w:val="clear" w:color="auto" w:fill="FFFFFF" w:themeFill="background1"/>
      </w:tcPr>
    </w:tblStylePr>
    <w:tblStylePr w:type="lastCol">
      <w:tblPr/>
      <w:tcPr>
        <w:tcBorders>
          <w:top w:val="nil"/>
          <w:left w:val="single" w:sz="8" w:space="0" w:color="ED7D3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5" w:themeFillTint="3F"/>
      </w:tcPr>
    </w:tblStylePr>
    <w:tblStylePr w:type="band1Horz">
      <w:tblPr/>
      <w:tcPr>
        <w:tcBorders>
          <w:top w:val="nil"/>
          <w:bottom w:val="nil"/>
          <w:insideH w:val="nil"/>
          <w:insideV w:val="nil"/>
        </w:tcBorders>
        <w:shd w:val="clear" w:color="auto" w:fill="FADE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434D54" w:themeColor="accent6"/>
        <w:left w:val="single" w:sz="8" w:space="0" w:color="434D54" w:themeColor="accent6"/>
        <w:bottom w:val="single" w:sz="8" w:space="0" w:color="434D54" w:themeColor="accent6"/>
        <w:right w:val="single" w:sz="8" w:space="0" w:color="434D54" w:themeColor="accent6"/>
      </w:tblBorders>
    </w:tblPr>
    <w:tblStylePr w:type="firstRow">
      <w:rPr>
        <w:sz w:val="24"/>
        <w:szCs w:val="24"/>
      </w:rPr>
      <w:tblPr/>
      <w:tcPr>
        <w:tcBorders>
          <w:top w:val="nil"/>
          <w:left w:val="nil"/>
          <w:bottom w:val="single" w:sz="24" w:space="0" w:color="434D54" w:themeColor="accent6"/>
          <w:right w:val="nil"/>
          <w:insideH w:val="nil"/>
          <w:insideV w:val="nil"/>
        </w:tcBorders>
        <w:shd w:val="clear" w:color="auto" w:fill="FFFFFF" w:themeFill="background1"/>
      </w:tcPr>
    </w:tblStylePr>
    <w:tblStylePr w:type="lastRow">
      <w:tblPr/>
      <w:tcPr>
        <w:tcBorders>
          <w:top w:val="single" w:sz="8" w:space="0" w:color="434D5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34D54" w:themeColor="accent6"/>
          <w:insideH w:val="nil"/>
          <w:insideV w:val="nil"/>
        </w:tcBorders>
        <w:shd w:val="clear" w:color="auto" w:fill="FFFFFF" w:themeFill="background1"/>
      </w:tcPr>
    </w:tblStylePr>
    <w:tblStylePr w:type="lastCol">
      <w:tblPr/>
      <w:tcPr>
        <w:tcBorders>
          <w:top w:val="nil"/>
          <w:left w:val="single" w:sz="8" w:space="0" w:color="434D5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DD3D7" w:themeFill="accent6" w:themeFillTint="3F"/>
      </w:tcPr>
    </w:tblStylePr>
    <w:tblStylePr w:type="band1Horz">
      <w:tblPr/>
      <w:tcPr>
        <w:tcBorders>
          <w:top w:val="nil"/>
          <w:bottom w:val="nil"/>
          <w:insideH w:val="nil"/>
          <w:insideV w:val="nil"/>
        </w:tcBorders>
        <w:shd w:val="clear" w:color="auto" w:fill="CDD3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F7D91"/>
    <w:pPr>
      <w:spacing w:after="0" w:line="240" w:lineRule="auto"/>
    </w:pPr>
    <w:rPr>
      <w:sz w:val="22"/>
      <w:szCs w:val="22"/>
    </w:r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rsid w:val="001F7D91"/>
    <w:pPr>
      <w:spacing w:after="0" w:line="240" w:lineRule="auto"/>
    </w:pPr>
    <w:rPr>
      <w:sz w:val="22"/>
      <w:szCs w:val="22"/>
    </w:rPr>
    <w:tblPr>
      <w:tblStyleRowBandSize w:val="1"/>
      <w:tblStyleColBandSize w:val="1"/>
      <w:tblBorders>
        <w:top w:val="single" w:sz="8" w:space="0" w:color="F33E41" w:themeColor="accent1" w:themeTint="BF"/>
        <w:left w:val="single" w:sz="8" w:space="0" w:color="F33E41" w:themeColor="accent1" w:themeTint="BF"/>
        <w:bottom w:val="single" w:sz="8" w:space="0" w:color="F33E41" w:themeColor="accent1" w:themeTint="BF"/>
        <w:right w:val="single" w:sz="8" w:space="0" w:color="F33E41" w:themeColor="accent1" w:themeTint="BF"/>
        <w:insideH w:val="single" w:sz="8" w:space="0" w:color="F33E41" w:themeColor="accent1" w:themeTint="BF"/>
        <w:insideV w:val="single" w:sz="8" w:space="0" w:color="F33E41" w:themeColor="accent1" w:themeTint="BF"/>
      </w:tblBorders>
    </w:tblPr>
    <w:tcPr>
      <w:shd w:val="clear" w:color="auto" w:fill="FBBFC0" w:themeFill="accent1" w:themeFillTint="3F"/>
    </w:tcPr>
    <w:tblStylePr w:type="firstRow">
      <w:rPr>
        <w:b/>
        <w:bCs/>
      </w:rPr>
    </w:tblStylePr>
    <w:tblStylePr w:type="lastRow">
      <w:rPr>
        <w:b/>
        <w:bCs/>
      </w:rPr>
      <w:tblPr/>
      <w:tcPr>
        <w:tcBorders>
          <w:top w:val="single" w:sz="18" w:space="0" w:color="F33E41" w:themeColor="accent1" w:themeTint="BF"/>
        </w:tcBorders>
      </w:tcPr>
    </w:tblStylePr>
    <w:tblStylePr w:type="firstCol">
      <w:rPr>
        <w:b/>
        <w:bCs/>
      </w:rPr>
    </w:tblStylePr>
    <w:tblStylePr w:type="lastCol">
      <w:rPr>
        <w:b/>
        <w:bCs/>
      </w:rPr>
    </w:tblStylePr>
    <w:tblStylePr w:type="band1Vert">
      <w:tblPr/>
      <w:tcPr>
        <w:shd w:val="clear" w:color="auto" w:fill="F77E80" w:themeFill="accent1" w:themeFillTint="7F"/>
      </w:tcPr>
    </w:tblStylePr>
    <w:tblStylePr w:type="band1Horz">
      <w:tblPr/>
      <w:tcPr>
        <w:shd w:val="clear" w:color="auto" w:fill="F77E80" w:themeFill="accent1" w:themeFillTint="7F"/>
      </w:tcPr>
    </w:tblStylePr>
  </w:style>
  <w:style w:type="table" w:styleId="MediumGrid1-Accent2">
    <w:name w:val="Medium Grid 1 Accent 2"/>
    <w:basedOn w:val="TableNormal"/>
    <w:uiPriority w:val="67"/>
    <w:rsid w:val="001F7D91"/>
    <w:pPr>
      <w:spacing w:after="0" w:line="240" w:lineRule="auto"/>
    </w:pPr>
    <w:rPr>
      <w:sz w:val="22"/>
      <w:szCs w:val="22"/>
    </w:rPr>
    <w:tblPr>
      <w:tblStyleRowBandSize w:val="1"/>
      <w:tblStyleColBandSize w:val="1"/>
      <w:tblBorders>
        <w:top w:val="single" w:sz="8" w:space="0" w:color="EBEB6E" w:themeColor="accent2" w:themeTint="BF"/>
        <w:left w:val="single" w:sz="8" w:space="0" w:color="EBEB6E" w:themeColor="accent2" w:themeTint="BF"/>
        <w:bottom w:val="single" w:sz="8" w:space="0" w:color="EBEB6E" w:themeColor="accent2" w:themeTint="BF"/>
        <w:right w:val="single" w:sz="8" w:space="0" w:color="EBEB6E" w:themeColor="accent2" w:themeTint="BF"/>
        <w:insideH w:val="single" w:sz="8" w:space="0" w:color="EBEB6E" w:themeColor="accent2" w:themeTint="BF"/>
        <w:insideV w:val="single" w:sz="8" w:space="0" w:color="EBEB6E" w:themeColor="accent2" w:themeTint="BF"/>
      </w:tblBorders>
    </w:tblPr>
    <w:tcPr>
      <w:shd w:val="clear" w:color="auto" w:fill="F8F8CF" w:themeFill="accent2" w:themeFillTint="3F"/>
    </w:tcPr>
    <w:tblStylePr w:type="firstRow">
      <w:rPr>
        <w:b/>
        <w:bCs/>
      </w:rPr>
    </w:tblStylePr>
    <w:tblStylePr w:type="lastRow">
      <w:rPr>
        <w:b/>
        <w:bCs/>
      </w:rPr>
      <w:tblPr/>
      <w:tcPr>
        <w:tcBorders>
          <w:top w:val="single" w:sz="18" w:space="0" w:color="EBEB6E" w:themeColor="accent2" w:themeTint="BF"/>
        </w:tcBorders>
      </w:tcPr>
    </w:tblStylePr>
    <w:tblStylePr w:type="firstCol">
      <w:rPr>
        <w:b/>
        <w:bCs/>
      </w:rPr>
    </w:tblStylePr>
    <w:tblStylePr w:type="lastCol">
      <w:rPr>
        <w:b/>
        <w:bCs/>
      </w:rPr>
    </w:tblStylePr>
    <w:tblStylePr w:type="band1Vert">
      <w:tblPr/>
      <w:tcPr>
        <w:shd w:val="clear" w:color="auto" w:fill="F2F29E" w:themeFill="accent2" w:themeFillTint="7F"/>
      </w:tcPr>
    </w:tblStylePr>
    <w:tblStylePr w:type="band1Horz">
      <w:tblPr/>
      <w:tcPr>
        <w:shd w:val="clear" w:color="auto" w:fill="F2F29E" w:themeFill="accent2" w:themeFillTint="7F"/>
      </w:tcPr>
    </w:tblStylePr>
  </w:style>
  <w:style w:type="table" w:styleId="MediumGrid1-Accent3">
    <w:name w:val="Medium Grid 1 Accent 3"/>
    <w:basedOn w:val="TableNormal"/>
    <w:uiPriority w:val="67"/>
    <w:rsid w:val="001F7D91"/>
    <w:pPr>
      <w:spacing w:after="0" w:line="240" w:lineRule="auto"/>
    </w:pPr>
    <w:rPr>
      <w:sz w:val="22"/>
      <w:szCs w:val="22"/>
    </w:rPr>
    <w:tblPr>
      <w:tblStyleRowBandSize w:val="1"/>
      <w:tblStyleColBandSize w:val="1"/>
      <w:tblBorders>
        <w:top w:val="single" w:sz="8" w:space="0" w:color="66B2D8" w:themeColor="accent3" w:themeTint="BF"/>
        <w:left w:val="single" w:sz="8" w:space="0" w:color="66B2D8" w:themeColor="accent3" w:themeTint="BF"/>
        <w:bottom w:val="single" w:sz="8" w:space="0" w:color="66B2D8" w:themeColor="accent3" w:themeTint="BF"/>
        <w:right w:val="single" w:sz="8" w:space="0" w:color="66B2D8" w:themeColor="accent3" w:themeTint="BF"/>
        <w:insideH w:val="single" w:sz="8" w:space="0" w:color="66B2D8" w:themeColor="accent3" w:themeTint="BF"/>
        <w:insideV w:val="single" w:sz="8" w:space="0" w:color="66B2D8" w:themeColor="accent3" w:themeTint="BF"/>
      </w:tblBorders>
    </w:tblPr>
    <w:tcPr>
      <w:shd w:val="clear" w:color="auto" w:fill="CCE5F2" w:themeFill="accent3" w:themeFillTint="3F"/>
    </w:tcPr>
    <w:tblStylePr w:type="firstRow">
      <w:rPr>
        <w:b/>
        <w:bCs/>
      </w:rPr>
    </w:tblStylePr>
    <w:tblStylePr w:type="lastRow">
      <w:rPr>
        <w:b/>
        <w:bCs/>
      </w:rPr>
      <w:tblPr/>
      <w:tcPr>
        <w:tcBorders>
          <w:top w:val="single" w:sz="18" w:space="0" w:color="66B2D8" w:themeColor="accent3" w:themeTint="BF"/>
        </w:tcBorders>
      </w:tcPr>
    </w:tblStylePr>
    <w:tblStylePr w:type="firstCol">
      <w:rPr>
        <w:b/>
        <w:bCs/>
      </w:rPr>
    </w:tblStylePr>
    <w:tblStylePr w:type="lastCol">
      <w:rPr>
        <w:b/>
        <w:bCs/>
      </w:rPr>
    </w:tblStylePr>
    <w:tblStylePr w:type="band1Vert">
      <w:tblPr/>
      <w:tcPr>
        <w:shd w:val="clear" w:color="auto" w:fill="99CCE5" w:themeFill="accent3" w:themeFillTint="7F"/>
      </w:tcPr>
    </w:tblStylePr>
    <w:tblStylePr w:type="band1Horz">
      <w:tblPr/>
      <w:tcPr>
        <w:shd w:val="clear" w:color="auto" w:fill="99CCE5" w:themeFill="accent3" w:themeFillTint="7F"/>
      </w:tcPr>
    </w:tblStylePr>
  </w:style>
  <w:style w:type="table" w:styleId="MediumGrid1-Accent4">
    <w:name w:val="Medium Grid 1 Accent 4"/>
    <w:basedOn w:val="TableNormal"/>
    <w:uiPriority w:val="67"/>
    <w:rsid w:val="001F7D91"/>
    <w:pPr>
      <w:spacing w:after="0" w:line="240" w:lineRule="auto"/>
    </w:pPr>
    <w:rPr>
      <w:sz w:val="22"/>
      <w:szCs w:val="22"/>
    </w:rPr>
    <w:tblPr>
      <w:tblStyleRowBandSize w:val="1"/>
      <w:tblStyleColBandSize w:val="1"/>
      <w:tblBorders>
        <w:top w:val="single" w:sz="8" w:space="0" w:color="B5E0E1" w:themeColor="accent4" w:themeTint="BF"/>
        <w:left w:val="single" w:sz="8" w:space="0" w:color="B5E0E1" w:themeColor="accent4" w:themeTint="BF"/>
        <w:bottom w:val="single" w:sz="8" w:space="0" w:color="B5E0E1" w:themeColor="accent4" w:themeTint="BF"/>
        <w:right w:val="single" w:sz="8" w:space="0" w:color="B5E0E1" w:themeColor="accent4" w:themeTint="BF"/>
        <w:insideH w:val="single" w:sz="8" w:space="0" w:color="B5E0E1" w:themeColor="accent4" w:themeTint="BF"/>
        <w:insideV w:val="single" w:sz="8" w:space="0" w:color="B5E0E1" w:themeColor="accent4" w:themeTint="BF"/>
      </w:tblBorders>
    </w:tblPr>
    <w:tcPr>
      <w:shd w:val="clear" w:color="auto" w:fill="E6F5F5" w:themeFill="accent4" w:themeFillTint="3F"/>
    </w:tcPr>
    <w:tblStylePr w:type="firstRow">
      <w:rPr>
        <w:b/>
        <w:bCs/>
      </w:rPr>
    </w:tblStylePr>
    <w:tblStylePr w:type="lastRow">
      <w:rPr>
        <w:b/>
        <w:bCs/>
      </w:rPr>
      <w:tblPr/>
      <w:tcPr>
        <w:tcBorders>
          <w:top w:val="single" w:sz="18" w:space="0" w:color="B5E0E1" w:themeColor="accent4" w:themeTint="BF"/>
        </w:tcBorders>
      </w:tcPr>
    </w:tblStylePr>
    <w:tblStylePr w:type="firstCol">
      <w:rPr>
        <w:b/>
        <w:bCs/>
      </w:rPr>
    </w:tblStylePr>
    <w:tblStylePr w:type="lastCol">
      <w:rPr>
        <w:b/>
        <w:bCs/>
      </w:rPr>
    </w:tblStylePr>
    <w:tblStylePr w:type="band1Vert">
      <w:tblPr/>
      <w:tcPr>
        <w:shd w:val="clear" w:color="auto" w:fill="CEEBEB" w:themeFill="accent4" w:themeFillTint="7F"/>
      </w:tcPr>
    </w:tblStylePr>
    <w:tblStylePr w:type="band1Horz">
      <w:tblPr/>
      <w:tcPr>
        <w:shd w:val="clear" w:color="auto" w:fill="CEEBEB" w:themeFill="accent4" w:themeFillTint="7F"/>
      </w:tcPr>
    </w:tblStylePr>
  </w:style>
  <w:style w:type="table" w:styleId="MediumGrid1-Accent5">
    <w:name w:val="Medium Grid 1 Accent 5"/>
    <w:basedOn w:val="TableNormal"/>
    <w:uiPriority w:val="67"/>
    <w:rsid w:val="001F7D91"/>
    <w:pPr>
      <w:spacing w:after="0" w:line="240" w:lineRule="auto"/>
    </w:pPr>
    <w:rPr>
      <w:sz w:val="22"/>
      <w:szCs w:val="22"/>
    </w:rPr>
    <w:tblPr>
      <w:tblStyleRowBandSize w:val="1"/>
      <w:tblStyleColBandSize w:val="1"/>
      <w:tblBorders>
        <w:top w:val="single" w:sz="8" w:space="0" w:color="F19D64" w:themeColor="accent5" w:themeTint="BF"/>
        <w:left w:val="single" w:sz="8" w:space="0" w:color="F19D64" w:themeColor="accent5" w:themeTint="BF"/>
        <w:bottom w:val="single" w:sz="8" w:space="0" w:color="F19D64" w:themeColor="accent5" w:themeTint="BF"/>
        <w:right w:val="single" w:sz="8" w:space="0" w:color="F19D64" w:themeColor="accent5" w:themeTint="BF"/>
        <w:insideH w:val="single" w:sz="8" w:space="0" w:color="F19D64" w:themeColor="accent5" w:themeTint="BF"/>
        <w:insideV w:val="single" w:sz="8" w:space="0" w:color="F19D64" w:themeColor="accent5" w:themeTint="BF"/>
      </w:tblBorders>
    </w:tblPr>
    <w:tcPr>
      <w:shd w:val="clear" w:color="auto" w:fill="FADECB" w:themeFill="accent5" w:themeFillTint="3F"/>
    </w:tcPr>
    <w:tblStylePr w:type="firstRow">
      <w:rPr>
        <w:b/>
        <w:bCs/>
      </w:rPr>
    </w:tblStylePr>
    <w:tblStylePr w:type="lastRow">
      <w:rPr>
        <w:b/>
        <w:bCs/>
      </w:rPr>
      <w:tblPr/>
      <w:tcPr>
        <w:tcBorders>
          <w:top w:val="single" w:sz="18" w:space="0" w:color="F19D64" w:themeColor="accent5" w:themeTint="BF"/>
        </w:tcBorders>
      </w:tcPr>
    </w:tblStylePr>
    <w:tblStylePr w:type="firstCol">
      <w:rPr>
        <w:b/>
        <w:bCs/>
      </w:rPr>
    </w:tblStylePr>
    <w:tblStylePr w:type="lastCol">
      <w:rPr>
        <w:b/>
        <w:bCs/>
      </w:rPr>
    </w:tblStylePr>
    <w:tblStylePr w:type="band1Vert">
      <w:tblPr/>
      <w:tcPr>
        <w:shd w:val="clear" w:color="auto" w:fill="F6BE98" w:themeFill="accent5" w:themeFillTint="7F"/>
      </w:tcPr>
    </w:tblStylePr>
    <w:tblStylePr w:type="band1Horz">
      <w:tblPr/>
      <w:tcPr>
        <w:shd w:val="clear" w:color="auto" w:fill="F6BE98" w:themeFill="accent5" w:themeFillTint="7F"/>
      </w:tcPr>
    </w:tblStylePr>
  </w:style>
  <w:style w:type="table" w:styleId="MediumGrid1-Accent6">
    <w:name w:val="Medium Grid 1 Accent 6"/>
    <w:basedOn w:val="TableNormal"/>
    <w:uiPriority w:val="67"/>
    <w:rsid w:val="001F7D91"/>
    <w:pPr>
      <w:spacing w:after="0" w:line="240" w:lineRule="auto"/>
    </w:pPr>
    <w:rPr>
      <w:sz w:val="22"/>
      <w:szCs w:val="22"/>
    </w:rPr>
    <w:tblPr>
      <w:tblStyleRowBandSize w:val="1"/>
      <w:tblStyleColBandSize w:val="1"/>
      <w:tblBorders>
        <w:top w:val="single" w:sz="8" w:space="0" w:color="6B7A86" w:themeColor="accent6" w:themeTint="BF"/>
        <w:left w:val="single" w:sz="8" w:space="0" w:color="6B7A86" w:themeColor="accent6" w:themeTint="BF"/>
        <w:bottom w:val="single" w:sz="8" w:space="0" w:color="6B7A86" w:themeColor="accent6" w:themeTint="BF"/>
        <w:right w:val="single" w:sz="8" w:space="0" w:color="6B7A86" w:themeColor="accent6" w:themeTint="BF"/>
        <w:insideH w:val="single" w:sz="8" w:space="0" w:color="6B7A86" w:themeColor="accent6" w:themeTint="BF"/>
        <w:insideV w:val="single" w:sz="8" w:space="0" w:color="6B7A86" w:themeColor="accent6" w:themeTint="BF"/>
      </w:tblBorders>
    </w:tblPr>
    <w:tcPr>
      <w:shd w:val="clear" w:color="auto" w:fill="CDD3D7" w:themeFill="accent6" w:themeFillTint="3F"/>
    </w:tcPr>
    <w:tblStylePr w:type="firstRow">
      <w:rPr>
        <w:b/>
        <w:bCs/>
      </w:rPr>
    </w:tblStylePr>
    <w:tblStylePr w:type="lastRow">
      <w:rPr>
        <w:b/>
        <w:bCs/>
      </w:rPr>
      <w:tblPr/>
      <w:tcPr>
        <w:tcBorders>
          <w:top w:val="single" w:sz="18" w:space="0" w:color="6B7A86" w:themeColor="accent6" w:themeTint="BF"/>
        </w:tcBorders>
      </w:tcPr>
    </w:tblStylePr>
    <w:tblStylePr w:type="firstCol">
      <w:rPr>
        <w:b/>
        <w:bCs/>
      </w:rPr>
    </w:tblStylePr>
    <w:tblStylePr w:type="lastCol">
      <w:rPr>
        <w:b/>
        <w:bCs/>
      </w:rPr>
    </w:tblStylePr>
    <w:tblStylePr w:type="band1Vert">
      <w:tblPr/>
      <w:tcPr>
        <w:shd w:val="clear" w:color="auto" w:fill="9BA7AF" w:themeFill="accent6" w:themeFillTint="7F"/>
      </w:tcPr>
    </w:tblStylePr>
    <w:tblStylePr w:type="band1Horz">
      <w:tblPr/>
      <w:tcPr>
        <w:shd w:val="clear" w:color="auto" w:fill="9BA7AF" w:themeFill="accent6" w:themeFillTint="7F"/>
      </w:tcPr>
    </w:tblStylePr>
  </w:style>
  <w:style w:type="table" w:styleId="MediumGrid2">
    <w:name w:val="Medium Grid 2"/>
    <w:basedOn w:val="TableNormal"/>
    <w:uiPriority w:val="68"/>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E10D11" w:themeColor="accent1"/>
        <w:left w:val="single" w:sz="8" w:space="0" w:color="E10D11" w:themeColor="accent1"/>
        <w:bottom w:val="single" w:sz="8" w:space="0" w:color="E10D11" w:themeColor="accent1"/>
        <w:right w:val="single" w:sz="8" w:space="0" w:color="E10D11" w:themeColor="accent1"/>
        <w:insideH w:val="single" w:sz="8" w:space="0" w:color="E10D11" w:themeColor="accent1"/>
        <w:insideV w:val="single" w:sz="8" w:space="0" w:color="E10D11" w:themeColor="accent1"/>
      </w:tblBorders>
    </w:tblPr>
    <w:tcPr>
      <w:shd w:val="clear" w:color="auto" w:fill="FBBFC0" w:themeFill="accent1" w:themeFillTint="3F"/>
    </w:tcPr>
    <w:tblStylePr w:type="firstRow">
      <w:rPr>
        <w:b/>
        <w:bCs/>
        <w:color w:val="333333" w:themeColor="text1"/>
      </w:rPr>
      <w:tblPr/>
      <w:tcPr>
        <w:shd w:val="clear" w:color="auto" w:fill="FDE5E6"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CCBCC" w:themeFill="accent1" w:themeFillTint="33"/>
      </w:tcPr>
    </w:tblStylePr>
    <w:tblStylePr w:type="band1Vert">
      <w:tblPr/>
      <w:tcPr>
        <w:shd w:val="clear" w:color="auto" w:fill="F77E80" w:themeFill="accent1" w:themeFillTint="7F"/>
      </w:tcPr>
    </w:tblStylePr>
    <w:tblStylePr w:type="band1Horz">
      <w:tblPr/>
      <w:tcPr>
        <w:tcBorders>
          <w:insideH w:val="single" w:sz="6" w:space="0" w:color="E10D11" w:themeColor="accent1"/>
          <w:insideV w:val="single" w:sz="6" w:space="0" w:color="E10D11" w:themeColor="accent1"/>
        </w:tcBorders>
        <w:shd w:val="clear" w:color="auto" w:fill="F77E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E5E53E" w:themeColor="accent2"/>
        <w:left w:val="single" w:sz="8" w:space="0" w:color="E5E53E" w:themeColor="accent2"/>
        <w:bottom w:val="single" w:sz="8" w:space="0" w:color="E5E53E" w:themeColor="accent2"/>
        <w:right w:val="single" w:sz="8" w:space="0" w:color="E5E53E" w:themeColor="accent2"/>
        <w:insideH w:val="single" w:sz="8" w:space="0" w:color="E5E53E" w:themeColor="accent2"/>
        <w:insideV w:val="single" w:sz="8" w:space="0" w:color="E5E53E" w:themeColor="accent2"/>
      </w:tblBorders>
    </w:tblPr>
    <w:tcPr>
      <w:shd w:val="clear" w:color="auto" w:fill="F8F8CF" w:themeFill="accent2" w:themeFillTint="3F"/>
    </w:tcPr>
    <w:tblStylePr w:type="firstRow">
      <w:rPr>
        <w:b/>
        <w:bCs/>
        <w:color w:val="333333" w:themeColor="text1"/>
      </w:rPr>
      <w:tblPr/>
      <w:tcPr>
        <w:shd w:val="clear" w:color="auto" w:fill="FCFCEB"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9F9D8" w:themeFill="accent2" w:themeFillTint="33"/>
      </w:tcPr>
    </w:tblStylePr>
    <w:tblStylePr w:type="band1Vert">
      <w:tblPr/>
      <w:tcPr>
        <w:shd w:val="clear" w:color="auto" w:fill="F2F29E" w:themeFill="accent2" w:themeFillTint="7F"/>
      </w:tcPr>
    </w:tblStylePr>
    <w:tblStylePr w:type="band1Horz">
      <w:tblPr/>
      <w:tcPr>
        <w:tcBorders>
          <w:insideH w:val="single" w:sz="6" w:space="0" w:color="E5E53E" w:themeColor="accent2"/>
          <w:insideV w:val="single" w:sz="6" w:space="0" w:color="E5E53E" w:themeColor="accent2"/>
        </w:tcBorders>
        <w:shd w:val="clear" w:color="auto" w:fill="F2F29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3399CC" w:themeColor="accent3"/>
        <w:left w:val="single" w:sz="8" w:space="0" w:color="3399CC" w:themeColor="accent3"/>
        <w:bottom w:val="single" w:sz="8" w:space="0" w:color="3399CC" w:themeColor="accent3"/>
        <w:right w:val="single" w:sz="8" w:space="0" w:color="3399CC" w:themeColor="accent3"/>
        <w:insideH w:val="single" w:sz="8" w:space="0" w:color="3399CC" w:themeColor="accent3"/>
        <w:insideV w:val="single" w:sz="8" w:space="0" w:color="3399CC" w:themeColor="accent3"/>
      </w:tblBorders>
    </w:tblPr>
    <w:tcPr>
      <w:shd w:val="clear" w:color="auto" w:fill="CCE5F2" w:themeFill="accent3" w:themeFillTint="3F"/>
    </w:tcPr>
    <w:tblStylePr w:type="firstRow">
      <w:rPr>
        <w:b/>
        <w:bCs/>
        <w:color w:val="333333" w:themeColor="text1"/>
      </w:rPr>
      <w:tblPr/>
      <w:tcPr>
        <w:shd w:val="clear" w:color="auto" w:fill="EBF5FA"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EAF4" w:themeFill="accent3" w:themeFillTint="33"/>
      </w:tcPr>
    </w:tblStylePr>
    <w:tblStylePr w:type="band1Vert">
      <w:tblPr/>
      <w:tcPr>
        <w:shd w:val="clear" w:color="auto" w:fill="99CCE5" w:themeFill="accent3" w:themeFillTint="7F"/>
      </w:tcPr>
    </w:tblStylePr>
    <w:tblStylePr w:type="band1Horz">
      <w:tblPr/>
      <w:tcPr>
        <w:tcBorders>
          <w:insideH w:val="single" w:sz="6" w:space="0" w:color="3399CC" w:themeColor="accent3"/>
          <w:insideV w:val="single" w:sz="6" w:space="0" w:color="3399CC" w:themeColor="accent3"/>
        </w:tcBorders>
        <w:shd w:val="clear" w:color="auto" w:fill="99CCE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9DD7D8" w:themeColor="accent4"/>
        <w:left w:val="single" w:sz="8" w:space="0" w:color="9DD7D8" w:themeColor="accent4"/>
        <w:bottom w:val="single" w:sz="8" w:space="0" w:color="9DD7D8" w:themeColor="accent4"/>
        <w:right w:val="single" w:sz="8" w:space="0" w:color="9DD7D8" w:themeColor="accent4"/>
        <w:insideH w:val="single" w:sz="8" w:space="0" w:color="9DD7D8" w:themeColor="accent4"/>
        <w:insideV w:val="single" w:sz="8" w:space="0" w:color="9DD7D8" w:themeColor="accent4"/>
      </w:tblBorders>
    </w:tblPr>
    <w:tcPr>
      <w:shd w:val="clear" w:color="auto" w:fill="E6F5F5" w:themeFill="accent4" w:themeFillTint="3F"/>
    </w:tcPr>
    <w:tblStylePr w:type="firstRow">
      <w:rPr>
        <w:b/>
        <w:bCs/>
        <w:color w:val="333333" w:themeColor="text1"/>
      </w:rPr>
      <w:tblPr/>
      <w:tcPr>
        <w:shd w:val="clear" w:color="auto" w:fill="F5FBFB"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BF6F7" w:themeFill="accent4" w:themeFillTint="33"/>
      </w:tcPr>
    </w:tblStylePr>
    <w:tblStylePr w:type="band1Vert">
      <w:tblPr/>
      <w:tcPr>
        <w:shd w:val="clear" w:color="auto" w:fill="CEEBEB" w:themeFill="accent4" w:themeFillTint="7F"/>
      </w:tcPr>
    </w:tblStylePr>
    <w:tblStylePr w:type="band1Horz">
      <w:tblPr/>
      <w:tcPr>
        <w:tcBorders>
          <w:insideH w:val="single" w:sz="6" w:space="0" w:color="9DD7D8" w:themeColor="accent4"/>
          <w:insideV w:val="single" w:sz="6" w:space="0" w:color="9DD7D8" w:themeColor="accent4"/>
        </w:tcBorders>
        <w:shd w:val="clear" w:color="auto" w:fill="CEEBE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ED7D31" w:themeColor="accent5"/>
        <w:left w:val="single" w:sz="8" w:space="0" w:color="ED7D31" w:themeColor="accent5"/>
        <w:bottom w:val="single" w:sz="8" w:space="0" w:color="ED7D31" w:themeColor="accent5"/>
        <w:right w:val="single" w:sz="8" w:space="0" w:color="ED7D31" w:themeColor="accent5"/>
        <w:insideH w:val="single" w:sz="8" w:space="0" w:color="ED7D31" w:themeColor="accent5"/>
        <w:insideV w:val="single" w:sz="8" w:space="0" w:color="ED7D31" w:themeColor="accent5"/>
      </w:tblBorders>
    </w:tblPr>
    <w:tcPr>
      <w:shd w:val="clear" w:color="auto" w:fill="FADECB" w:themeFill="accent5" w:themeFillTint="3F"/>
    </w:tcPr>
    <w:tblStylePr w:type="firstRow">
      <w:rPr>
        <w:b/>
        <w:bCs/>
        <w:color w:val="333333" w:themeColor="text1"/>
      </w:rPr>
      <w:tblPr/>
      <w:tcPr>
        <w:shd w:val="clear" w:color="auto" w:fill="FDF2EA"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BE4D5" w:themeFill="accent5" w:themeFillTint="33"/>
      </w:tcPr>
    </w:tblStylePr>
    <w:tblStylePr w:type="band1Vert">
      <w:tblPr/>
      <w:tcPr>
        <w:shd w:val="clear" w:color="auto" w:fill="F6BE98" w:themeFill="accent5" w:themeFillTint="7F"/>
      </w:tcPr>
    </w:tblStylePr>
    <w:tblStylePr w:type="band1Horz">
      <w:tblPr/>
      <w:tcPr>
        <w:tcBorders>
          <w:insideH w:val="single" w:sz="6" w:space="0" w:color="ED7D31" w:themeColor="accent5"/>
          <w:insideV w:val="single" w:sz="6" w:space="0" w:color="ED7D31" w:themeColor="accent5"/>
        </w:tcBorders>
        <w:shd w:val="clear" w:color="auto" w:fill="F6BE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F7D91"/>
    <w:pPr>
      <w:spacing w:after="0" w:line="240" w:lineRule="auto"/>
    </w:pPr>
    <w:rPr>
      <w:rFonts w:asciiTheme="majorHAnsi" w:eastAsiaTheme="majorEastAsia" w:hAnsiTheme="majorHAnsi" w:cstheme="majorBidi"/>
      <w:color w:val="333333" w:themeColor="text1"/>
      <w:sz w:val="22"/>
      <w:szCs w:val="22"/>
    </w:rPr>
    <w:tblPr>
      <w:tblStyleRowBandSize w:val="1"/>
      <w:tblStyleColBandSize w:val="1"/>
      <w:tblBorders>
        <w:top w:val="single" w:sz="8" w:space="0" w:color="434D54" w:themeColor="accent6"/>
        <w:left w:val="single" w:sz="8" w:space="0" w:color="434D54" w:themeColor="accent6"/>
        <w:bottom w:val="single" w:sz="8" w:space="0" w:color="434D54" w:themeColor="accent6"/>
        <w:right w:val="single" w:sz="8" w:space="0" w:color="434D54" w:themeColor="accent6"/>
        <w:insideH w:val="single" w:sz="8" w:space="0" w:color="434D54" w:themeColor="accent6"/>
        <w:insideV w:val="single" w:sz="8" w:space="0" w:color="434D54" w:themeColor="accent6"/>
      </w:tblBorders>
    </w:tblPr>
    <w:tcPr>
      <w:shd w:val="clear" w:color="auto" w:fill="CDD3D7" w:themeFill="accent6" w:themeFillTint="3F"/>
    </w:tcPr>
    <w:tblStylePr w:type="firstRow">
      <w:rPr>
        <w:b/>
        <w:bCs/>
        <w:color w:val="333333" w:themeColor="text1"/>
      </w:rPr>
      <w:tblPr/>
      <w:tcPr>
        <w:shd w:val="clear" w:color="auto" w:fill="EBEDEF"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BDF" w:themeFill="accent6" w:themeFillTint="33"/>
      </w:tcPr>
    </w:tblStylePr>
    <w:tblStylePr w:type="band1Vert">
      <w:tblPr/>
      <w:tcPr>
        <w:shd w:val="clear" w:color="auto" w:fill="9BA7AF" w:themeFill="accent6" w:themeFillTint="7F"/>
      </w:tcPr>
    </w:tblStylePr>
    <w:tblStylePr w:type="band1Horz">
      <w:tblPr/>
      <w:tcPr>
        <w:tcBorders>
          <w:insideH w:val="single" w:sz="6" w:space="0" w:color="434D54" w:themeColor="accent6"/>
          <w:insideV w:val="single" w:sz="6" w:space="0" w:color="434D54" w:themeColor="accent6"/>
        </w:tcBorders>
        <w:shd w:val="clear" w:color="auto" w:fill="9BA7A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F7D91"/>
    <w:pPr>
      <w:spacing w:after="0" w:line="240" w:lineRule="auto"/>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rsid w:val="001F7D91"/>
    <w:pPr>
      <w:spacing w:after="0" w:line="240" w:lineRule="auto"/>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BF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0D1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0D1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0D1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0D1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7E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7E80" w:themeFill="accent1" w:themeFillTint="7F"/>
      </w:tcPr>
    </w:tblStylePr>
  </w:style>
  <w:style w:type="table" w:styleId="MediumGrid3-Accent2">
    <w:name w:val="Medium Grid 3 Accent 2"/>
    <w:basedOn w:val="TableNormal"/>
    <w:uiPriority w:val="69"/>
    <w:rsid w:val="001F7D91"/>
    <w:pPr>
      <w:spacing w:after="0" w:line="240" w:lineRule="auto"/>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8C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E53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E53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E53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E53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9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9E" w:themeFill="accent2" w:themeFillTint="7F"/>
      </w:tcPr>
    </w:tblStylePr>
  </w:style>
  <w:style w:type="table" w:styleId="MediumGrid3-Accent3">
    <w:name w:val="Medium Grid 3 Accent 3"/>
    <w:basedOn w:val="TableNormal"/>
    <w:uiPriority w:val="69"/>
    <w:rsid w:val="001F7D91"/>
    <w:pPr>
      <w:spacing w:after="0" w:line="240" w:lineRule="auto"/>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E5F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99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99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99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99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CCE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CCE5" w:themeFill="accent3" w:themeFillTint="7F"/>
      </w:tcPr>
    </w:tblStylePr>
  </w:style>
  <w:style w:type="table" w:styleId="MediumGrid3-Accent4">
    <w:name w:val="Medium Grid 3 Accent 4"/>
    <w:basedOn w:val="TableNormal"/>
    <w:uiPriority w:val="69"/>
    <w:rsid w:val="001F7D91"/>
    <w:pPr>
      <w:spacing w:after="0" w:line="240" w:lineRule="auto"/>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F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D7D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D7D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D7D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D7D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EBE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EBEB" w:themeFill="accent4" w:themeFillTint="7F"/>
      </w:tcPr>
    </w:tblStylePr>
  </w:style>
  <w:style w:type="table" w:styleId="MediumGrid3-Accent5">
    <w:name w:val="Medium Grid 3 Accent 5"/>
    <w:basedOn w:val="TableNormal"/>
    <w:uiPriority w:val="69"/>
    <w:rsid w:val="001F7D91"/>
    <w:pPr>
      <w:spacing w:after="0" w:line="240" w:lineRule="auto"/>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5" w:themeFillTint="7F"/>
      </w:tcPr>
    </w:tblStylePr>
  </w:style>
  <w:style w:type="table" w:styleId="MediumGrid3-Accent6">
    <w:name w:val="Medium Grid 3 Accent 6"/>
    <w:basedOn w:val="TableNormal"/>
    <w:uiPriority w:val="69"/>
    <w:rsid w:val="001F7D91"/>
    <w:pPr>
      <w:spacing w:after="0" w:line="240" w:lineRule="auto"/>
    </w:pPr>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DD3D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34D5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34D5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34D5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34D5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BA7A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BA7AF" w:themeFill="accent6" w:themeFillTint="7F"/>
      </w:tcPr>
    </w:tblStylePr>
  </w:style>
  <w:style w:type="table" w:styleId="DarkList">
    <w:name w:val="Dark List"/>
    <w:basedOn w:val="TableNormal"/>
    <w:uiPriority w:val="70"/>
    <w:rsid w:val="001F7D91"/>
    <w:pPr>
      <w:spacing w:after="0" w:line="240" w:lineRule="auto"/>
    </w:pPr>
    <w:rPr>
      <w:color w:val="FFFFFF" w:themeColor="background1"/>
      <w:sz w:val="22"/>
      <w:szCs w:val="22"/>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rsid w:val="001F7D91"/>
    <w:pPr>
      <w:spacing w:after="0" w:line="240" w:lineRule="auto"/>
    </w:pPr>
    <w:rPr>
      <w:color w:val="FFFFFF" w:themeColor="background1"/>
      <w:sz w:val="22"/>
      <w:szCs w:val="22"/>
    </w:rPr>
    <w:tblPr>
      <w:tblStyleRowBandSize w:val="1"/>
      <w:tblStyleColBandSize w:val="1"/>
    </w:tblPr>
    <w:tcPr>
      <w:shd w:val="clear" w:color="auto" w:fill="E10D1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F060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8090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8090C" w:themeFill="accent1" w:themeFillShade="BF"/>
      </w:tcPr>
    </w:tblStylePr>
    <w:tblStylePr w:type="band1Vert">
      <w:tblPr/>
      <w:tcPr>
        <w:tcBorders>
          <w:top w:val="nil"/>
          <w:left w:val="nil"/>
          <w:bottom w:val="nil"/>
          <w:right w:val="nil"/>
          <w:insideH w:val="nil"/>
          <w:insideV w:val="nil"/>
        </w:tcBorders>
        <w:shd w:val="clear" w:color="auto" w:fill="A8090C" w:themeFill="accent1" w:themeFillShade="BF"/>
      </w:tcPr>
    </w:tblStylePr>
    <w:tblStylePr w:type="band1Horz">
      <w:tblPr/>
      <w:tcPr>
        <w:tcBorders>
          <w:top w:val="nil"/>
          <w:left w:val="nil"/>
          <w:bottom w:val="nil"/>
          <w:right w:val="nil"/>
          <w:insideH w:val="nil"/>
          <w:insideV w:val="nil"/>
        </w:tcBorders>
        <w:shd w:val="clear" w:color="auto" w:fill="A8090C" w:themeFill="accent1" w:themeFillShade="BF"/>
      </w:tcPr>
    </w:tblStylePr>
  </w:style>
  <w:style w:type="table" w:styleId="DarkList-Accent2">
    <w:name w:val="Dark List Accent 2"/>
    <w:basedOn w:val="TableNormal"/>
    <w:uiPriority w:val="70"/>
    <w:rsid w:val="001F7D91"/>
    <w:pPr>
      <w:spacing w:after="0" w:line="240" w:lineRule="auto"/>
    </w:pPr>
    <w:rPr>
      <w:color w:val="FFFFFF" w:themeColor="background1"/>
      <w:sz w:val="22"/>
      <w:szCs w:val="22"/>
    </w:rPr>
    <w:tblPr>
      <w:tblStyleRowBandSize w:val="1"/>
      <w:tblStyleColBandSize w:val="1"/>
    </w:tblPr>
    <w:tcPr>
      <w:shd w:val="clear" w:color="auto" w:fill="E5E53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7F7F1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BF1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BF1A" w:themeFill="accent2" w:themeFillShade="BF"/>
      </w:tcPr>
    </w:tblStylePr>
    <w:tblStylePr w:type="band1Vert">
      <w:tblPr/>
      <w:tcPr>
        <w:tcBorders>
          <w:top w:val="nil"/>
          <w:left w:val="nil"/>
          <w:bottom w:val="nil"/>
          <w:right w:val="nil"/>
          <w:insideH w:val="nil"/>
          <w:insideV w:val="nil"/>
        </w:tcBorders>
        <w:shd w:val="clear" w:color="auto" w:fill="BFBF1A" w:themeFill="accent2" w:themeFillShade="BF"/>
      </w:tcPr>
    </w:tblStylePr>
    <w:tblStylePr w:type="band1Horz">
      <w:tblPr/>
      <w:tcPr>
        <w:tcBorders>
          <w:top w:val="nil"/>
          <w:left w:val="nil"/>
          <w:bottom w:val="nil"/>
          <w:right w:val="nil"/>
          <w:insideH w:val="nil"/>
          <w:insideV w:val="nil"/>
        </w:tcBorders>
        <w:shd w:val="clear" w:color="auto" w:fill="BFBF1A" w:themeFill="accent2" w:themeFillShade="BF"/>
      </w:tcPr>
    </w:tblStylePr>
  </w:style>
  <w:style w:type="table" w:styleId="DarkList-Accent3">
    <w:name w:val="Dark List Accent 3"/>
    <w:basedOn w:val="TableNormal"/>
    <w:uiPriority w:val="70"/>
    <w:rsid w:val="001F7D91"/>
    <w:pPr>
      <w:spacing w:after="0" w:line="240" w:lineRule="auto"/>
    </w:pPr>
    <w:rPr>
      <w:color w:val="FFFFFF" w:themeColor="background1"/>
      <w:sz w:val="22"/>
      <w:szCs w:val="22"/>
    </w:rPr>
    <w:tblPr>
      <w:tblStyleRowBandSize w:val="1"/>
      <w:tblStyleColBandSize w:val="1"/>
    </w:tblPr>
    <w:tcPr>
      <w:shd w:val="clear" w:color="auto" w:fill="3399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4C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672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67298" w:themeFill="accent3" w:themeFillShade="BF"/>
      </w:tcPr>
    </w:tblStylePr>
    <w:tblStylePr w:type="band1Vert">
      <w:tblPr/>
      <w:tcPr>
        <w:tcBorders>
          <w:top w:val="nil"/>
          <w:left w:val="nil"/>
          <w:bottom w:val="nil"/>
          <w:right w:val="nil"/>
          <w:insideH w:val="nil"/>
          <w:insideV w:val="nil"/>
        </w:tcBorders>
        <w:shd w:val="clear" w:color="auto" w:fill="267298" w:themeFill="accent3" w:themeFillShade="BF"/>
      </w:tcPr>
    </w:tblStylePr>
    <w:tblStylePr w:type="band1Horz">
      <w:tblPr/>
      <w:tcPr>
        <w:tcBorders>
          <w:top w:val="nil"/>
          <w:left w:val="nil"/>
          <w:bottom w:val="nil"/>
          <w:right w:val="nil"/>
          <w:insideH w:val="nil"/>
          <w:insideV w:val="nil"/>
        </w:tcBorders>
        <w:shd w:val="clear" w:color="auto" w:fill="267298" w:themeFill="accent3" w:themeFillShade="BF"/>
      </w:tcPr>
    </w:tblStylePr>
  </w:style>
  <w:style w:type="table" w:styleId="DarkList-Accent4">
    <w:name w:val="Dark List Accent 4"/>
    <w:basedOn w:val="TableNormal"/>
    <w:uiPriority w:val="70"/>
    <w:rsid w:val="001F7D91"/>
    <w:pPr>
      <w:spacing w:after="0" w:line="240" w:lineRule="auto"/>
    </w:pPr>
    <w:rPr>
      <w:color w:val="FFFFFF" w:themeColor="background1"/>
      <w:sz w:val="22"/>
      <w:szCs w:val="22"/>
    </w:rPr>
    <w:tblPr>
      <w:tblStyleRowBandSize w:val="1"/>
      <w:tblStyleColBandSize w:val="1"/>
    </w:tblPr>
    <w:tcPr>
      <w:shd w:val="clear" w:color="auto" w:fill="9DD7D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5838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BBBD"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BBBD" w:themeFill="accent4" w:themeFillShade="BF"/>
      </w:tcPr>
    </w:tblStylePr>
    <w:tblStylePr w:type="band1Vert">
      <w:tblPr/>
      <w:tcPr>
        <w:tcBorders>
          <w:top w:val="nil"/>
          <w:left w:val="nil"/>
          <w:bottom w:val="nil"/>
          <w:right w:val="nil"/>
          <w:insideH w:val="nil"/>
          <w:insideV w:val="nil"/>
        </w:tcBorders>
        <w:shd w:val="clear" w:color="auto" w:fill="5ABBBD" w:themeFill="accent4" w:themeFillShade="BF"/>
      </w:tcPr>
    </w:tblStylePr>
    <w:tblStylePr w:type="band1Horz">
      <w:tblPr/>
      <w:tcPr>
        <w:tcBorders>
          <w:top w:val="nil"/>
          <w:left w:val="nil"/>
          <w:bottom w:val="nil"/>
          <w:right w:val="nil"/>
          <w:insideH w:val="nil"/>
          <w:insideV w:val="nil"/>
        </w:tcBorders>
        <w:shd w:val="clear" w:color="auto" w:fill="5ABBBD" w:themeFill="accent4" w:themeFillShade="BF"/>
      </w:tcPr>
    </w:tblStylePr>
  </w:style>
  <w:style w:type="table" w:styleId="DarkList-Accent5">
    <w:name w:val="Dark List Accent 5"/>
    <w:basedOn w:val="TableNormal"/>
    <w:uiPriority w:val="70"/>
    <w:rsid w:val="001F7D91"/>
    <w:pPr>
      <w:spacing w:after="0" w:line="240" w:lineRule="auto"/>
    </w:pPr>
    <w:rPr>
      <w:color w:val="FFFFFF" w:themeColor="background1"/>
      <w:sz w:val="22"/>
      <w:szCs w:val="22"/>
    </w:rPr>
    <w:tblPr>
      <w:tblStyleRowBandSize w:val="1"/>
      <w:tblStyleColBandSize w:val="1"/>
    </w:tblPr>
    <w:tcPr>
      <w:shd w:val="clear" w:color="auto" w:fill="ED7D3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5" w:themeFillShade="BF"/>
      </w:tcPr>
    </w:tblStylePr>
    <w:tblStylePr w:type="band1Vert">
      <w:tblPr/>
      <w:tcPr>
        <w:tcBorders>
          <w:top w:val="nil"/>
          <w:left w:val="nil"/>
          <w:bottom w:val="nil"/>
          <w:right w:val="nil"/>
          <w:insideH w:val="nil"/>
          <w:insideV w:val="nil"/>
        </w:tcBorders>
        <w:shd w:val="clear" w:color="auto" w:fill="C45911" w:themeFill="accent5" w:themeFillShade="BF"/>
      </w:tcPr>
    </w:tblStylePr>
    <w:tblStylePr w:type="band1Horz">
      <w:tblPr/>
      <w:tcPr>
        <w:tcBorders>
          <w:top w:val="nil"/>
          <w:left w:val="nil"/>
          <w:bottom w:val="nil"/>
          <w:right w:val="nil"/>
          <w:insideH w:val="nil"/>
          <w:insideV w:val="nil"/>
        </w:tcBorders>
        <w:shd w:val="clear" w:color="auto" w:fill="C45911" w:themeFill="accent5" w:themeFillShade="BF"/>
      </w:tcPr>
    </w:tblStylePr>
  </w:style>
  <w:style w:type="table" w:styleId="DarkList-Accent6">
    <w:name w:val="Dark List Accent 6"/>
    <w:basedOn w:val="TableNormal"/>
    <w:uiPriority w:val="70"/>
    <w:rsid w:val="001F7D91"/>
    <w:pPr>
      <w:spacing w:after="0" w:line="240" w:lineRule="auto"/>
    </w:pPr>
    <w:rPr>
      <w:color w:val="FFFFFF" w:themeColor="background1"/>
      <w:sz w:val="22"/>
      <w:szCs w:val="22"/>
    </w:rPr>
    <w:tblPr>
      <w:tblStyleRowBandSize w:val="1"/>
      <w:tblStyleColBandSize w:val="1"/>
    </w:tblPr>
    <w:tcPr>
      <w:shd w:val="clear" w:color="auto" w:fill="434D5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21262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2393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2393E" w:themeFill="accent6" w:themeFillShade="BF"/>
      </w:tcPr>
    </w:tblStylePr>
    <w:tblStylePr w:type="band1Vert">
      <w:tblPr/>
      <w:tcPr>
        <w:tcBorders>
          <w:top w:val="nil"/>
          <w:left w:val="nil"/>
          <w:bottom w:val="nil"/>
          <w:right w:val="nil"/>
          <w:insideH w:val="nil"/>
          <w:insideV w:val="nil"/>
        </w:tcBorders>
        <w:shd w:val="clear" w:color="auto" w:fill="32393E" w:themeFill="accent6" w:themeFillShade="BF"/>
      </w:tcPr>
    </w:tblStylePr>
    <w:tblStylePr w:type="band1Horz">
      <w:tblPr/>
      <w:tcPr>
        <w:tcBorders>
          <w:top w:val="nil"/>
          <w:left w:val="nil"/>
          <w:bottom w:val="nil"/>
          <w:right w:val="nil"/>
          <w:insideH w:val="nil"/>
          <w:insideV w:val="nil"/>
        </w:tcBorders>
        <w:shd w:val="clear" w:color="auto" w:fill="32393E" w:themeFill="accent6" w:themeFillShade="BF"/>
      </w:tcPr>
    </w:tblStylePr>
  </w:style>
  <w:style w:type="table" w:styleId="ColorfulShading">
    <w:name w:val="Colorful Shading"/>
    <w:basedOn w:val="TableNormal"/>
    <w:uiPriority w:val="71"/>
    <w:rsid w:val="001F7D91"/>
    <w:pPr>
      <w:spacing w:after="0" w:line="240" w:lineRule="auto"/>
    </w:pPr>
    <w:rPr>
      <w:color w:val="333333" w:themeColor="text1"/>
      <w:sz w:val="22"/>
      <w:szCs w:val="22"/>
    </w:rPr>
    <w:tblPr>
      <w:tblStyleRowBandSize w:val="1"/>
      <w:tblStyleColBandSize w:val="1"/>
      <w:tblBorders>
        <w:top w:val="single" w:sz="24" w:space="0" w:color="E5E53E"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E5E53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rsid w:val="001F7D91"/>
    <w:pPr>
      <w:spacing w:after="0" w:line="240" w:lineRule="auto"/>
    </w:pPr>
    <w:rPr>
      <w:color w:val="333333" w:themeColor="text1"/>
      <w:sz w:val="22"/>
      <w:szCs w:val="22"/>
    </w:rPr>
    <w:tblPr>
      <w:tblStyleRowBandSize w:val="1"/>
      <w:tblStyleColBandSize w:val="1"/>
      <w:tblBorders>
        <w:top w:val="single" w:sz="24" w:space="0" w:color="E5E53E" w:themeColor="accent2"/>
        <w:left w:val="single" w:sz="4" w:space="0" w:color="E10D11" w:themeColor="accent1"/>
        <w:bottom w:val="single" w:sz="4" w:space="0" w:color="E10D11" w:themeColor="accent1"/>
        <w:right w:val="single" w:sz="4" w:space="0" w:color="E10D11" w:themeColor="accent1"/>
        <w:insideH w:val="single" w:sz="4" w:space="0" w:color="FFFFFF" w:themeColor="background1"/>
        <w:insideV w:val="single" w:sz="4" w:space="0" w:color="FFFFFF" w:themeColor="background1"/>
      </w:tblBorders>
    </w:tblPr>
    <w:tcPr>
      <w:shd w:val="clear" w:color="auto" w:fill="FDE5E6" w:themeFill="accent1" w:themeFillTint="19"/>
    </w:tcPr>
    <w:tblStylePr w:type="firstRow">
      <w:rPr>
        <w:b/>
        <w:bCs/>
      </w:rPr>
      <w:tblPr/>
      <w:tcPr>
        <w:tcBorders>
          <w:top w:val="nil"/>
          <w:left w:val="nil"/>
          <w:bottom w:val="single" w:sz="24" w:space="0" w:color="E5E53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60709" w:themeFill="accent1" w:themeFillShade="99"/>
      </w:tcPr>
    </w:tblStylePr>
    <w:tblStylePr w:type="firstCol">
      <w:rPr>
        <w:color w:val="FFFFFF" w:themeColor="background1"/>
      </w:rPr>
      <w:tblPr/>
      <w:tcPr>
        <w:tcBorders>
          <w:top w:val="nil"/>
          <w:left w:val="nil"/>
          <w:bottom w:val="nil"/>
          <w:right w:val="nil"/>
          <w:insideH w:val="single" w:sz="4" w:space="0" w:color="860709" w:themeColor="accent1" w:themeShade="99"/>
          <w:insideV w:val="nil"/>
        </w:tcBorders>
        <w:shd w:val="clear" w:color="auto" w:fill="86070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60709" w:themeFill="accent1" w:themeFillShade="99"/>
      </w:tcPr>
    </w:tblStylePr>
    <w:tblStylePr w:type="band1Vert">
      <w:tblPr/>
      <w:tcPr>
        <w:shd w:val="clear" w:color="auto" w:fill="F99799" w:themeFill="accent1" w:themeFillTint="66"/>
      </w:tcPr>
    </w:tblStylePr>
    <w:tblStylePr w:type="band1Horz">
      <w:tblPr/>
      <w:tcPr>
        <w:shd w:val="clear" w:color="auto" w:fill="F77E80"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rsid w:val="001F7D91"/>
    <w:pPr>
      <w:spacing w:after="0" w:line="240" w:lineRule="auto"/>
    </w:pPr>
    <w:rPr>
      <w:color w:val="333333" w:themeColor="text1"/>
      <w:sz w:val="22"/>
      <w:szCs w:val="22"/>
    </w:rPr>
    <w:tblPr>
      <w:tblStyleRowBandSize w:val="1"/>
      <w:tblStyleColBandSize w:val="1"/>
      <w:tblBorders>
        <w:top w:val="single" w:sz="24" w:space="0" w:color="E5E53E" w:themeColor="accent2"/>
        <w:left w:val="single" w:sz="4" w:space="0" w:color="E5E53E" w:themeColor="accent2"/>
        <w:bottom w:val="single" w:sz="4" w:space="0" w:color="E5E53E" w:themeColor="accent2"/>
        <w:right w:val="single" w:sz="4" w:space="0" w:color="E5E53E" w:themeColor="accent2"/>
        <w:insideH w:val="single" w:sz="4" w:space="0" w:color="FFFFFF" w:themeColor="background1"/>
        <w:insideV w:val="single" w:sz="4" w:space="0" w:color="FFFFFF" w:themeColor="background1"/>
      </w:tblBorders>
    </w:tblPr>
    <w:tcPr>
      <w:shd w:val="clear" w:color="auto" w:fill="FCFCEB" w:themeFill="accent2" w:themeFillTint="19"/>
    </w:tcPr>
    <w:tblStylePr w:type="firstRow">
      <w:rPr>
        <w:b/>
        <w:bCs/>
      </w:rPr>
      <w:tblPr/>
      <w:tcPr>
        <w:tcBorders>
          <w:top w:val="nil"/>
          <w:left w:val="nil"/>
          <w:bottom w:val="single" w:sz="24" w:space="0" w:color="E5E53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14" w:themeFill="accent2" w:themeFillShade="99"/>
      </w:tcPr>
    </w:tblStylePr>
    <w:tblStylePr w:type="firstCol">
      <w:rPr>
        <w:color w:val="FFFFFF" w:themeColor="background1"/>
      </w:rPr>
      <w:tblPr/>
      <w:tcPr>
        <w:tcBorders>
          <w:top w:val="nil"/>
          <w:left w:val="nil"/>
          <w:bottom w:val="nil"/>
          <w:right w:val="nil"/>
          <w:insideH w:val="single" w:sz="4" w:space="0" w:color="999914" w:themeColor="accent2" w:themeShade="99"/>
          <w:insideV w:val="nil"/>
        </w:tcBorders>
        <w:shd w:val="clear" w:color="auto" w:fill="99991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9914" w:themeFill="accent2" w:themeFillShade="99"/>
      </w:tcPr>
    </w:tblStylePr>
    <w:tblStylePr w:type="band1Vert">
      <w:tblPr/>
      <w:tcPr>
        <w:shd w:val="clear" w:color="auto" w:fill="F4F4B1" w:themeFill="accent2" w:themeFillTint="66"/>
      </w:tcPr>
    </w:tblStylePr>
    <w:tblStylePr w:type="band1Horz">
      <w:tblPr/>
      <w:tcPr>
        <w:shd w:val="clear" w:color="auto" w:fill="F2F29E"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rsid w:val="001F7D91"/>
    <w:pPr>
      <w:spacing w:after="0" w:line="240" w:lineRule="auto"/>
    </w:pPr>
    <w:rPr>
      <w:color w:val="333333" w:themeColor="text1"/>
      <w:sz w:val="22"/>
      <w:szCs w:val="22"/>
    </w:rPr>
    <w:tblPr>
      <w:tblStyleRowBandSize w:val="1"/>
      <w:tblStyleColBandSize w:val="1"/>
      <w:tblBorders>
        <w:top w:val="single" w:sz="24" w:space="0" w:color="9DD7D8" w:themeColor="accent4"/>
        <w:left w:val="single" w:sz="4" w:space="0" w:color="3399CC" w:themeColor="accent3"/>
        <w:bottom w:val="single" w:sz="4" w:space="0" w:color="3399CC" w:themeColor="accent3"/>
        <w:right w:val="single" w:sz="4" w:space="0" w:color="3399CC" w:themeColor="accent3"/>
        <w:insideH w:val="single" w:sz="4" w:space="0" w:color="FFFFFF" w:themeColor="background1"/>
        <w:insideV w:val="single" w:sz="4" w:space="0" w:color="FFFFFF" w:themeColor="background1"/>
      </w:tblBorders>
    </w:tblPr>
    <w:tcPr>
      <w:shd w:val="clear" w:color="auto" w:fill="EBF5FA" w:themeFill="accent3" w:themeFillTint="19"/>
    </w:tcPr>
    <w:tblStylePr w:type="firstRow">
      <w:rPr>
        <w:b/>
        <w:bCs/>
      </w:rPr>
      <w:tblPr/>
      <w:tcPr>
        <w:tcBorders>
          <w:top w:val="nil"/>
          <w:left w:val="nil"/>
          <w:bottom w:val="single" w:sz="24" w:space="0" w:color="9DD7D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5B7A" w:themeFill="accent3" w:themeFillShade="99"/>
      </w:tcPr>
    </w:tblStylePr>
    <w:tblStylePr w:type="firstCol">
      <w:rPr>
        <w:color w:val="FFFFFF" w:themeColor="background1"/>
      </w:rPr>
      <w:tblPr/>
      <w:tcPr>
        <w:tcBorders>
          <w:top w:val="nil"/>
          <w:left w:val="nil"/>
          <w:bottom w:val="nil"/>
          <w:right w:val="nil"/>
          <w:insideH w:val="single" w:sz="4" w:space="0" w:color="1E5B7A" w:themeColor="accent3" w:themeShade="99"/>
          <w:insideV w:val="nil"/>
        </w:tcBorders>
        <w:shd w:val="clear" w:color="auto" w:fill="1E5B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E5B7A" w:themeFill="accent3" w:themeFillShade="99"/>
      </w:tcPr>
    </w:tblStylePr>
    <w:tblStylePr w:type="band1Vert">
      <w:tblPr/>
      <w:tcPr>
        <w:shd w:val="clear" w:color="auto" w:fill="ADD6EA" w:themeFill="accent3" w:themeFillTint="66"/>
      </w:tcPr>
    </w:tblStylePr>
    <w:tblStylePr w:type="band1Horz">
      <w:tblPr/>
      <w:tcPr>
        <w:shd w:val="clear" w:color="auto" w:fill="99CCE5" w:themeFill="accent3" w:themeFillTint="7F"/>
      </w:tcPr>
    </w:tblStylePr>
  </w:style>
  <w:style w:type="table" w:styleId="ColorfulShading-Accent4">
    <w:name w:val="Colorful Shading Accent 4"/>
    <w:basedOn w:val="TableNormal"/>
    <w:uiPriority w:val="71"/>
    <w:rsid w:val="001F7D91"/>
    <w:pPr>
      <w:spacing w:after="0" w:line="240" w:lineRule="auto"/>
    </w:pPr>
    <w:rPr>
      <w:color w:val="333333" w:themeColor="text1"/>
      <w:sz w:val="22"/>
      <w:szCs w:val="22"/>
    </w:rPr>
    <w:tblPr>
      <w:tblStyleRowBandSize w:val="1"/>
      <w:tblStyleColBandSize w:val="1"/>
      <w:tblBorders>
        <w:top w:val="single" w:sz="24" w:space="0" w:color="3399CC" w:themeColor="accent3"/>
        <w:left w:val="single" w:sz="4" w:space="0" w:color="9DD7D8" w:themeColor="accent4"/>
        <w:bottom w:val="single" w:sz="4" w:space="0" w:color="9DD7D8" w:themeColor="accent4"/>
        <w:right w:val="single" w:sz="4" w:space="0" w:color="9DD7D8" w:themeColor="accent4"/>
        <w:insideH w:val="single" w:sz="4" w:space="0" w:color="FFFFFF" w:themeColor="background1"/>
        <w:insideV w:val="single" w:sz="4" w:space="0" w:color="FFFFFF" w:themeColor="background1"/>
      </w:tblBorders>
    </w:tblPr>
    <w:tcPr>
      <w:shd w:val="clear" w:color="auto" w:fill="F5FBFB" w:themeFill="accent4" w:themeFillTint="19"/>
    </w:tcPr>
    <w:tblStylePr w:type="firstRow">
      <w:rPr>
        <w:b/>
        <w:bCs/>
      </w:rPr>
      <w:tblPr/>
      <w:tcPr>
        <w:tcBorders>
          <w:top w:val="nil"/>
          <w:left w:val="nil"/>
          <w:bottom w:val="single" w:sz="24" w:space="0" w:color="3399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9D9F" w:themeFill="accent4" w:themeFillShade="99"/>
      </w:tcPr>
    </w:tblStylePr>
    <w:tblStylePr w:type="firstCol">
      <w:rPr>
        <w:color w:val="FFFFFF" w:themeColor="background1"/>
      </w:rPr>
      <w:tblPr/>
      <w:tcPr>
        <w:tcBorders>
          <w:top w:val="nil"/>
          <w:left w:val="nil"/>
          <w:bottom w:val="nil"/>
          <w:right w:val="nil"/>
          <w:insideH w:val="single" w:sz="4" w:space="0" w:color="3F9D9F" w:themeColor="accent4" w:themeShade="99"/>
          <w:insideV w:val="nil"/>
        </w:tcBorders>
        <w:shd w:val="clear" w:color="auto" w:fill="3F9D9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F9D9F" w:themeFill="accent4" w:themeFillShade="99"/>
      </w:tcPr>
    </w:tblStylePr>
    <w:tblStylePr w:type="band1Vert">
      <w:tblPr/>
      <w:tcPr>
        <w:shd w:val="clear" w:color="auto" w:fill="D7EEEF" w:themeFill="accent4" w:themeFillTint="66"/>
      </w:tcPr>
    </w:tblStylePr>
    <w:tblStylePr w:type="band1Horz">
      <w:tblPr/>
      <w:tcPr>
        <w:shd w:val="clear" w:color="auto" w:fill="CEEBEB"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rsid w:val="001F7D91"/>
    <w:pPr>
      <w:spacing w:after="0" w:line="240" w:lineRule="auto"/>
    </w:pPr>
    <w:rPr>
      <w:color w:val="333333" w:themeColor="text1"/>
      <w:sz w:val="22"/>
      <w:szCs w:val="22"/>
    </w:rPr>
    <w:tblPr>
      <w:tblStyleRowBandSize w:val="1"/>
      <w:tblStyleColBandSize w:val="1"/>
      <w:tblBorders>
        <w:top w:val="single" w:sz="24" w:space="0" w:color="434D54" w:themeColor="accent6"/>
        <w:left w:val="single" w:sz="4" w:space="0" w:color="ED7D31" w:themeColor="accent5"/>
        <w:bottom w:val="single" w:sz="4" w:space="0" w:color="ED7D31" w:themeColor="accent5"/>
        <w:right w:val="single" w:sz="4" w:space="0" w:color="ED7D31" w:themeColor="accent5"/>
        <w:insideH w:val="single" w:sz="4" w:space="0" w:color="FFFFFF" w:themeColor="background1"/>
        <w:insideV w:val="single" w:sz="4" w:space="0" w:color="FFFFFF" w:themeColor="background1"/>
      </w:tblBorders>
    </w:tblPr>
    <w:tcPr>
      <w:shd w:val="clear" w:color="auto" w:fill="FDF2EA" w:themeFill="accent5" w:themeFillTint="19"/>
    </w:tcPr>
    <w:tblStylePr w:type="firstRow">
      <w:rPr>
        <w:b/>
        <w:bCs/>
      </w:rPr>
      <w:tblPr/>
      <w:tcPr>
        <w:tcBorders>
          <w:top w:val="nil"/>
          <w:left w:val="nil"/>
          <w:bottom w:val="single" w:sz="24" w:space="0" w:color="434D5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5" w:themeFillShade="99"/>
      </w:tcPr>
    </w:tblStylePr>
    <w:tblStylePr w:type="firstCol">
      <w:rPr>
        <w:color w:val="FFFFFF" w:themeColor="background1"/>
      </w:rPr>
      <w:tblPr/>
      <w:tcPr>
        <w:tcBorders>
          <w:top w:val="nil"/>
          <w:left w:val="nil"/>
          <w:bottom w:val="nil"/>
          <w:right w:val="nil"/>
          <w:insideH w:val="single" w:sz="4" w:space="0" w:color="9D470D" w:themeColor="accent5" w:themeShade="99"/>
          <w:insideV w:val="nil"/>
        </w:tcBorders>
        <w:shd w:val="clear" w:color="auto" w:fill="9D470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5" w:themeFillShade="99"/>
      </w:tcPr>
    </w:tblStylePr>
    <w:tblStylePr w:type="band1Vert">
      <w:tblPr/>
      <w:tcPr>
        <w:shd w:val="clear" w:color="auto" w:fill="F7CAAC" w:themeFill="accent5" w:themeFillTint="66"/>
      </w:tcPr>
    </w:tblStylePr>
    <w:tblStylePr w:type="band1Horz">
      <w:tblPr/>
      <w:tcPr>
        <w:shd w:val="clear" w:color="auto" w:fill="F6BE98"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rsid w:val="001F7D91"/>
    <w:pPr>
      <w:spacing w:after="0" w:line="240" w:lineRule="auto"/>
    </w:pPr>
    <w:rPr>
      <w:color w:val="333333" w:themeColor="text1"/>
      <w:sz w:val="22"/>
      <w:szCs w:val="22"/>
    </w:rPr>
    <w:tblPr>
      <w:tblStyleRowBandSize w:val="1"/>
      <w:tblStyleColBandSize w:val="1"/>
      <w:tblBorders>
        <w:top w:val="single" w:sz="24" w:space="0" w:color="ED7D31" w:themeColor="accent5"/>
        <w:left w:val="single" w:sz="4" w:space="0" w:color="434D54" w:themeColor="accent6"/>
        <w:bottom w:val="single" w:sz="4" w:space="0" w:color="434D54" w:themeColor="accent6"/>
        <w:right w:val="single" w:sz="4" w:space="0" w:color="434D54" w:themeColor="accent6"/>
        <w:insideH w:val="single" w:sz="4" w:space="0" w:color="FFFFFF" w:themeColor="background1"/>
        <w:insideV w:val="single" w:sz="4" w:space="0" w:color="FFFFFF" w:themeColor="background1"/>
      </w:tblBorders>
    </w:tblPr>
    <w:tcPr>
      <w:shd w:val="clear" w:color="auto" w:fill="EBEDEF" w:themeFill="accent6" w:themeFillTint="19"/>
    </w:tcPr>
    <w:tblStylePr w:type="firstRow">
      <w:rPr>
        <w:b/>
        <w:bCs/>
      </w:rPr>
      <w:tblPr/>
      <w:tcPr>
        <w:tcBorders>
          <w:top w:val="nil"/>
          <w:left w:val="nil"/>
          <w:bottom w:val="single" w:sz="24" w:space="0" w:color="ED7D3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2E32" w:themeFill="accent6" w:themeFillShade="99"/>
      </w:tcPr>
    </w:tblStylePr>
    <w:tblStylePr w:type="firstCol">
      <w:rPr>
        <w:color w:val="FFFFFF" w:themeColor="background1"/>
      </w:rPr>
      <w:tblPr/>
      <w:tcPr>
        <w:tcBorders>
          <w:top w:val="nil"/>
          <w:left w:val="nil"/>
          <w:bottom w:val="nil"/>
          <w:right w:val="nil"/>
          <w:insideH w:val="single" w:sz="4" w:space="0" w:color="282E32" w:themeColor="accent6" w:themeShade="99"/>
          <w:insideV w:val="nil"/>
        </w:tcBorders>
        <w:shd w:val="clear" w:color="auto" w:fill="282E3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82E32" w:themeFill="accent6" w:themeFillShade="99"/>
      </w:tcPr>
    </w:tblStylePr>
    <w:tblStylePr w:type="band1Vert">
      <w:tblPr/>
      <w:tcPr>
        <w:shd w:val="clear" w:color="auto" w:fill="AFB8BF" w:themeFill="accent6" w:themeFillTint="66"/>
      </w:tcPr>
    </w:tblStylePr>
    <w:tblStylePr w:type="band1Horz">
      <w:tblPr/>
      <w:tcPr>
        <w:shd w:val="clear" w:color="auto" w:fill="9BA7AF" w:themeFill="accent6" w:themeFillTint="7F"/>
      </w:tcPr>
    </w:tblStylePr>
    <w:tblStylePr w:type="neCell">
      <w:rPr>
        <w:color w:val="333333" w:themeColor="text1"/>
      </w:rPr>
    </w:tblStylePr>
    <w:tblStylePr w:type="nwCell">
      <w:rPr>
        <w:color w:val="333333" w:themeColor="text1"/>
      </w:rPr>
    </w:tblStylePr>
  </w:style>
  <w:style w:type="table" w:styleId="ColorfulList">
    <w:name w:val="Colorful List"/>
    <w:basedOn w:val="TableNormal"/>
    <w:uiPriority w:val="72"/>
    <w:rsid w:val="001F7D91"/>
    <w:pPr>
      <w:spacing w:after="0" w:line="240" w:lineRule="auto"/>
    </w:pPr>
    <w:rPr>
      <w:color w:val="333333" w:themeColor="text1"/>
      <w:sz w:val="22"/>
      <w:szCs w:val="22"/>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CCCC1B" w:themeFill="accent2" w:themeFillShade="CC"/>
      </w:tcPr>
    </w:tblStylePr>
    <w:tblStylePr w:type="lastRow">
      <w:rPr>
        <w:b/>
        <w:bCs/>
        <w:color w:val="CCCC1B"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rsid w:val="001F7D91"/>
    <w:pPr>
      <w:spacing w:after="0" w:line="240" w:lineRule="auto"/>
    </w:pPr>
    <w:rPr>
      <w:color w:val="333333" w:themeColor="text1"/>
      <w:sz w:val="22"/>
      <w:szCs w:val="22"/>
    </w:rPr>
    <w:tblPr>
      <w:tblStyleRowBandSize w:val="1"/>
      <w:tblStyleColBandSize w:val="1"/>
    </w:tblPr>
    <w:tcPr>
      <w:shd w:val="clear" w:color="auto" w:fill="FDE5E6" w:themeFill="accent1" w:themeFillTint="19"/>
    </w:tcPr>
    <w:tblStylePr w:type="firstRow">
      <w:rPr>
        <w:b/>
        <w:bCs/>
        <w:color w:val="FFFFFF" w:themeColor="background1"/>
      </w:rPr>
      <w:tblPr/>
      <w:tcPr>
        <w:tcBorders>
          <w:bottom w:val="single" w:sz="12" w:space="0" w:color="FFFFFF" w:themeColor="background1"/>
        </w:tcBorders>
        <w:shd w:val="clear" w:color="auto" w:fill="CCCC1B" w:themeFill="accent2" w:themeFillShade="CC"/>
      </w:tcPr>
    </w:tblStylePr>
    <w:tblStylePr w:type="lastRow">
      <w:rPr>
        <w:b/>
        <w:bCs/>
        <w:color w:val="CCCC1B"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BFC0" w:themeFill="accent1" w:themeFillTint="3F"/>
      </w:tcPr>
    </w:tblStylePr>
    <w:tblStylePr w:type="band1Horz">
      <w:tblPr/>
      <w:tcPr>
        <w:shd w:val="clear" w:color="auto" w:fill="FCCBCC" w:themeFill="accent1" w:themeFillTint="33"/>
      </w:tcPr>
    </w:tblStylePr>
  </w:style>
  <w:style w:type="table" w:styleId="ColorfulList-Accent2">
    <w:name w:val="Colorful List Accent 2"/>
    <w:basedOn w:val="TableNormal"/>
    <w:uiPriority w:val="72"/>
    <w:rsid w:val="001F7D91"/>
    <w:pPr>
      <w:spacing w:after="0" w:line="240" w:lineRule="auto"/>
    </w:pPr>
    <w:rPr>
      <w:color w:val="333333" w:themeColor="text1"/>
      <w:sz w:val="22"/>
      <w:szCs w:val="22"/>
    </w:rPr>
    <w:tblPr>
      <w:tblStyleRowBandSize w:val="1"/>
      <w:tblStyleColBandSize w:val="1"/>
    </w:tblPr>
    <w:tcPr>
      <w:shd w:val="clear" w:color="auto" w:fill="FCFCEB" w:themeFill="accent2" w:themeFillTint="19"/>
    </w:tcPr>
    <w:tblStylePr w:type="firstRow">
      <w:rPr>
        <w:b/>
        <w:bCs/>
        <w:color w:val="FFFFFF" w:themeColor="background1"/>
      </w:rPr>
      <w:tblPr/>
      <w:tcPr>
        <w:tcBorders>
          <w:bottom w:val="single" w:sz="12" w:space="0" w:color="FFFFFF" w:themeColor="background1"/>
        </w:tcBorders>
        <w:shd w:val="clear" w:color="auto" w:fill="CCCC1B" w:themeFill="accent2" w:themeFillShade="CC"/>
      </w:tcPr>
    </w:tblStylePr>
    <w:tblStylePr w:type="lastRow">
      <w:rPr>
        <w:b/>
        <w:bCs/>
        <w:color w:val="CCCC1B"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8CF" w:themeFill="accent2" w:themeFillTint="3F"/>
      </w:tcPr>
    </w:tblStylePr>
    <w:tblStylePr w:type="band1Horz">
      <w:tblPr/>
      <w:tcPr>
        <w:shd w:val="clear" w:color="auto" w:fill="F9F9D8" w:themeFill="accent2" w:themeFillTint="33"/>
      </w:tcPr>
    </w:tblStylePr>
  </w:style>
  <w:style w:type="table" w:styleId="ColorfulList-Accent3">
    <w:name w:val="Colorful List Accent 3"/>
    <w:basedOn w:val="TableNormal"/>
    <w:uiPriority w:val="72"/>
    <w:rsid w:val="001F7D91"/>
    <w:pPr>
      <w:spacing w:after="0" w:line="240" w:lineRule="auto"/>
    </w:pPr>
    <w:rPr>
      <w:color w:val="333333" w:themeColor="text1"/>
      <w:sz w:val="22"/>
      <w:szCs w:val="22"/>
    </w:rPr>
    <w:tblPr>
      <w:tblStyleRowBandSize w:val="1"/>
      <w:tblStyleColBandSize w:val="1"/>
    </w:tblPr>
    <w:tcPr>
      <w:shd w:val="clear" w:color="auto" w:fill="EBF5FA" w:themeFill="accent3" w:themeFillTint="19"/>
    </w:tcPr>
    <w:tblStylePr w:type="firstRow">
      <w:rPr>
        <w:b/>
        <w:bCs/>
        <w:color w:val="FFFFFF" w:themeColor="background1"/>
      </w:rPr>
      <w:tblPr/>
      <w:tcPr>
        <w:tcBorders>
          <w:bottom w:val="single" w:sz="12" w:space="0" w:color="FFFFFF" w:themeColor="background1"/>
        </w:tcBorders>
        <w:shd w:val="clear" w:color="auto" w:fill="67C1C2" w:themeFill="accent4" w:themeFillShade="CC"/>
      </w:tcPr>
    </w:tblStylePr>
    <w:tblStylePr w:type="lastRow">
      <w:rPr>
        <w:b/>
        <w:bCs/>
        <w:color w:val="67C1C2"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E5F2" w:themeFill="accent3" w:themeFillTint="3F"/>
      </w:tcPr>
    </w:tblStylePr>
    <w:tblStylePr w:type="band1Horz">
      <w:tblPr/>
      <w:tcPr>
        <w:shd w:val="clear" w:color="auto" w:fill="D6EAF4" w:themeFill="accent3" w:themeFillTint="33"/>
      </w:tcPr>
    </w:tblStylePr>
  </w:style>
  <w:style w:type="table" w:styleId="ColorfulList-Accent4">
    <w:name w:val="Colorful List Accent 4"/>
    <w:basedOn w:val="TableNormal"/>
    <w:uiPriority w:val="72"/>
    <w:rsid w:val="001F7D91"/>
    <w:pPr>
      <w:spacing w:after="0" w:line="240" w:lineRule="auto"/>
    </w:pPr>
    <w:rPr>
      <w:color w:val="333333" w:themeColor="text1"/>
      <w:sz w:val="22"/>
      <w:szCs w:val="22"/>
    </w:rPr>
    <w:tblPr>
      <w:tblStyleRowBandSize w:val="1"/>
      <w:tblStyleColBandSize w:val="1"/>
    </w:tblPr>
    <w:tcPr>
      <w:shd w:val="clear" w:color="auto" w:fill="F5FBFB" w:themeFill="accent4" w:themeFillTint="19"/>
    </w:tcPr>
    <w:tblStylePr w:type="firstRow">
      <w:rPr>
        <w:b/>
        <w:bCs/>
        <w:color w:val="FFFFFF" w:themeColor="background1"/>
      </w:rPr>
      <w:tblPr/>
      <w:tcPr>
        <w:tcBorders>
          <w:bottom w:val="single" w:sz="12" w:space="0" w:color="FFFFFF" w:themeColor="background1"/>
        </w:tcBorders>
        <w:shd w:val="clear" w:color="auto" w:fill="287AA3" w:themeFill="accent3" w:themeFillShade="CC"/>
      </w:tcPr>
    </w:tblStylePr>
    <w:tblStylePr w:type="lastRow">
      <w:rPr>
        <w:b/>
        <w:bCs/>
        <w:color w:val="287AA3"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F5" w:themeFill="accent4" w:themeFillTint="3F"/>
      </w:tcPr>
    </w:tblStylePr>
    <w:tblStylePr w:type="band1Horz">
      <w:tblPr/>
      <w:tcPr>
        <w:shd w:val="clear" w:color="auto" w:fill="EBF6F7" w:themeFill="accent4" w:themeFillTint="33"/>
      </w:tcPr>
    </w:tblStylePr>
  </w:style>
  <w:style w:type="table" w:styleId="ColorfulList-Accent5">
    <w:name w:val="Colorful List Accent 5"/>
    <w:basedOn w:val="TableNormal"/>
    <w:uiPriority w:val="72"/>
    <w:rsid w:val="001F7D91"/>
    <w:pPr>
      <w:spacing w:after="0" w:line="240" w:lineRule="auto"/>
    </w:pPr>
    <w:rPr>
      <w:color w:val="333333" w:themeColor="text1"/>
      <w:sz w:val="22"/>
      <w:szCs w:val="22"/>
    </w:rPr>
    <w:tblPr>
      <w:tblStyleRowBandSize w:val="1"/>
      <w:tblStyleColBandSize w:val="1"/>
    </w:tblPr>
    <w:tcPr>
      <w:shd w:val="clear" w:color="auto" w:fill="FDF2EA" w:themeFill="accent5" w:themeFillTint="19"/>
    </w:tcPr>
    <w:tblStylePr w:type="firstRow">
      <w:rPr>
        <w:b/>
        <w:bCs/>
        <w:color w:val="FFFFFF" w:themeColor="background1"/>
      </w:rPr>
      <w:tblPr/>
      <w:tcPr>
        <w:tcBorders>
          <w:bottom w:val="single" w:sz="12" w:space="0" w:color="FFFFFF" w:themeColor="background1"/>
        </w:tcBorders>
        <w:shd w:val="clear" w:color="auto" w:fill="353D43" w:themeFill="accent6" w:themeFillShade="CC"/>
      </w:tcPr>
    </w:tblStylePr>
    <w:tblStylePr w:type="lastRow">
      <w:rPr>
        <w:b/>
        <w:bCs/>
        <w:color w:val="353D43"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5" w:themeFillTint="3F"/>
      </w:tcPr>
    </w:tblStylePr>
    <w:tblStylePr w:type="band1Horz">
      <w:tblPr/>
      <w:tcPr>
        <w:shd w:val="clear" w:color="auto" w:fill="FBE4D5" w:themeFill="accent5" w:themeFillTint="33"/>
      </w:tcPr>
    </w:tblStylePr>
  </w:style>
  <w:style w:type="table" w:styleId="ColorfulList-Accent6">
    <w:name w:val="Colorful List Accent 6"/>
    <w:basedOn w:val="TableNormal"/>
    <w:uiPriority w:val="72"/>
    <w:rsid w:val="001F7D91"/>
    <w:pPr>
      <w:spacing w:after="0" w:line="240" w:lineRule="auto"/>
    </w:pPr>
    <w:rPr>
      <w:color w:val="333333" w:themeColor="text1"/>
      <w:sz w:val="22"/>
      <w:szCs w:val="22"/>
    </w:rPr>
    <w:tblPr>
      <w:tblStyleRowBandSize w:val="1"/>
      <w:tblStyleColBandSize w:val="1"/>
    </w:tblPr>
    <w:tcPr>
      <w:shd w:val="clear" w:color="auto" w:fill="EBEDEF" w:themeFill="accent6" w:themeFillTint="19"/>
    </w:tcPr>
    <w:tblStylePr w:type="firstRow">
      <w:rPr>
        <w:b/>
        <w:bCs/>
        <w:color w:val="FFFFFF" w:themeColor="background1"/>
      </w:rPr>
      <w:tblPr/>
      <w:tcPr>
        <w:tcBorders>
          <w:bottom w:val="single" w:sz="12" w:space="0" w:color="FFFFFF" w:themeColor="background1"/>
        </w:tcBorders>
        <w:shd w:val="clear" w:color="auto" w:fill="D25F12" w:themeFill="accent5" w:themeFillShade="CC"/>
      </w:tcPr>
    </w:tblStylePr>
    <w:tblStylePr w:type="lastRow">
      <w:rPr>
        <w:b/>
        <w:bCs/>
        <w:color w:val="D25F12"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DD3D7" w:themeFill="accent6" w:themeFillTint="3F"/>
      </w:tcPr>
    </w:tblStylePr>
    <w:tblStylePr w:type="band1Horz">
      <w:tblPr/>
      <w:tcPr>
        <w:shd w:val="clear" w:color="auto" w:fill="D6DBDF" w:themeFill="accent6" w:themeFillTint="33"/>
      </w:tcPr>
    </w:tblStylePr>
  </w:style>
  <w:style w:type="table" w:styleId="ColorfulGrid">
    <w:name w:val="Colorful Grid"/>
    <w:basedOn w:val="TableNormal"/>
    <w:uiPriority w:val="73"/>
    <w:rsid w:val="001F7D91"/>
    <w:pPr>
      <w:spacing w:after="0" w:line="240" w:lineRule="auto"/>
    </w:pPr>
    <w:rPr>
      <w:color w:val="333333" w:themeColor="text1"/>
      <w:sz w:val="22"/>
      <w:szCs w:val="22"/>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rsid w:val="001F7D91"/>
    <w:pPr>
      <w:spacing w:after="0" w:line="240" w:lineRule="auto"/>
    </w:pPr>
    <w:rPr>
      <w:color w:val="333333" w:themeColor="text1"/>
      <w:sz w:val="22"/>
      <w:szCs w:val="22"/>
    </w:rPr>
    <w:tblPr>
      <w:tblStyleRowBandSize w:val="1"/>
      <w:tblStyleColBandSize w:val="1"/>
      <w:tblBorders>
        <w:insideH w:val="single" w:sz="4" w:space="0" w:color="FFFFFF" w:themeColor="background1"/>
      </w:tblBorders>
    </w:tblPr>
    <w:tcPr>
      <w:shd w:val="clear" w:color="auto" w:fill="FCCBCC" w:themeFill="accent1" w:themeFillTint="33"/>
    </w:tcPr>
    <w:tblStylePr w:type="firstRow">
      <w:rPr>
        <w:b/>
        <w:bCs/>
      </w:rPr>
      <w:tblPr/>
      <w:tcPr>
        <w:shd w:val="clear" w:color="auto" w:fill="F99799" w:themeFill="accent1" w:themeFillTint="66"/>
      </w:tcPr>
    </w:tblStylePr>
    <w:tblStylePr w:type="lastRow">
      <w:rPr>
        <w:b/>
        <w:bCs/>
        <w:color w:val="333333" w:themeColor="text1"/>
      </w:rPr>
      <w:tblPr/>
      <w:tcPr>
        <w:shd w:val="clear" w:color="auto" w:fill="F99799" w:themeFill="accent1" w:themeFillTint="66"/>
      </w:tcPr>
    </w:tblStylePr>
    <w:tblStylePr w:type="firstCol">
      <w:rPr>
        <w:color w:val="FFFFFF" w:themeColor="background1"/>
      </w:rPr>
      <w:tblPr/>
      <w:tcPr>
        <w:shd w:val="clear" w:color="auto" w:fill="A8090C" w:themeFill="accent1" w:themeFillShade="BF"/>
      </w:tcPr>
    </w:tblStylePr>
    <w:tblStylePr w:type="lastCol">
      <w:rPr>
        <w:color w:val="FFFFFF" w:themeColor="background1"/>
      </w:rPr>
      <w:tblPr/>
      <w:tcPr>
        <w:shd w:val="clear" w:color="auto" w:fill="A8090C" w:themeFill="accent1" w:themeFillShade="BF"/>
      </w:tcPr>
    </w:tblStylePr>
    <w:tblStylePr w:type="band1Vert">
      <w:tblPr/>
      <w:tcPr>
        <w:shd w:val="clear" w:color="auto" w:fill="F77E80" w:themeFill="accent1" w:themeFillTint="7F"/>
      </w:tcPr>
    </w:tblStylePr>
    <w:tblStylePr w:type="band1Horz">
      <w:tblPr/>
      <w:tcPr>
        <w:shd w:val="clear" w:color="auto" w:fill="F77E80" w:themeFill="accent1" w:themeFillTint="7F"/>
      </w:tcPr>
    </w:tblStylePr>
  </w:style>
  <w:style w:type="table" w:styleId="ColorfulGrid-Accent2">
    <w:name w:val="Colorful Grid Accent 2"/>
    <w:basedOn w:val="TableNormal"/>
    <w:uiPriority w:val="73"/>
    <w:rsid w:val="001F7D91"/>
    <w:pPr>
      <w:spacing w:after="0" w:line="240" w:lineRule="auto"/>
    </w:pPr>
    <w:rPr>
      <w:color w:val="333333" w:themeColor="text1"/>
      <w:sz w:val="22"/>
      <w:szCs w:val="22"/>
    </w:rPr>
    <w:tblPr>
      <w:tblStyleRowBandSize w:val="1"/>
      <w:tblStyleColBandSize w:val="1"/>
      <w:tblBorders>
        <w:insideH w:val="single" w:sz="4" w:space="0" w:color="FFFFFF" w:themeColor="background1"/>
      </w:tblBorders>
    </w:tblPr>
    <w:tcPr>
      <w:shd w:val="clear" w:color="auto" w:fill="F9F9D8" w:themeFill="accent2" w:themeFillTint="33"/>
    </w:tcPr>
    <w:tblStylePr w:type="firstRow">
      <w:rPr>
        <w:b/>
        <w:bCs/>
      </w:rPr>
      <w:tblPr/>
      <w:tcPr>
        <w:shd w:val="clear" w:color="auto" w:fill="F4F4B1" w:themeFill="accent2" w:themeFillTint="66"/>
      </w:tcPr>
    </w:tblStylePr>
    <w:tblStylePr w:type="lastRow">
      <w:rPr>
        <w:b/>
        <w:bCs/>
        <w:color w:val="333333" w:themeColor="text1"/>
      </w:rPr>
      <w:tblPr/>
      <w:tcPr>
        <w:shd w:val="clear" w:color="auto" w:fill="F4F4B1" w:themeFill="accent2" w:themeFillTint="66"/>
      </w:tcPr>
    </w:tblStylePr>
    <w:tblStylePr w:type="firstCol">
      <w:rPr>
        <w:color w:val="FFFFFF" w:themeColor="background1"/>
      </w:rPr>
      <w:tblPr/>
      <w:tcPr>
        <w:shd w:val="clear" w:color="auto" w:fill="BFBF1A" w:themeFill="accent2" w:themeFillShade="BF"/>
      </w:tcPr>
    </w:tblStylePr>
    <w:tblStylePr w:type="lastCol">
      <w:rPr>
        <w:color w:val="FFFFFF" w:themeColor="background1"/>
      </w:rPr>
      <w:tblPr/>
      <w:tcPr>
        <w:shd w:val="clear" w:color="auto" w:fill="BFBF1A" w:themeFill="accent2" w:themeFillShade="BF"/>
      </w:tcPr>
    </w:tblStylePr>
    <w:tblStylePr w:type="band1Vert">
      <w:tblPr/>
      <w:tcPr>
        <w:shd w:val="clear" w:color="auto" w:fill="F2F29E" w:themeFill="accent2" w:themeFillTint="7F"/>
      </w:tcPr>
    </w:tblStylePr>
    <w:tblStylePr w:type="band1Horz">
      <w:tblPr/>
      <w:tcPr>
        <w:shd w:val="clear" w:color="auto" w:fill="F2F29E" w:themeFill="accent2" w:themeFillTint="7F"/>
      </w:tcPr>
    </w:tblStylePr>
  </w:style>
  <w:style w:type="table" w:styleId="ColorfulGrid-Accent3">
    <w:name w:val="Colorful Grid Accent 3"/>
    <w:basedOn w:val="TableNormal"/>
    <w:uiPriority w:val="73"/>
    <w:rsid w:val="001F7D91"/>
    <w:pPr>
      <w:spacing w:after="0" w:line="240" w:lineRule="auto"/>
    </w:pPr>
    <w:rPr>
      <w:color w:val="333333" w:themeColor="text1"/>
      <w:sz w:val="22"/>
      <w:szCs w:val="22"/>
    </w:rPr>
    <w:tblPr>
      <w:tblStyleRowBandSize w:val="1"/>
      <w:tblStyleColBandSize w:val="1"/>
      <w:tblBorders>
        <w:insideH w:val="single" w:sz="4" w:space="0" w:color="FFFFFF" w:themeColor="background1"/>
      </w:tblBorders>
    </w:tblPr>
    <w:tcPr>
      <w:shd w:val="clear" w:color="auto" w:fill="D6EAF4" w:themeFill="accent3" w:themeFillTint="33"/>
    </w:tcPr>
    <w:tblStylePr w:type="firstRow">
      <w:rPr>
        <w:b/>
        <w:bCs/>
      </w:rPr>
      <w:tblPr/>
      <w:tcPr>
        <w:shd w:val="clear" w:color="auto" w:fill="ADD6EA" w:themeFill="accent3" w:themeFillTint="66"/>
      </w:tcPr>
    </w:tblStylePr>
    <w:tblStylePr w:type="lastRow">
      <w:rPr>
        <w:b/>
        <w:bCs/>
        <w:color w:val="333333" w:themeColor="text1"/>
      </w:rPr>
      <w:tblPr/>
      <w:tcPr>
        <w:shd w:val="clear" w:color="auto" w:fill="ADD6EA" w:themeFill="accent3" w:themeFillTint="66"/>
      </w:tcPr>
    </w:tblStylePr>
    <w:tblStylePr w:type="firstCol">
      <w:rPr>
        <w:color w:val="FFFFFF" w:themeColor="background1"/>
      </w:rPr>
      <w:tblPr/>
      <w:tcPr>
        <w:shd w:val="clear" w:color="auto" w:fill="267298" w:themeFill="accent3" w:themeFillShade="BF"/>
      </w:tcPr>
    </w:tblStylePr>
    <w:tblStylePr w:type="lastCol">
      <w:rPr>
        <w:color w:val="FFFFFF" w:themeColor="background1"/>
      </w:rPr>
      <w:tblPr/>
      <w:tcPr>
        <w:shd w:val="clear" w:color="auto" w:fill="267298" w:themeFill="accent3" w:themeFillShade="BF"/>
      </w:tcPr>
    </w:tblStylePr>
    <w:tblStylePr w:type="band1Vert">
      <w:tblPr/>
      <w:tcPr>
        <w:shd w:val="clear" w:color="auto" w:fill="99CCE5" w:themeFill="accent3" w:themeFillTint="7F"/>
      </w:tcPr>
    </w:tblStylePr>
    <w:tblStylePr w:type="band1Horz">
      <w:tblPr/>
      <w:tcPr>
        <w:shd w:val="clear" w:color="auto" w:fill="99CCE5" w:themeFill="accent3" w:themeFillTint="7F"/>
      </w:tcPr>
    </w:tblStylePr>
  </w:style>
  <w:style w:type="table" w:styleId="ColorfulGrid-Accent4">
    <w:name w:val="Colorful Grid Accent 4"/>
    <w:basedOn w:val="TableNormal"/>
    <w:uiPriority w:val="73"/>
    <w:rsid w:val="001F7D91"/>
    <w:pPr>
      <w:spacing w:after="0" w:line="240" w:lineRule="auto"/>
    </w:pPr>
    <w:rPr>
      <w:color w:val="333333" w:themeColor="text1"/>
      <w:sz w:val="22"/>
      <w:szCs w:val="22"/>
    </w:rPr>
    <w:tblPr>
      <w:tblStyleRowBandSize w:val="1"/>
      <w:tblStyleColBandSize w:val="1"/>
      <w:tblBorders>
        <w:insideH w:val="single" w:sz="4" w:space="0" w:color="FFFFFF" w:themeColor="background1"/>
      </w:tblBorders>
    </w:tblPr>
    <w:tcPr>
      <w:shd w:val="clear" w:color="auto" w:fill="EBF6F7" w:themeFill="accent4" w:themeFillTint="33"/>
    </w:tcPr>
    <w:tblStylePr w:type="firstRow">
      <w:rPr>
        <w:b/>
        <w:bCs/>
      </w:rPr>
      <w:tblPr/>
      <w:tcPr>
        <w:shd w:val="clear" w:color="auto" w:fill="D7EEEF" w:themeFill="accent4" w:themeFillTint="66"/>
      </w:tcPr>
    </w:tblStylePr>
    <w:tblStylePr w:type="lastRow">
      <w:rPr>
        <w:b/>
        <w:bCs/>
        <w:color w:val="333333" w:themeColor="text1"/>
      </w:rPr>
      <w:tblPr/>
      <w:tcPr>
        <w:shd w:val="clear" w:color="auto" w:fill="D7EEEF" w:themeFill="accent4" w:themeFillTint="66"/>
      </w:tcPr>
    </w:tblStylePr>
    <w:tblStylePr w:type="firstCol">
      <w:rPr>
        <w:color w:val="FFFFFF" w:themeColor="background1"/>
      </w:rPr>
      <w:tblPr/>
      <w:tcPr>
        <w:shd w:val="clear" w:color="auto" w:fill="5ABBBD" w:themeFill="accent4" w:themeFillShade="BF"/>
      </w:tcPr>
    </w:tblStylePr>
    <w:tblStylePr w:type="lastCol">
      <w:rPr>
        <w:color w:val="FFFFFF" w:themeColor="background1"/>
      </w:rPr>
      <w:tblPr/>
      <w:tcPr>
        <w:shd w:val="clear" w:color="auto" w:fill="5ABBBD" w:themeFill="accent4" w:themeFillShade="BF"/>
      </w:tcPr>
    </w:tblStylePr>
    <w:tblStylePr w:type="band1Vert">
      <w:tblPr/>
      <w:tcPr>
        <w:shd w:val="clear" w:color="auto" w:fill="CEEBEB" w:themeFill="accent4" w:themeFillTint="7F"/>
      </w:tcPr>
    </w:tblStylePr>
    <w:tblStylePr w:type="band1Horz">
      <w:tblPr/>
      <w:tcPr>
        <w:shd w:val="clear" w:color="auto" w:fill="CEEBEB" w:themeFill="accent4" w:themeFillTint="7F"/>
      </w:tcPr>
    </w:tblStylePr>
  </w:style>
  <w:style w:type="table" w:styleId="ColorfulGrid-Accent5">
    <w:name w:val="Colorful Grid Accent 5"/>
    <w:basedOn w:val="TableNormal"/>
    <w:uiPriority w:val="73"/>
    <w:rsid w:val="001F7D91"/>
    <w:pPr>
      <w:spacing w:after="0" w:line="240" w:lineRule="auto"/>
    </w:pPr>
    <w:rPr>
      <w:color w:val="333333" w:themeColor="text1"/>
      <w:sz w:val="22"/>
      <w:szCs w:val="22"/>
    </w:rPr>
    <w:tblPr>
      <w:tblStyleRowBandSize w:val="1"/>
      <w:tblStyleColBandSize w:val="1"/>
      <w:tblBorders>
        <w:insideH w:val="single" w:sz="4" w:space="0" w:color="FFFFFF" w:themeColor="background1"/>
      </w:tblBorders>
    </w:tblPr>
    <w:tcPr>
      <w:shd w:val="clear" w:color="auto" w:fill="FBE4D5" w:themeFill="accent5" w:themeFillTint="33"/>
    </w:tcPr>
    <w:tblStylePr w:type="firstRow">
      <w:rPr>
        <w:b/>
        <w:bCs/>
      </w:rPr>
      <w:tblPr/>
      <w:tcPr>
        <w:shd w:val="clear" w:color="auto" w:fill="F7CAAC" w:themeFill="accent5" w:themeFillTint="66"/>
      </w:tcPr>
    </w:tblStylePr>
    <w:tblStylePr w:type="lastRow">
      <w:rPr>
        <w:b/>
        <w:bCs/>
        <w:color w:val="333333" w:themeColor="text1"/>
      </w:rPr>
      <w:tblPr/>
      <w:tcPr>
        <w:shd w:val="clear" w:color="auto" w:fill="F7CAAC" w:themeFill="accent5" w:themeFillTint="66"/>
      </w:tcPr>
    </w:tblStylePr>
    <w:tblStylePr w:type="firstCol">
      <w:rPr>
        <w:color w:val="FFFFFF" w:themeColor="background1"/>
      </w:rPr>
      <w:tblPr/>
      <w:tcPr>
        <w:shd w:val="clear" w:color="auto" w:fill="C45911" w:themeFill="accent5" w:themeFillShade="BF"/>
      </w:tcPr>
    </w:tblStylePr>
    <w:tblStylePr w:type="lastCol">
      <w:rPr>
        <w:color w:val="FFFFFF" w:themeColor="background1"/>
      </w:rPr>
      <w:tblPr/>
      <w:tcPr>
        <w:shd w:val="clear" w:color="auto" w:fill="C45911" w:themeFill="accent5" w:themeFillShade="BF"/>
      </w:tcPr>
    </w:tblStylePr>
    <w:tblStylePr w:type="band1Vert">
      <w:tblPr/>
      <w:tcPr>
        <w:shd w:val="clear" w:color="auto" w:fill="F6BE98" w:themeFill="accent5" w:themeFillTint="7F"/>
      </w:tcPr>
    </w:tblStylePr>
    <w:tblStylePr w:type="band1Horz">
      <w:tblPr/>
      <w:tcPr>
        <w:shd w:val="clear" w:color="auto" w:fill="F6BE98" w:themeFill="accent5" w:themeFillTint="7F"/>
      </w:tcPr>
    </w:tblStylePr>
  </w:style>
  <w:style w:type="table" w:styleId="ColorfulGrid-Accent6">
    <w:name w:val="Colorful Grid Accent 6"/>
    <w:basedOn w:val="TableNormal"/>
    <w:uiPriority w:val="73"/>
    <w:rsid w:val="001F7D91"/>
    <w:pPr>
      <w:spacing w:after="0" w:line="240" w:lineRule="auto"/>
    </w:pPr>
    <w:rPr>
      <w:color w:val="333333" w:themeColor="text1"/>
      <w:sz w:val="22"/>
      <w:szCs w:val="22"/>
    </w:rPr>
    <w:tblPr>
      <w:tblStyleRowBandSize w:val="1"/>
      <w:tblStyleColBandSize w:val="1"/>
      <w:tblBorders>
        <w:insideH w:val="single" w:sz="4" w:space="0" w:color="FFFFFF" w:themeColor="background1"/>
      </w:tblBorders>
    </w:tblPr>
    <w:tcPr>
      <w:shd w:val="clear" w:color="auto" w:fill="D6DBDF" w:themeFill="accent6" w:themeFillTint="33"/>
    </w:tcPr>
    <w:tblStylePr w:type="firstRow">
      <w:rPr>
        <w:b/>
        <w:bCs/>
      </w:rPr>
      <w:tblPr/>
      <w:tcPr>
        <w:shd w:val="clear" w:color="auto" w:fill="AFB8BF" w:themeFill="accent6" w:themeFillTint="66"/>
      </w:tcPr>
    </w:tblStylePr>
    <w:tblStylePr w:type="lastRow">
      <w:rPr>
        <w:b/>
        <w:bCs/>
        <w:color w:val="333333" w:themeColor="text1"/>
      </w:rPr>
      <w:tblPr/>
      <w:tcPr>
        <w:shd w:val="clear" w:color="auto" w:fill="AFB8BF" w:themeFill="accent6" w:themeFillTint="66"/>
      </w:tcPr>
    </w:tblStylePr>
    <w:tblStylePr w:type="firstCol">
      <w:rPr>
        <w:color w:val="FFFFFF" w:themeColor="background1"/>
      </w:rPr>
      <w:tblPr/>
      <w:tcPr>
        <w:shd w:val="clear" w:color="auto" w:fill="32393E" w:themeFill="accent6" w:themeFillShade="BF"/>
      </w:tcPr>
    </w:tblStylePr>
    <w:tblStylePr w:type="lastCol">
      <w:rPr>
        <w:color w:val="FFFFFF" w:themeColor="background1"/>
      </w:rPr>
      <w:tblPr/>
      <w:tcPr>
        <w:shd w:val="clear" w:color="auto" w:fill="32393E" w:themeFill="accent6" w:themeFillShade="BF"/>
      </w:tcPr>
    </w:tblStylePr>
    <w:tblStylePr w:type="band1Vert">
      <w:tblPr/>
      <w:tcPr>
        <w:shd w:val="clear" w:color="auto" w:fill="9BA7AF" w:themeFill="accent6" w:themeFillTint="7F"/>
      </w:tcPr>
    </w:tblStylePr>
    <w:tblStylePr w:type="band1Horz">
      <w:tblPr/>
      <w:tcPr>
        <w:shd w:val="clear" w:color="auto" w:fill="9BA7AF" w:themeFill="accent6" w:themeFillTint="7F"/>
      </w:tcPr>
    </w:tblStylePr>
  </w:style>
  <w:style w:type="paragraph" w:styleId="NormalWeb">
    <w:name w:val="Normal (Web)"/>
    <w:basedOn w:val="Normal"/>
    <w:uiPriority w:val="99"/>
    <w:unhideWhenUsed/>
    <w:rsid w:val="002F2A4A"/>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styleId="Mention">
    <w:name w:val="Mention"/>
    <w:basedOn w:val="DefaultParagraphFont"/>
    <w:uiPriority w:val="99"/>
    <w:unhideWhenUsed/>
    <w:rsid w:val="005334A2"/>
    <w:rPr>
      <w:color w:val="2B579A"/>
      <w:shd w:val="clear" w:color="auto" w:fill="E1DFDD"/>
    </w:rPr>
  </w:style>
  <w:style w:type="paragraph" w:customStyle="1" w:styleId="Placeholder">
    <w:name w:val="Placeholder"/>
    <w:rsid w:val="0031462C"/>
    <w:pPr>
      <w:spacing w:after="120" w:line="276" w:lineRule="auto"/>
      <w:ind w:left="216"/>
    </w:pPr>
    <w:rPr>
      <w:rFonts w:ascii="Aptos" w:eastAsia="Aptos" w:hAnsi="Aptos"/>
      <w:color w:val="6B6B6B"/>
      <w:sz w:val="18"/>
      <w:szCs w:val="22"/>
    </w:rPr>
  </w:style>
  <w:style w:type="paragraph" w:styleId="TOC4">
    <w:name w:val="toc 4"/>
    <w:basedOn w:val="Normal"/>
    <w:next w:val="Normal"/>
    <w:autoRedefine/>
    <w:uiPriority w:val="39"/>
    <w:unhideWhenUsed/>
    <w:rsid w:val="00965565"/>
    <w:pPr>
      <w:spacing w:before="0" w:after="100" w:line="278" w:lineRule="auto"/>
      <w:ind w:left="720"/>
    </w:pPr>
    <w:rPr>
      <w:color w:val="auto"/>
      <w:kern w:val="2"/>
      <w:sz w:val="24"/>
      <w:szCs w:val="24"/>
      <w:lang w:val="en-GB" w:eastAsia="en-GB"/>
      <w14:ligatures w14:val="standardContextual"/>
    </w:rPr>
  </w:style>
  <w:style w:type="paragraph" w:styleId="TOC5">
    <w:name w:val="toc 5"/>
    <w:basedOn w:val="Normal"/>
    <w:next w:val="Normal"/>
    <w:autoRedefine/>
    <w:uiPriority w:val="39"/>
    <w:unhideWhenUsed/>
    <w:rsid w:val="00965565"/>
    <w:pPr>
      <w:spacing w:before="0" w:after="100" w:line="278" w:lineRule="auto"/>
      <w:ind w:left="960"/>
    </w:pPr>
    <w:rPr>
      <w:color w:val="auto"/>
      <w:kern w:val="2"/>
      <w:sz w:val="24"/>
      <w:szCs w:val="24"/>
      <w:lang w:val="en-GB" w:eastAsia="en-GB"/>
      <w14:ligatures w14:val="standardContextual"/>
    </w:rPr>
  </w:style>
  <w:style w:type="paragraph" w:styleId="TOC6">
    <w:name w:val="toc 6"/>
    <w:basedOn w:val="Normal"/>
    <w:next w:val="Normal"/>
    <w:autoRedefine/>
    <w:uiPriority w:val="39"/>
    <w:unhideWhenUsed/>
    <w:rsid w:val="00965565"/>
    <w:pPr>
      <w:spacing w:before="0" w:after="100" w:line="278" w:lineRule="auto"/>
      <w:ind w:left="1200"/>
    </w:pPr>
    <w:rPr>
      <w:color w:val="auto"/>
      <w:kern w:val="2"/>
      <w:sz w:val="24"/>
      <w:szCs w:val="24"/>
      <w:lang w:val="en-GB" w:eastAsia="en-GB"/>
      <w14:ligatures w14:val="standardContextual"/>
    </w:rPr>
  </w:style>
  <w:style w:type="paragraph" w:styleId="TOC7">
    <w:name w:val="toc 7"/>
    <w:basedOn w:val="Normal"/>
    <w:next w:val="Normal"/>
    <w:autoRedefine/>
    <w:uiPriority w:val="39"/>
    <w:unhideWhenUsed/>
    <w:rsid w:val="00965565"/>
    <w:pPr>
      <w:spacing w:before="0" w:after="100" w:line="278" w:lineRule="auto"/>
      <w:ind w:left="1440"/>
    </w:pPr>
    <w:rPr>
      <w:color w:val="auto"/>
      <w:kern w:val="2"/>
      <w:sz w:val="24"/>
      <w:szCs w:val="24"/>
      <w:lang w:val="en-GB" w:eastAsia="en-GB"/>
      <w14:ligatures w14:val="standardContextual"/>
    </w:rPr>
  </w:style>
  <w:style w:type="paragraph" w:styleId="TOC8">
    <w:name w:val="toc 8"/>
    <w:basedOn w:val="Normal"/>
    <w:next w:val="Normal"/>
    <w:autoRedefine/>
    <w:uiPriority w:val="39"/>
    <w:unhideWhenUsed/>
    <w:rsid w:val="00965565"/>
    <w:pPr>
      <w:spacing w:before="0" w:after="100" w:line="278" w:lineRule="auto"/>
      <w:ind w:left="1680"/>
    </w:pPr>
    <w:rPr>
      <w:color w:val="auto"/>
      <w:kern w:val="2"/>
      <w:sz w:val="24"/>
      <w:szCs w:val="24"/>
      <w:lang w:val="en-GB" w:eastAsia="en-GB"/>
      <w14:ligatures w14:val="standardContextual"/>
    </w:rPr>
  </w:style>
  <w:style w:type="paragraph" w:styleId="TOC9">
    <w:name w:val="toc 9"/>
    <w:basedOn w:val="Normal"/>
    <w:next w:val="Normal"/>
    <w:autoRedefine/>
    <w:uiPriority w:val="39"/>
    <w:unhideWhenUsed/>
    <w:rsid w:val="00965565"/>
    <w:pPr>
      <w:spacing w:before="0" w:after="100" w:line="278" w:lineRule="auto"/>
      <w:ind w:left="1920"/>
    </w:pPr>
    <w:rPr>
      <w:color w:val="auto"/>
      <w:kern w:val="2"/>
      <w:sz w:val="24"/>
      <w:szCs w:val="24"/>
      <w:lang w:val="en-GB" w:eastAsia="en-GB"/>
      <w14:ligatures w14:val="standardContextual"/>
    </w:rPr>
  </w:style>
  <w:style w:type="table" w:styleId="ListTable3-Accent1">
    <w:name w:val="List Table 3 Accent 1"/>
    <w:basedOn w:val="TableNormal"/>
    <w:uiPriority w:val="48"/>
    <w:rsid w:val="006B7DCF"/>
    <w:pPr>
      <w:spacing w:after="0" w:line="240" w:lineRule="auto"/>
    </w:pPr>
    <w:tblPr>
      <w:tblStyleRowBandSize w:val="1"/>
      <w:tblStyleColBandSize w:val="1"/>
      <w:tblBorders>
        <w:top w:val="single" w:sz="4" w:space="0" w:color="E10D11" w:themeColor="accent1"/>
        <w:left w:val="single" w:sz="4" w:space="0" w:color="E10D11" w:themeColor="accent1"/>
        <w:bottom w:val="single" w:sz="4" w:space="0" w:color="E10D11" w:themeColor="accent1"/>
        <w:right w:val="single" w:sz="4" w:space="0" w:color="E10D11" w:themeColor="accent1"/>
      </w:tblBorders>
    </w:tblPr>
    <w:tblStylePr w:type="firstRow">
      <w:rPr>
        <w:b/>
        <w:bCs/>
        <w:color w:val="FFFFFF" w:themeColor="background1"/>
      </w:rPr>
      <w:tblPr/>
      <w:tcPr>
        <w:shd w:val="clear" w:color="auto" w:fill="E10D11" w:themeFill="accent1"/>
      </w:tcPr>
    </w:tblStylePr>
    <w:tblStylePr w:type="lastRow">
      <w:rPr>
        <w:b/>
        <w:bCs/>
      </w:rPr>
      <w:tblPr/>
      <w:tcPr>
        <w:tcBorders>
          <w:top w:val="double" w:sz="4" w:space="0" w:color="E10D1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0D11" w:themeColor="accent1"/>
          <w:right w:val="single" w:sz="4" w:space="0" w:color="E10D11" w:themeColor="accent1"/>
        </w:tcBorders>
      </w:tcPr>
    </w:tblStylePr>
    <w:tblStylePr w:type="band1Horz">
      <w:tblPr/>
      <w:tcPr>
        <w:tcBorders>
          <w:top w:val="single" w:sz="4" w:space="0" w:color="E10D11" w:themeColor="accent1"/>
          <w:bottom w:val="single" w:sz="4" w:space="0" w:color="E10D1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0D11" w:themeColor="accent1"/>
          <w:left w:val="nil"/>
        </w:tcBorders>
      </w:tcPr>
    </w:tblStylePr>
    <w:tblStylePr w:type="swCell">
      <w:tblPr/>
      <w:tcPr>
        <w:tcBorders>
          <w:top w:val="double" w:sz="4" w:space="0" w:color="E10D11" w:themeColor="accent1"/>
          <w:right w:val="nil"/>
        </w:tcBorders>
      </w:tcPr>
    </w:tblStylePr>
  </w:style>
  <w:style w:type="table" w:styleId="ListTable4-Accent1">
    <w:name w:val="List Table 4 Accent 1"/>
    <w:basedOn w:val="TableNormal"/>
    <w:uiPriority w:val="49"/>
    <w:rsid w:val="002E1273"/>
    <w:pPr>
      <w:spacing w:after="0" w:line="240" w:lineRule="auto"/>
    </w:pPr>
    <w:tblPr>
      <w:tblStyleRowBandSize w:val="1"/>
      <w:tblStyleColBandSize w:val="1"/>
      <w:tblBorders>
        <w:top w:val="single" w:sz="4" w:space="0" w:color="F66466" w:themeColor="accent1" w:themeTint="99"/>
        <w:left w:val="single" w:sz="4" w:space="0" w:color="F66466" w:themeColor="accent1" w:themeTint="99"/>
        <w:bottom w:val="single" w:sz="4" w:space="0" w:color="F66466" w:themeColor="accent1" w:themeTint="99"/>
        <w:right w:val="single" w:sz="4" w:space="0" w:color="F66466" w:themeColor="accent1" w:themeTint="99"/>
        <w:insideH w:val="single" w:sz="4" w:space="0" w:color="F66466" w:themeColor="accent1" w:themeTint="99"/>
      </w:tblBorders>
    </w:tblPr>
    <w:tblStylePr w:type="firstRow">
      <w:rPr>
        <w:b/>
        <w:bCs/>
        <w:color w:val="FFFFFF" w:themeColor="background1"/>
      </w:rPr>
      <w:tblPr/>
      <w:tcPr>
        <w:tcBorders>
          <w:top w:val="single" w:sz="4" w:space="0" w:color="E10D11" w:themeColor="accent1"/>
          <w:left w:val="single" w:sz="4" w:space="0" w:color="E10D11" w:themeColor="accent1"/>
          <w:bottom w:val="single" w:sz="4" w:space="0" w:color="E10D11" w:themeColor="accent1"/>
          <w:right w:val="single" w:sz="4" w:space="0" w:color="E10D11" w:themeColor="accent1"/>
          <w:insideH w:val="nil"/>
        </w:tcBorders>
        <w:shd w:val="clear" w:color="auto" w:fill="E10D11" w:themeFill="accent1"/>
      </w:tcPr>
    </w:tblStylePr>
    <w:tblStylePr w:type="lastRow">
      <w:rPr>
        <w:b/>
        <w:bCs/>
      </w:rPr>
      <w:tblPr/>
      <w:tcPr>
        <w:tcBorders>
          <w:top w:val="double" w:sz="4" w:space="0" w:color="F66466" w:themeColor="accent1" w:themeTint="99"/>
        </w:tcBorders>
      </w:tcPr>
    </w:tblStylePr>
    <w:tblStylePr w:type="firstCol">
      <w:rPr>
        <w:b/>
        <w:bCs/>
      </w:rPr>
    </w:tblStylePr>
    <w:tblStylePr w:type="lastCol">
      <w:rPr>
        <w:b/>
        <w:bCs/>
      </w:rPr>
    </w:tblStylePr>
    <w:tblStylePr w:type="band1Vert">
      <w:tblPr/>
      <w:tcPr>
        <w:shd w:val="clear" w:color="auto" w:fill="FCCBCC" w:themeFill="accent1" w:themeFillTint="33"/>
      </w:tcPr>
    </w:tblStylePr>
    <w:tblStylePr w:type="band1Horz">
      <w:tblPr/>
      <w:tcPr>
        <w:shd w:val="clear" w:color="auto" w:fill="FCCBCC"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44540">
      <w:bodyDiv w:val="1"/>
      <w:marLeft w:val="0"/>
      <w:marRight w:val="0"/>
      <w:marTop w:val="0"/>
      <w:marBottom w:val="0"/>
      <w:divBdr>
        <w:top w:val="none" w:sz="0" w:space="0" w:color="auto"/>
        <w:left w:val="none" w:sz="0" w:space="0" w:color="auto"/>
        <w:bottom w:val="none" w:sz="0" w:space="0" w:color="auto"/>
        <w:right w:val="none" w:sz="0" w:space="0" w:color="auto"/>
      </w:divBdr>
    </w:div>
    <w:div w:id="558633133">
      <w:bodyDiv w:val="1"/>
      <w:marLeft w:val="0"/>
      <w:marRight w:val="0"/>
      <w:marTop w:val="0"/>
      <w:marBottom w:val="0"/>
      <w:divBdr>
        <w:top w:val="none" w:sz="0" w:space="0" w:color="auto"/>
        <w:left w:val="none" w:sz="0" w:space="0" w:color="auto"/>
        <w:bottom w:val="none" w:sz="0" w:space="0" w:color="auto"/>
        <w:right w:val="none" w:sz="0" w:space="0" w:color="auto"/>
      </w:divBdr>
    </w:div>
    <w:div w:id="1038313527">
      <w:bodyDiv w:val="1"/>
      <w:marLeft w:val="0"/>
      <w:marRight w:val="0"/>
      <w:marTop w:val="0"/>
      <w:marBottom w:val="0"/>
      <w:divBdr>
        <w:top w:val="none" w:sz="0" w:space="0" w:color="auto"/>
        <w:left w:val="none" w:sz="0" w:space="0" w:color="auto"/>
        <w:bottom w:val="none" w:sz="0" w:space="0" w:color="auto"/>
        <w:right w:val="none" w:sz="0" w:space="0" w:color="auto"/>
      </w:divBdr>
    </w:div>
    <w:div w:id="1695418900">
      <w:marLeft w:val="360"/>
      <w:marRight w:val="0"/>
      <w:marTop w:val="0"/>
      <w:marBottom w:val="0"/>
      <w:divBdr>
        <w:top w:val="none" w:sz="0" w:space="0" w:color="auto"/>
        <w:left w:val="single" w:sz="24" w:space="12" w:color="E10D11"/>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www.hansencx.com/investor-relations/" TargetMode="External"/><Relationship Id="rId39" Type="http://schemas.openxmlformats.org/officeDocument/2006/relationships/fontTable" Target="fontTable.xml"/><Relationship Id="rId21" Type="http://schemas.openxmlformats.org/officeDocument/2006/relationships/header" Target="header6.xml"/><Relationship Id="rId34"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hansencx.com/investor-relations/financial-reports-presentations/" TargetMode="External"/><Relationship Id="rId33" Type="http://schemas.openxmlformats.org/officeDocument/2006/relationships/header" Target="header7.xml"/><Relationship Id="rId38"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https://www.hansencx.com/wp-content/uploads/2024/08/Supplier-Code-of-Conduct.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hansencx.com/about-hansen/" TargetMode="External"/><Relationship Id="rId32" Type="http://schemas.openxmlformats.org/officeDocument/2006/relationships/hyperlink" Target="https://www.hansencx.com/hansen-technologies-corporate-sustainability/" TargetMode="External"/><Relationship Id="rId37" Type="http://schemas.openxmlformats.org/officeDocument/2006/relationships/header" Target="header10.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hyperlink" Target="https://www.hansencx.com/wp-content/uploads/2024/02/Waste-E-Waste-Management-Policy-Version-1-Dec-2023.pdf" TargetMode="External"/><Relationship Id="rId36"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yperlink" Target="https://www.hansencx.com/wp-content/uploads/2025/08/Human-Rights-Policy.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hyperlink" Target="https://www.hansencx.com/wp-content/uploads/2026/03/Environmental-and-Climate-Change-Policy.pdf" TargetMode="External"/><Relationship Id="rId30" Type="http://schemas.openxmlformats.org/officeDocument/2006/relationships/hyperlink" Target="https://www.hansencx.com/wp-content/uploads/2025/07/Global-Code-of-Conduct-Final.pdf" TargetMode="External"/><Relationship Id="rId35" Type="http://schemas.openxmlformats.org/officeDocument/2006/relationships/footer" Target="footer5.xml"/><Relationship Id="rId8" Type="http://schemas.openxmlformats.org/officeDocument/2006/relationships/settings" Target="settings.xml"/><Relationship Id="rId3" Type="http://schemas.openxmlformats.org/officeDocument/2006/relationships/customXml" Target="../customXml/item3.xml"/></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Hansen-Technologies-2020">
  <a:themeElements>
    <a:clrScheme name="Hansen">
      <a:dk1>
        <a:srgbClr val="333333"/>
      </a:dk1>
      <a:lt1>
        <a:srgbClr val="FFFFFF"/>
      </a:lt1>
      <a:dk2>
        <a:srgbClr val="333333"/>
      </a:dk2>
      <a:lt2>
        <a:srgbClr val="F2F2F2"/>
      </a:lt2>
      <a:accent1>
        <a:srgbClr val="E10D11"/>
      </a:accent1>
      <a:accent2>
        <a:srgbClr val="E5E53E"/>
      </a:accent2>
      <a:accent3>
        <a:srgbClr val="3399CC"/>
      </a:accent3>
      <a:accent4>
        <a:srgbClr val="9DD7D8"/>
      </a:accent4>
      <a:accent5>
        <a:srgbClr val="ED7D31"/>
      </a:accent5>
      <a:accent6>
        <a:srgbClr val="434D54"/>
      </a:accent6>
      <a:hlink>
        <a:srgbClr val="1A4D66"/>
      </a:hlink>
      <a:folHlink>
        <a:srgbClr val="E10D11"/>
      </a:folHlink>
    </a:clrScheme>
    <a:fontScheme name="Hansen Master Theme Font">
      <a:majorFont>
        <a:latin typeface="Arial Nova Cond"/>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2400" b="0" i="0">
            <a:latin typeface="Arial Nova Light" panose="020B0304020202020204" pitchFamily="34" charset="0"/>
            <a:cs typeface="Arial Nova Light" panose="020B03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txDef>
      <a:spPr/>
      <a:bodyPr vert="horz" wrap="square" lIns="91440" tIns="45720" rIns="91440" bIns="45720" rtlCol="0">
        <a:normAutofit/>
      </a:bodyPr>
      <a:lstStyle>
        <a:defPPr algn="l">
          <a:defRPr sz="2400" dirty="0" err="1" smtClean="0"/>
        </a:defPPr>
      </a:lstStyle>
    </a:txDef>
  </a:objectDefaults>
  <a:extraClrSchemeLst/>
  <a:extLst>
    <a:ext uri="{05A4C25C-085E-4340-85A3-A5531E510DB2}">
      <thm15:themeFamily xmlns:thm15="http://schemas.microsoft.com/office/thememl/2012/main" name="Hansen-Technologies-2020" id="{9F6BDE15-57BC-4941-8E4D-C1B13EABE5D9}" vid="{41D4C1A5-5B78-4883-BA17-64760F2F9C9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9"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7C587E-A7AC-44AA-A4EA-D507BF49502C}">
  <we:reference id="11d7cf85-ae5a-43b8-bc58-1e1a151cce24" version="1.0.0.1" store="EXCatalog" storeType="EXCatalog"/>
  <we:alternateReferences>
    <we:reference id="WA200010725" version="1.0.0.1" store="en-US" storeType="OMEX"/>
  </we:alternateReferences>
  <we:properties>
    <we:property name="claude.fileId" value="&quot;641b049b-3b8a-4c11-abe1-692c8b8463d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2022-08-04T00:00:00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48C934CD1995843A8D5590A15396649" ma:contentTypeVersion="11" ma:contentTypeDescription="Create a new document." ma:contentTypeScope="" ma:versionID="850618bc980adae4c2f11b4e521af0bc">
  <xsd:schema xmlns:xsd="http://www.w3.org/2001/XMLSchema" xmlns:xs="http://www.w3.org/2001/XMLSchema" xmlns:p="http://schemas.microsoft.com/office/2006/metadata/properties" xmlns:ns2="d97d857f-98df-4f81-a30d-ddd847a547e5" xmlns:ns3="7eafdc89-da5a-4ba8-9d40-876454d16f0a" targetNamespace="http://schemas.microsoft.com/office/2006/metadata/properties" ma:root="true" ma:fieldsID="c55f33d1a94ec269bbd4ef2033909e18" ns2:_="" ns3:_="">
    <xsd:import namespace="d97d857f-98df-4f81-a30d-ddd847a547e5"/>
    <xsd:import namespace="7eafdc89-da5a-4ba8-9d40-876454d16f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7d857f-98df-4f81-a30d-ddd847a547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af9ed05-ccde-4142-8908-f9d7d17b47f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afdc89-da5a-4ba8-9d40-876454d16f0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96524ca-95c6-493f-a879-1d23ed55c1bc}" ma:internalName="TaxCatchAll" ma:showField="CatchAllData" ma:web="7eafdc89-da5a-4ba8-9d40-876454d16f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7eafdc89-da5a-4ba8-9d40-876454d16f0a" xsi:nil="true"/>
    <lcf76f155ced4ddcb4097134ff3c332f xmlns="d97d857f-98df-4f81-a30d-ddd847a547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486D71-E5F4-49B3-86AC-0327CD6B620E}">
  <ds:schemaRefs>
    <ds:schemaRef ds:uri="http://schemas.microsoft.com/sharepoint/v3/contenttype/forms"/>
  </ds:schemaRefs>
</ds:datastoreItem>
</file>

<file path=customXml/itemProps3.xml><?xml version="1.0" encoding="utf-8"?>
<ds:datastoreItem xmlns:ds="http://schemas.openxmlformats.org/officeDocument/2006/customXml" ds:itemID="{265AB29F-B7C7-4C90-8761-3B8E86809879}">
  <ds:schemaRefs>
    <ds:schemaRef ds:uri="http://schemas.openxmlformats.org/officeDocument/2006/bibliography"/>
  </ds:schemaRefs>
</ds:datastoreItem>
</file>

<file path=customXml/itemProps4.xml><?xml version="1.0" encoding="utf-8"?>
<ds:datastoreItem xmlns:ds="http://schemas.openxmlformats.org/officeDocument/2006/customXml" ds:itemID="{E61367F9-64E4-44B5-99EF-132D61222C3A}"/>
</file>

<file path=customXml/itemProps5.xml><?xml version="1.0" encoding="utf-8"?>
<ds:datastoreItem xmlns:ds="http://schemas.openxmlformats.org/officeDocument/2006/customXml" ds:itemID="{E511B08E-5498-475E-AF91-8F5CEBEF6BF4}">
  <ds:schemaRefs>
    <ds:schemaRef ds:uri="http://schemas.microsoft.com/office/2006/metadata/properties"/>
    <ds:schemaRef ds:uri="http://schemas.microsoft.com/office/infopath/2007/PartnerControls"/>
    <ds:schemaRef ds:uri="ef3a3821-0d55-49c6-863f-95211fab7528"/>
    <ds:schemaRef ds:uri="e8019e1e-dff6-484c-a6b1-6de9ee0cc01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60</Pages>
  <Words>15087</Words>
  <Characters>102593</Characters>
  <Application>Microsoft Office Word</Application>
  <DocSecurity>0</DocSecurity>
  <Lines>2502</Lines>
  <Paragraphs>1307</Paragraphs>
  <ScaleCrop>false</ScaleCrop>
  <Company>COPYRIGHT © HANSEN TECHNOLOGIES</Company>
  <LinksUpToDate>false</LinksUpToDate>
  <CharactersWithSpaces>116373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Hansen RFx Response Master Template</dc:title>
  <dc:subject>Reusable RFx response baseline</dc:subject>
  <dc:creator>Scott Birchall</dc:creator>
  <cp:keywords/>
  <cp:lastModifiedBy>Scott Birchall</cp:lastModifiedBy>
  <cp:revision>26</cp:revision>
  <cp:lastPrinted>2026-08-30T16:06:00Z</cp:lastPrinted>
  <dcterms:created xsi:type="dcterms:W3CDTF">2026-10-08T09:41:00Z</dcterms:created>
  <dcterms:modified xsi:type="dcterms:W3CDTF">2026-10-08T09:45:00Z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1a241c-46d6-4e45-b8b0-1b15e4aa3f22_Enabled">
    <vt:lpwstr>true</vt:lpwstr>
  </property>
  <property fmtid="{D5CDD505-2E9C-101B-9397-08002B2CF9AE}" pid="3" name="MSIP_Label_f11a241c-46d6-4e45-b8b0-1b15e4aa3f22_SetDate">
    <vt:lpwstr>2026-10-08T09:41:31Z</vt:lpwstr>
  </property>
  <property fmtid="{D5CDD505-2E9C-101B-9397-08002B2CF9AE}" pid="4" name="MSIP_Label_f11a241c-46d6-4e45-b8b0-1b15e4aa3f22_Method">
    <vt:lpwstr>Privileged</vt:lpwstr>
  </property>
  <property fmtid="{D5CDD505-2E9C-101B-9397-08002B2CF9AE}" pid="5" name="MSIP_Label_f11a241c-46d6-4e45-b8b0-1b15e4aa3f22_Name">
    <vt:lpwstr>Confidential</vt:lpwstr>
  </property>
  <property fmtid="{D5CDD505-2E9C-101B-9397-08002B2CF9AE}" pid="6" name="MSIP_Label_f11a241c-46d6-4e45-b8b0-1b15e4aa3f22_SiteId">
    <vt:lpwstr>cdc4b90d-7fa9-4a12-8d58-c2872266673c</vt:lpwstr>
  </property>
  <property fmtid="{D5CDD505-2E9C-101B-9397-08002B2CF9AE}" pid="7" name="MSIP_Label_f11a241c-46d6-4e45-b8b0-1b15e4aa3f22_ActionId">
    <vt:lpwstr>329f97a6-8346-4911-a137-b6c12a0b2611</vt:lpwstr>
  </property>
  <property fmtid="{D5CDD505-2E9C-101B-9397-08002B2CF9AE}" pid="8" name="MSIP_Label_f11a241c-46d6-4e45-b8b0-1b15e4aa3f22_ContentBits">
    <vt:lpwstr>0</vt:lpwstr>
  </property>
  <property fmtid="{D5CDD505-2E9C-101B-9397-08002B2CF9AE}" pid="9" name="ContentTypeId">
    <vt:lpwstr>0x010100648C934CD1995843A8D5590A15396649</vt:lpwstr>
  </property>
  <property fmtid="{D5CDD505-2E9C-101B-9397-08002B2CF9AE}" pid="10" name="MediaServiceImageTags">
    <vt:lpwstr/>
  </property>
</Properties>
</file>