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B4A2F"/>
          <w:sz w:val="44"/>
          <w:szCs w:val="44"/>
        </w:rPr>
        <w:t xml:space="preserve">FINCAVA</w:t>
      </w:r>
    </w:p>
    <w:p>
      <w:pPr>
        <w:spacing w:after="40"/>
        <w:jc w:val="center"/>
      </w:pPr>
      <w:r>
        <w:rPr>
          <w:b/>
          <w:bCs/>
          <w:sz w:val="30"/>
          <w:szCs w:val="30"/>
        </w:rPr>
        <w:t xml:space="preserve">Collaborative Roaster Partnership Model</w:t>
      </w:r>
    </w:p>
    <w:p>
      <w:pPr>
        <w:spacing w:after="400"/>
        <w:jc w:val="center"/>
      </w:pPr>
      <w:r>
        <w:rPr>
          <w:i/>
          <w:iCs/>
          <w:color w:val="666666"/>
          <w:sz w:val="20"/>
          <w:szCs w:val="20"/>
        </w:rPr>
        <w:t xml:space="preserve">Template — currently configured for: Rising Tide Roast Co</w:t>
      </w:r>
    </w:p>
    <w:p>
      <w:pPr>
        <w:shd w:fill="F2ECE4" w:val="clear"/>
        <w:spacing w:after="240" w:before="120"/>
      </w:pPr>
      <w:r>
        <w:rPr>
          <w:i/>
          <w:iCs/>
          <w:color w:val="555555"/>
          <w:sz w:val="20"/>
          <w:szCs w:val="20"/>
        </w:rPr>
        <w:t xml:space="preserve">How to reuse this template: replace the bracketed [PARTNER] fields and the “About [Partner]” section with the new organization's details. Everything else describes Fincava's standard partnership approach and should only change if the deal structure itself changes. Delete this note before sending. This version is pre-filled for Rising Tide Roast Co based on the description provided — confirm Rising Tide's specific programs, history, and contact details directly with them before sending, since Fincava has not yet independently verified them.</w:t>
      </w:r>
    </w:p>
    <w:p>
      <w:pPr>
        <w:pStyle w:val="Heading1"/>
        <w:pBdr>
          <w:bottom w:val="single" w:color="CCCCCC" w:sz="6" w:space="4"/>
        </w:pBdr>
        <w:spacing w:after="200" w:before="400"/>
      </w:pPr>
      <w:r>
        <w:rPr>
          <w:b/>
          <w:bCs/>
          <w:color w:val="6B4A2F"/>
          <w:sz w:val="28"/>
          <w:szCs w:val="28"/>
        </w:rPr>
        <w:t xml:space="preserve">1. Purpose of This Partnership</w:t>
      </w:r>
    </w:p>
    <w:p>
      <w:pPr>
        <w:spacing w:after="160" w:line="276"/>
      </w:pPr>
      <w:r>
        <w:rPr>
          <w:b w:val="false"/>
          <w:bCs w:val="false"/>
          <w:i w:val="false"/>
          <w:iCs w:val="false"/>
          <w:sz w:val="22"/>
          <w:szCs w:val="22"/>
        </w:rPr>
        <w:t xml:space="preserve">Collaborative roasting organizations like [PARTNER — Rising Tide Roast Co] have changed how new coffee businesses enter the industry — by sharing roasting equipment, technical expertise, production resources, and education. That collaboration typically begins after green coffee has already entered the importing and distribution system.</w:t>
      </w:r>
    </w:p>
    <w:p>
      <w:pPr>
        <w:spacing w:after="160" w:line="276"/>
      </w:pPr>
      <w:r>
        <w:rPr>
          <w:b w:val="false"/>
          <w:bCs w:val="false"/>
          <w:i w:val="false"/>
          <w:iCs w:val="false"/>
          <w:sz w:val="22"/>
          <w:szCs w:val="22"/>
        </w:rPr>
        <w:t xml:space="preserve">Fincava proposes extending the same collaborative philosophy upstream, into sourcing itself — creating a structured pathway through which small Colombian farms, especially women-led farms, can better understand, meet, and participate in the specialty market, with [PARTNER] as a design partner rather than simply a customer.</w:t>
      </w:r>
    </w:p>
    <w:p>
      <w:pPr>
        <w:pStyle w:val="Heading1"/>
        <w:pBdr>
          <w:bottom w:val="single" w:color="CCCCCC" w:sz="6" w:space="4"/>
        </w:pBdr>
        <w:spacing w:after="200" w:before="400"/>
      </w:pPr>
      <w:r>
        <w:rPr>
          <w:b/>
          <w:bCs/>
          <w:color w:val="6B4A2F"/>
          <w:sz w:val="28"/>
          <w:szCs w:val="28"/>
        </w:rPr>
        <w:t xml:space="preserve">2. About [Partner]: Rising Tide Roast Co</w:t>
      </w:r>
    </w:p>
    <w:p>
      <w:pPr>
        <w:spacing w:after="160" w:line="276"/>
      </w:pPr>
      <w:r>
        <w:rPr>
          <w:b w:val="false"/>
          <w:bCs w:val="false"/>
          <w:i w:val="false"/>
          <w:iCs w:val="false"/>
          <w:sz w:val="22"/>
          <w:szCs w:val="22"/>
        </w:rPr>
        <w:t xml:space="preserve">Rising Tide Roast Co is a coffee roasting collaborative and production facility focused on helping coffee businesses grow through shared roasting resources, education, and custom manufacturing. It is known for its community-oriented model, supporting everyone from new coffee entrepreneurs to established wholesale brands through collaborative roasting and training.</w:t>
      </w:r>
    </w:p>
    <w:p>
      <w:pPr>
        <w:shd w:fill="F2ECE4" w:val="clear"/>
        <w:spacing w:after="240" w:before="120"/>
      </w:pPr>
      <w:r>
        <w:rPr>
          <w:i/>
          <w:iCs/>
          <w:color w:val="555555"/>
          <w:sz w:val="20"/>
          <w:szCs w:val="20"/>
        </w:rPr>
        <w:t xml:space="preserve">[Confirm and expand: current member roster, production capacity, typical green-coffee volumes and origins used today, existing sourcing relationships, and the specific decision-makers to approach. The background link shared for this project sits behind a login wall and could not be retrieved — pull these specifics from Rising Tide directly or from their public materials before finalizing this document.]</w:t>
      </w:r>
    </w:p>
    <w:p>
      <w:pPr>
        <w:pStyle w:val="Heading1"/>
        <w:pBdr>
          <w:bottom w:val="single" w:color="CCCCCC" w:sz="6" w:space="4"/>
        </w:pBdr>
        <w:spacing w:after="200" w:before="400"/>
      </w:pPr>
      <w:r>
        <w:rPr>
          <w:b/>
          <w:bCs/>
          <w:color w:val="6B4A2F"/>
          <w:sz w:val="28"/>
          <w:szCs w:val="28"/>
        </w:rPr>
        <w:t xml:space="preserve">3. Why This Partnership Makes Sense</w:t>
      </w:r>
    </w:p>
    <w:p>
      <w:pPr>
        <w:spacing w:after="160" w:line="276"/>
      </w:pPr>
      <w:r>
        <w:rPr>
          <w:b w:val="false"/>
          <w:bCs w:val="false"/>
          <w:i w:val="false"/>
          <w:iCs w:val="false"/>
          <w:sz w:val="22"/>
          <w:szCs w:val="22"/>
        </w:rPr>
        <w:t xml:space="preserve">[PARTNER]'s community already reduces barriers for downstream coffee entrepreneurs. Fincava's role is to reduce the equivalent barriers upstream, at the farm level, so that both sides of the value chain — producers and roasters — benefit from the same collaborative infrastructure.</w:t>
      </w:r>
    </w:p>
    <w:p>
      <w:pPr>
        <w:spacing w:after="40" w:before="120"/>
      </w:pPr>
      <w:r>
        <w:rPr>
          <w:b/>
          <w:bCs/>
          <w:sz w:val="22"/>
          <w:szCs w:val="22"/>
        </w:rPr>
        <w:t xml:space="preserve">This creates a more complete ecosystem:</w:t>
      </w:r>
    </w:p>
    <w:p>
      <w:pPr>
        <w:pStyle w:val="ListParagraph"/>
        <w:numPr>
          <w:ilvl w:val="0"/>
          <w:numId w:val="2"/>
        </w:numPr>
        <w:spacing w:after="80" w:line="276"/>
      </w:pPr>
      <w:r>
        <w:rPr>
          <w:sz w:val="22"/>
          <w:szCs w:val="22"/>
        </w:rPr>
        <w:t xml:space="preserve">Producers gain better market intelligence and a clearer path to buyers.</w:t>
      </w:r>
    </w:p>
    <w:p>
      <w:pPr>
        <w:pStyle w:val="ListParagraph"/>
        <w:numPr>
          <w:ilvl w:val="0"/>
          <w:numId w:val="2"/>
        </w:numPr>
        <w:spacing w:after="80" w:line="276"/>
      </w:pPr>
      <w:r>
        <w:rPr>
          <w:sz w:val="22"/>
          <w:szCs w:val="22"/>
        </w:rPr>
        <w:t xml:space="preserve">[PARTNER]'s member roasters gain earlier access to coffees, greater transparency, and influence over product development.</w:t>
      </w:r>
    </w:p>
    <w:p>
      <w:pPr>
        <w:pStyle w:val="ListParagraph"/>
        <w:numPr>
          <w:ilvl w:val="0"/>
          <w:numId w:val="2"/>
        </w:numPr>
        <w:spacing w:after="80" w:line="276"/>
      </w:pPr>
      <w:r>
        <w:rPr>
          <w:sz w:val="22"/>
          <w:szCs w:val="22"/>
        </w:rPr>
        <w:t xml:space="preserve">[PARTNER] itself gains a differentiated supply program that can support education, private label, wholesale production, and community engagement.</w:t>
      </w:r>
    </w:p>
    <w:p>
      <w:pPr>
        <w:pStyle w:val="Heading1"/>
        <w:pBdr>
          <w:bottom w:val="single" w:color="CCCCCC" w:sz="6" w:space="4"/>
        </w:pBdr>
        <w:spacing w:after="200" w:before="400"/>
      </w:pPr>
      <w:r>
        <w:rPr>
          <w:b/>
          <w:bCs/>
          <w:color w:val="6B4A2F"/>
          <w:sz w:val="28"/>
          <w:szCs w:val="28"/>
        </w:rPr>
        <w:t xml:space="preserve">4. What Each Party Brings</w:t>
      </w:r>
    </w:p>
    <w:p>
      <w:pPr>
        <w:pStyle w:val="Heading2"/>
        <w:spacing w:after="100" w:before="260"/>
      </w:pPr>
      <w:r>
        <w:rPr>
          <w:b/>
          <w:bCs/>
          <w:color w:val="6B4A2F"/>
          <w:sz w:val="23"/>
          <w:szCs w:val="23"/>
        </w:rPr>
        <w:t xml:space="preserve">Fincava</w:t>
      </w:r>
    </w:p>
    <w:p>
      <w:pPr>
        <w:pStyle w:val="ListParagraph"/>
        <w:numPr>
          <w:ilvl w:val="0"/>
          <w:numId w:val="2"/>
        </w:numPr>
        <w:spacing w:after="80" w:line="276"/>
      </w:pPr>
      <w:r>
        <w:rPr>
          <w:sz w:val="22"/>
          <w:szCs w:val="22"/>
        </w:rPr>
        <w:t xml:space="preserve">Identifying and confirming farms and producers</w:t>
      </w:r>
    </w:p>
    <w:p>
      <w:pPr>
        <w:pStyle w:val="ListParagraph"/>
        <w:numPr>
          <w:ilvl w:val="0"/>
          <w:numId w:val="2"/>
        </w:numPr>
        <w:spacing w:after="80" w:line="276"/>
      </w:pPr>
      <w:r>
        <w:rPr>
          <w:sz w:val="22"/>
          <w:szCs w:val="22"/>
        </w:rPr>
        <w:t xml:space="preserve">Procuring coffee and coordinating samples</w:t>
      </w:r>
    </w:p>
    <w:p>
      <w:pPr>
        <w:pStyle w:val="ListParagraph"/>
        <w:numPr>
          <w:ilvl w:val="0"/>
          <w:numId w:val="2"/>
        </w:numPr>
        <w:spacing w:after="80" w:line="276"/>
      </w:pPr>
      <w:r>
        <w:rPr>
          <w:sz w:val="22"/>
          <w:szCs w:val="22"/>
        </w:rPr>
        <w:t xml:space="preserve">Gathering lot information and quality documentation</w:t>
      </w:r>
    </w:p>
    <w:p>
      <w:pPr>
        <w:pStyle w:val="ListParagraph"/>
        <w:numPr>
          <w:ilvl w:val="0"/>
          <w:numId w:val="2"/>
        </w:numPr>
        <w:spacing w:after="80" w:line="276"/>
      </w:pPr>
      <w:r>
        <w:rPr>
          <w:sz w:val="22"/>
          <w:szCs w:val="22"/>
        </w:rPr>
        <w:t xml:space="preserve">Arranging quality evaluation and supporting lot consolidation</w:t>
      </w:r>
    </w:p>
    <w:p>
      <w:pPr>
        <w:pStyle w:val="ListParagraph"/>
        <w:numPr>
          <w:ilvl w:val="0"/>
          <w:numId w:val="2"/>
        </w:numPr>
        <w:spacing w:after="80" w:line="276"/>
      </w:pPr>
      <w:r>
        <w:rPr>
          <w:sz w:val="22"/>
          <w:szCs w:val="22"/>
        </w:rPr>
        <w:t xml:space="preserve">Managing export coordination and FOB terms where appropriate</w:t>
      </w:r>
    </w:p>
    <w:p>
      <w:pPr>
        <w:pStyle w:val="ListParagraph"/>
        <w:numPr>
          <w:ilvl w:val="0"/>
          <w:numId w:val="2"/>
        </w:numPr>
        <w:spacing w:after="80" w:line="276"/>
      </w:pPr>
      <w:r>
        <w:rPr>
          <w:sz w:val="22"/>
          <w:szCs w:val="22"/>
        </w:rPr>
        <w:t xml:space="preserve">Importing coffee where commercially justified</w:t>
      </w:r>
    </w:p>
    <w:p>
      <w:pPr>
        <w:pStyle w:val="ListParagraph"/>
        <w:numPr>
          <w:ilvl w:val="0"/>
          <w:numId w:val="2"/>
        </w:numPr>
        <w:spacing w:after="80" w:line="276"/>
      </w:pPr>
      <w:r>
        <w:rPr>
          <w:sz w:val="22"/>
          <w:szCs w:val="22"/>
        </w:rPr>
        <w:t xml:space="preserve">Arranging compliant storage and domestic delivery</w:t>
      </w:r>
    </w:p>
    <w:p>
      <w:pPr>
        <w:pStyle w:val="ListParagraph"/>
        <w:numPr>
          <w:ilvl w:val="0"/>
          <w:numId w:val="2"/>
        </w:numPr>
        <w:spacing w:after="80" w:line="276"/>
      </w:pPr>
      <w:r>
        <w:rPr>
          <w:sz w:val="22"/>
          <w:szCs w:val="22"/>
        </w:rPr>
        <w:t xml:space="preserve">Maintaining lot traceability and communicating buyer feedback</w:t>
      </w:r>
    </w:p>
    <w:p>
      <w:pPr>
        <w:pStyle w:val="Heading2"/>
        <w:spacing w:after="100" w:before="260"/>
      </w:pPr>
      <w:r>
        <w:rPr>
          <w:b/>
          <w:bCs/>
          <w:color w:val="6B4A2F"/>
          <w:sz w:val="23"/>
          <w:szCs w:val="23"/>
        </w:rPr>
        <w:t xml:space="preserve">[PARTNER — Rising Tide Roast Co]</w:t>
      </w:r>
    </w:p>
    <w:p>
      <w:pPr>
        <w:pStyle w:val="ListParagraph"/>
        <w:numPr>
          <w:ilvl w:val="0"/>
          <w:numId w:val="2"/>
        </w:numPr>
        <w:spacing w:after="80" w:line="276"/>
      </w:pPr>
      <w:r>
        <w:rPr>
          <w:sz w:val="22"/>
          <w:szCs w:val="22"/>
        </w:rPr>
        <w:t xml:space="preserve">Green-coffee evaluation, sample and production roasting</w:t>
      </w:r>
    </w:p>
    <w:p>
      <w:pPr>
        <w:pStyle w:val="ListParagraph"/>
        <w:numPr>
          <w:ilvl w:val="0"/>
          <w:numId w:val="2"/>
        </w:numPr>
        <w:spacing w:after="80" w:line="276"/>
      </w:pPr>
      <w:r>
        <w:rPr>
          <w:sz w:val="22"/>
          <w:szCs w:val="22"/>
        </w:rPr>
        <w:t xml:space="preserve">Product development input</w:t>
      </w:r>
    </w:p>
    <w:p>
      <w:pPr>
        <w:pStyle w:val="ListParagraph"/>
        <w:numPr>
          <w:ilvl w:val="0"/>
          <w:numId w:val="2"/>
        </w:numPr>
        <w:spacing w:after="80" w:line="276"/>
      </w:pPr>
      <w:r>
        <w:rPr>
          <w:sz w:val="22"/>
          <w:szCs w:val="22"/>
        </w:rPr>
        <w:t xml:space="preserve">Roaster and customer education</w:t>
      </w:r>
    </w:p>
    <w:p>
      <w:pPr>
        <w:pStyle w:val="ListParagraph"/>
        <w:numPr>
          <w:ilvl w:val="0"/>
          <w:numId w:val="2"/>
        </w:numPr>
        <w:spacing w:after="80" w:line="276"/>
      </w:pPr>
      <w:r>
        <w:rPr>
          <w:sz w:val="22"/>
          <w:szCs w:val="22"/>
        </w:rPr>
        <w:t xml:space="preserve">Manufacturing and packaging</w:t>
      </w:r>
    </w:p>
    <w:p>
      <w:pPr>
        <w:pStyle w:val="ListParagraph"/>
        <w:numPr>
          <w:ilvl w:val="0"/>
          <w:numId w:val="2"/>
        </w:numPr>
        <w:spacing w:after="80" w:line="276"/>
      </w:pPr>
      <w:r>
        <w:rPr>
          <w:sz w:val="22"/>
          <w:szCs w:val="22"/>
        </w:rPr>
        <w:t xml:space="preserve">Customer access across its member and wholesale network</w:t>
      </w:r>
    </w:p>
    <w:p>
      <w:pPr>
        <w:pStyle w:val="ListParagraph"/>
        <w:numPr>
          <w:ilvl w:val="0"/>
          <w:numId w:val="2"/>
        </w:numPr>
        <w:spacing w:after="80" w:line="276"/>
      </w:pPr>
      <w:r>
        <w:rPr>
          <w:sz w:val="22"/>
          <w:szCs w:val="22"/>
        </w:rPr>
        <w:t xml:space="preserve">Market feedback</w:t>
      </w:r>
    </w:p>
    <w:p>
      <w:pPr>
        <w:pStyle w:val="Heading2"/>
        <w:spacing w:after="100" w:before="260"/>
      </w:pPr>
      <w:r>
        <w:rPr>
          <w:b/>
          <w:bCs/>
          <w:color w:val="6B4A2F"/>
          <w:sz w:val="23"/>
          <w:szCs w:val="23"/>
        </w:rPr>
        <w:t xml:space="preserve">Participating Farms</w:t>
      </w:r>
    </w:p>
    <w:p>
      <w:pPr>
        <w:pStyle w:val="ListParagraph"/>
        <w:numPr>
          <w:ilvl w:val="0"/>
          <w:numId w:val="2"/>
        </w:numPr>
        <w:spacing w:after="80" w:line="276"/>
      </w:pPr>
      <w:r>
        <w:rPr>
          <w:sz w:val="22"/>
          <w:szCs w:val="22"/>
        </w:rPr>
        <w:t xml:space="preserve">Producing and preparing the coffee</w:t>
      </w:r>
    </w:p>
    <w:p>
      <w:pPr>
        <w:pStyle w:val="ListParagraph"/>
        <w:numPr>
          <w:ilvl w:val="0"/>
          <w:numId w:val="2"/>
        </w:numPr>
        <w:spacing w:after="80" w:line="276"/>
      </w:pPr>
      <w:r>
        <w:rPr>
          <w:sz w:val="22"/>
          <w:szCs w:val="22"/>
        </w:rPr>
        <w:t xml:space="preserve">Maintaining accurate farm and lot records</w:t>
      </w:r>
    </w:p>
    <w:p>
      <w:pPr>
        <w:pStyle w:val="ListParagraph"/>
        <w:numPr>
          <w:ilvl w:val="0"/>
          <w:numId w:val="2"/>
        </w:numPr>
        <w:spacing w:after="80" w:line="276"/>
      </w:pPr>
      <w:r>
        <w:rPr>
          <w:sz w:val="22"/>
          <w:szCs w:val="22"/>
        </w:rPr>
        <w:t xml:space="preserve">Following agreed post-harvest practices</w:t>
      </w:r>
    </w:p>
    <w:p>
      <w:pPr>
        <w:pStyle w:val="ListParagraph"/>
        <w:numPr>
          <w:ilvl w:val="0"/>
          <w:numId w:val="2"/>
        </w:numPr>
        <w:spacing w:after="80" w:line="276"/>
      </w:pPr>
      <w:r>
        <w:rPr>
          <w:sz w:val="22"/>
          <w:szCs w:val="22"/>
        </w:rPr>
        <w:t xml:space="preserve">Preparing representative samples</w:t>
      </w:r>
    </w:p>
    <w:p>
      <w:pPr>
        <w:pStyle w:val="ListParagraph"/>
        <w:numPr>
          <w:ilvl w:val="0"/>
          <w:numId w:val="2"/>
        </w:numPr>
        <w:spacing w:after="80" w:line="276"/>
      </w:pPr>
      <w:r>
        <w:rPr>
          <w:sz w:val="22"/>
          <w:szCs w:val="22"/>
        </w:rPr>
        <w:t xml:space="preserve">Communicating available quantities and timelines</w:t>
      </w:r>
    </w:p>
    <w:p>
      <w:pPr>
        <w:pStyle w:val="ListParagraph"/>
        <w:numPr>
          <w:ilvl w:val="0"/>
          <w:numId w:val="2"/>
        </w:numPr>
        <w:spacing w:after="80" w:line="276"/>
      </w:pPr>
      <w:r>
        <w:rPr>
          <w:sz w:val="22"/>
          <w:szCs w:val="22"/>
        </w:rPr>
        <w:t xml:space="preserve">Working toward agreed quality and consistency targets</w:t>
      </w:r>
    </w:p>
    <w:p>
      <w:pPr>
        <w:spacing w:after="160" w:line="276"/>
      </w:pPr>
      <w:r>
        <w:rPr>
          <w:b w:val="false"/>
          <w:bCs w:val="false"/>
          <w:i w:val="false"/>
          <w:iCs w:val="false"/>
          <w:sz w:val="22"/>
          <w:szCs w:val="22"/>
        </w:rPr>
        <w:t xml:space="preserve">This division keeps the model practical and avoids placing the full burden of sourcing, evaluation, or education on any single organization.</w:t>
      </w:r>
    </w:p>
    <w:p>
      <w:pPr>
        <w:pStyle w:val="Heading1"/>
        <w:pBdr>
          <w:bottom w:val="single" w:color="CCCCCC" w:sz="6" w:space="4"/>
        </w:pBdr>
        <w:spacing w:after="200" w:before="400"/>
      </w:pPr>
      <w:r>
        <w:rPr>
          <w:b/>
          <w:bCs/>
          <w:color w:val="6B4A2F"/>
          <w:sz w:val="28"/>
          <w:szCs w:val="28"/>
        </w:rPr>
        <w:t xml:space="preserve">5. Potential Partnership Activities</w:t>
      </w:r>
    </w:p>
    <w:p>
      <w:pPr>
        <w:pStyle w:val="Heading2"/>
        <w:spacing w:after="100" w:before="260"/>
      </w:pPr>
      <w:r>
        <w:rPr>
          <w:b/>
          <w:bCs/>
          <w:color w:val="6B4A2F"/>
          <w:sz w:val="23"/>
          <w:szCs w:val="23"/>
        </w:rPr>
        <w:t xml:space="preserve">Sample Evaluation</w:t>
      </w:r>
    </w:p>
    <w:p>
      <w:pPr>
        <w:spacing w:after="160" w:line="276"/>
      </w:pPr>
      <w:r>
        <w:rPr>
          <w:b w:val="false"/>
          <w:bCs w:val="false"/>
          <w:i w:val="false"/>
          <w:iCs w:val="false"/>
          <w:sz w:val="22"/>
          <w:szCs w:val="22"/>
        </w:rPr>
        <w:t xml:space="preserve">Fincava submits a small, clearly documented group of Colombian coffees for technical evaluation — physical quality, sensory quality, roast behavior, commercial applications, appropriate customer segments, pricing feasibility, documentation gaps, and potential quality improvements.</w:t>
      </w:r>
    </w:p>
    <w:p>
      <w:pPr>
        <w:pStyle w:val="Heading2"/>
        <w:spacing w:after="100" w:before="260"/>
      </w:pPr>
      <w:r>
        <w:rPr>
          <w:b/>
          <w:bCs/>
          <w:color w:val="6B4A2F"/>
          <w:sz w:val="23"/>
          <w:szCs w:val="23"/>
        </w:rPr>
        <w:t xml:space="preserve">Collaborative Cuppings</w:t>
      </w:r>
    </w:p>
    <w:p>
      <w:pPr>
        <w:spacing w:after="160" w:line="276"/>
      </w:pPr>
      <w:r>
        <w:rPr>
          <w:b w:val="false"/>
          <w:bCs w:val="false"/>
          <w:i w:val="false"/>
          <w:iCs w:val="false"/>
          <w:sz w:val="22"/>
          <w:szCs w:val="22"/>
        </w:rPr>
        <w:t xml:space="preserve">Joint cuppings organized for [PARTNER]'s production customers, co-roasting members, new entrepreneurs, established wholesale brands, café owners, and other regional roasters. The purpose is product discovery and market feedback, not a guaranteed purchase.</w:t>
      </w:r>
    </w:p>
    <w:p>
      <w:pPr>
        <w:pStyle w:val="Heading2"/>
        <w:spacing w:after="100" w:before="260"/>
      </w:pPr>
      <w:r>
        <w:rPr>
          <w:b/>
          <w:bCs/>
          <w:color w:val="6B4A2F"/>
          <w:sz w:val="23"/>
          <w:szCs w:val="23"/>
        </w:rPr>
        <w:t xml:space="preserve">Small-Lot Aggregation</w:t>
      </w:r>
    </w:p>
    <w:p>
      <w:pPr>
        <w:spacing w:after="160" w:line="276"/>
      </w:pPr>
      <w:r>
        <w:rPr>
          <w:b w:val="false"/>
          <w:bCs w:val="false"/>
          <w:i w:val="false"/>
          <w:iCs w:val="false"/>
          <w:sz w:val="22"/>
          <w:szCs w:val="22"/>
        </w:rPr>
        <w:t xml:space="preserve">Where a single roaster cannot purchase an entire lot, [PARTNER]'s member network may allow several brands to divide a lot while preserving economic feasibility — supporting a limited retail release, a café feature, a subscription offering, a private-label product, a training roast, or a cold-brew trial.</w:t>
      </w:r>
    </w:p>
    <w:p>
      <w:pPr>
        <w:pStyle w:val="Heading2"/>
        <w:spacing w:after="100" w:before="260"/>
      </w:pPr>
      <w:r>
        <w:rPr>
          <w:b/>
          <w:bCs/>
          <w:color w:val="6B4A2F"/>
          <w:sz w:val="23"/>
          <w:szCs w:val="23"/>
        </w:rPr>
        <w:t xml:space="preserve">Product Development</w:t>
      </w:r>
    </w:p>
    <w:p>
      <w:pPr>
        <w:spacing w:after="160" w:line="276"/>
      </w:pPr>
      <w:r>
        <w:rPr>
          <w:b w:val="false"/>
          <w:bCs w:val="false"/>
          <w:i w:val="false"/>
          <w:iCs w:val="false"/>
          <w:sz w:val="22"/>
          <w:szCs w:val="22"/>
        </w:rPr>
        <w:t xml:space="preserve">[PARTNER] and its member roasters identify the types of Colombian coffee most useful to their businesses — approachable washed coffees, chocolate-forward espresso components, cold-brew-suited lots, higher-scoring seasonal releases, experimental processes, women-led producer lots, or reliable year-round community lots — so Fincava can procure with clearer market intent.</w:t>
      </w:r>
    </w:p>
    <w:p>
      <w:pPr>
        <w:pStyle w:val="Heading2"/>
        <w:spacing w:after="100" w:before="260"/>
      </w:pPr>
      <w:r>
        <w:rPr>
          <w:b/>
          <w:bCs/>
          <w:color w:val="6B4A2F"/>
          <w:sz w:val="23"/>
          <w:szCs w:val="23"/>
        </w:rPr>
        <w:t xml:space="preserve">Producer Feedback</w:t>
      </w:r>
    </w:p>
    <w:p>
      <w:pPr>
        <w:spacing w:after="160" w:line="276"/>
      </w:pPr>
      <w:r>
        <w:rPr>
          <w:b w:val="false"/>
          <w:bCs w:val="false"/>
          <w:i w:val="false"/>
          <w:iCs w:val="false"/>
          <w:sz w:val="22"/>
          <w:szCs w:val="22"/>
        </w:rPr>
        <w:t xml:space="preserve">Fincava translates technical and commercial feedback from [PARTNER] into practical recommendations for farms — on cherry selection, fermentation control, drying consistency, moisture management, storage, lot separation, recordkeeping, sample preparation, variety selection, or processing investment — without promising every recommendation can be implemented immediately.</w:t>
      </w:r>
    </w:p>
    <w:p>
      <w:pPr>
        <w:pStyle w:val="Heading2"/>
        <w:spacing w:after="100" w:before="260"/>
      </w:pPr>
      <w:r>
        <w:rPr>
          <w:b/>
          <w:bCs/>
          <w:color w:val="6B4A2F"/>
          <w:sz w:val="23"/>
          <w:szCs w:val="23"/>
        </w:rPr>
        <w:t xml:space="preserve">Educational Programming</w:t>
      </w:r>
    </w:p>
    <w:p>
      <w:pPr>
        <w:spacing w:after="160" w:line="276"/>
      </w:pPr>
      <w:r>
        <w:rPr>
          <w:b w:val="false"/>
          <w:bCs w:val="false"/>
          <w:i w:val="false"/>
          <w:iCs w:val="false"/>
          <w:sz w:val="22"/>
          <w:szCs w:val="22"/>
        </w:rPr>
        <w:t xml:space="preserve">Joint programming connecting producers, importers, roasters, and coffee entrepreneurs: virtual farm presentations, producer interviews, green-coffee evaluation sessions, importing and traceability discussions, women-in-coffee programming, small-lot sourcing workshops, and comparative processing cuppings.</w:t>
      </w:r>
    </w:p>
    <w:p>
      <w:pPr>
        <w:pStyle w:val="Heading1"/>
        <w:pBdr>
          <w:bottom w:val="single" w:color="CCCCCC" w:sz="6" w:space="4"/>
        </w:pBdr>
        <w:spacing w:after="200" w:before="400"/>
      </w:pPr>
      <w:r>
        <w:rPr>
          <w:b/>
          <w:bCs/>
          <w:color w:val="6B4A2F"/>
          <w:sz w:val="28"/>
          <w:szCs w:val="28"/>
        </w:rPr>
        <w:t xml:space="preserve">6. Suggested Pilot Structure</w:t>
      </w:r>
    </w:p>
    <w:p>
      <w:pPr>
        <w:pStyle w:val="Heading2"/>
        <w:spacing w:after="100" w:before="260"/>
      </w:pPr>
      <w:r>
        <w:rPr>
          <w:b/>
          <w:bCs/>
          <w:color w:val="6B4A2F"/>
          <w:sz w:val="23"/>
          <w:szCs w:val="23"/>
        </w:rPr>
        <w:t xml:space="preserve">Phase 1 — Discovery</w:t>
      </w:r>
    </w:p>
    <w:p>
      <w:pPr>
        <w:spacing w:after="160" w:line="276"/>
      </w:pPr>
      <w:r>
        <w:rPr>
          <w:b w:val="false"/>
          <w:bCs w:val="false"/>
          <w:i w:val="false"/>
          <w:iCs w:val="false"/>
          <w:sz w:val="22"/>
          <w:szCs w:val="22"/>
        </w:rPr>
        <w:t xml:space="preserve">Understand [PARTNER]'s current Colombian coffee needs, preferred flavor profiles, common customer applications, typical lot and production sizes, acceptable landed-cost ranges, sample requirements, quality-control expectations, storage/delivery preferences, and interest in women-led farm programs.</w:t>
      </w:r>
    </w:p>
    <w:p>
      <w:pPr>
        <w:pStyle w:val="Heading2"/>
        <w:spacing w:after="100" w:before="260"/>
      </w:pPr>
      <w:r>
        <w:rPr>
          <w:b/>
          <w:bCs/>
          <w:color w:val="6B4A2F"/>
          <w:sz w:val="23"/>
          <w:szCs w:val="23"/>
        </w:rPr>
        <w:t xml:space="preserve">Phase 2 — Sample Portfolio</w:t>
      </w:r>
    </w:p>
    <w:p>
      <w:pPr>
        <w:spacing w:after="160" w:line="276"/>
      </w:pPr>
      <w:r>
        <w:rPr>
          <w:b w:val="false"/>
          <w:bCs w:val="false"/>
          <w:i w:val="false"/>
          <w:iCs w:val="false"/>
          <w:sz w:val="22"/>
          <w:szCs w:val="22"/>
        </w:rPr>
        <w:t xml:space="preserve">Fincava presents a limited portfolio rather than a broad catalog — typically three coffees: a dependable washed coffee suited to recurring commercial use, a differentiated single-farm or producer-specific lot, and a small experimental or showcase coffee. Each sample ships with the best available technical and producer information.</w:t>
      </w:r>
    </w:p>
    <w:p>
      <w:pPr>
        <w:pStyle w:val="Heading2"/>
        <w:spacing w:after="100" w:before="260"/>
      </w:pPr>
      <w:r>
        <w:rPr>
          <w:b/>
          <w:bCs/>
          <w:color w:val="6B4A2F"/>
          <w:sz w:val="23"/>
          <w:szCs w:val="23"/>
        </w:rPr>
        <w:t xml:space="preserve">Phase 3 — Evaluation</w:t>
      </w:r>
    </w:p>
    <w:p>
      <w:pPr>
        <w:spacing w:after="160" w:line="276"/>
      </w:pPr>
      <w:r>
        <w:rPr>
          <w:b w:val="false"/>
          <w:bCs w:val="false"/>
          <w:i w:val="false"/>
          <w:iCs w:val="false"/>
          <w:sz w:val="22"/>
          <w:szCs w:val="22"/>
        </w:rPr>
        <w:t xml:space="preserve">[PARTNER] evaluates through green grading, sample roasting, cupping, production-roast testing, customer feedback, and application testing for filter, espresso, or cold brew. Fincava documents the results and relays relevant feedback to the producers.</w:t>
      </w:r>
    </w:p>
    <w:p>
      <w:pPr>
        <w:pStyle w:val="Heading2"/>
        <w:spacing w:after="100" w:before="260"/>
      </w:pPr>
      <w:r>
        <w:rPr>
          <w:b/>
          <w:bCs/>
          <w:color w:val="6B4A2F"/>
          <w:sz w:val="23"/>
          <w:szCs w:val="23"/>
        </w:rPr>
        <w:t xml:space="preserve">Phase 4 — Initial Purchase</w:t>
      </w:r>
    </w:p>
    <w:p>
      <w:pPr>
        <w:spacing w:after="160" w:line="276"/>
      </w:pPr>
      <w:r>
        <w:rPr>
          <w:b w:val="false"/>
          <w:bCs w:val="false"/>
          <w:i w:val="false"/>
          <w:iCs w:val="false"/>
          <w:sz w:val="22"/>
          <w:szCs w:val="22"/>
        </w:rPr>
        <w:t xml:space="preserve">A first order kept intentionally small and non-binding: one or several bags for production validation, a shared lot divided among several roasters, a small private-label program, a seasonal producer feature, a cold-brew trial, or a limited women-led farm release. This is a test of quality, communication, logistics, roasting performance, buyer acceptance, and reorder potential — not a commitment to a permanent supply program.</w:t>
      </w:r>
    </w:p>
    <w:p>
      <w:pPr>
        <w:pStyle w:val="Heading2"/>
        <w:spacing w:after="100" w:before="260"/>
      </w:pPr>
      <w:r>
        <w:rPr>
          <w:b/>
          <w:bCs/>
          <w:color w:val="6B4A2F"/>
          <w:sz w:val="23"/>
          <w:szCs w:val="23"/>
        </w:rPr>
        <w:t xml:space="preserve">Phase 5 — Review and Expansion</w:t>
      </w:r>
    </w:p>
    <w:p>
      <w:pPr>
        <w:spacing w:after="160" w:line="276"/>
      </w:pPr>
      <w:r>
        <w:rPr>
          <w:b w:val="false"/>
          <w:bCs w:val="false"/>
          <w:i w:val="false"/>
          <w:iCs w:val="false"/>
          <w:sz w:val="22"/>
          <w:szCs w:val="22"/>
        </w:rPr>
        <w:t xml:space="preserve">Both parties review product quality, sample accuracy, delivery performance, customer response, sales velocity, pricing, documentation quality, producer impact, operational challenges, and potential for repeat orders. A successful pilot supports larger, more predictable procurement in the next harvest cycle.</w:t>
      </w:r>
    </w:p>
    <w:p>
      <w:pPr>
        <w:pStyle w:val="Heading1"/>
        <w:pBdr>
          <w:bottom w:val="single" w:color="CCCCCC" w:sz="6" w:space="4"/>
        </w:pBdr>
        <w:spacing w:after="200" w:before="400"/>
      </w:pPr>
      <w:r>
        <w:rPr>
          <w:b/>
          <w:bCs/>
          <w:color w:val="6B4A2F"/>
          <w:sz w:val="28"/>
          <w:szCs w:val="28"/>
        </w:rPr>
        <w:t xml:space="preserve">7. What This Partnership Is Not Asking of [Partner]</w:t>
      </w:r>
    </w:p>
    <w:p>
      <w:pPr>
        <w:spacing w:after="160" w:line="276"/>
      </w:pPr>
      <w:r>
        <w:rPr>
          <w:b w:val="false"/>
          <w:bCs w:val="false"/>
          <w:i w:val="false"/>
          <w:iCs w:val="false"/>
          <w:sz w:val="22"/>
          <w:szCs w:val="22"/>
        </w:rPr>
        <w:t xml:space="preserve">This partnership does not require [PARTNER] to become an exporter, importer, lender, or farm-management organization. It asks only for structured buyer-side guidance — evaluation, feedback, and market insight — that helps Fincava and participating farms understand what the market requires. Fincava remains the party responsible for sourcing, documentation, procurement, and import.</w:t>
      </w:r>
    </w:p>
    <w:p>
      <w:pPr>
        <w:pStyle w:val="Heading1"/>
        <w:pBdr>
          <w:bottom w:val="single" w:color="CCCCCC" w:sz="6" w:space="4"/>
        </w:pBdr>
        <w:spacing w:after="200" w:before="400"/>
      </w:pPr>
      <w:r>
        <w:rPr>
          <w:b/>
          <w:bCs/>
          <w:color w:val="6B4A2F"/>
          <w:sz w:val="28"/>
          <w:szCs w:val="28"/>
        </w:rPr>
        <w:t xml:space="preserve">8. Low-Commitment Ways to Begin</w:t>
      </w:r>
    </w:p>
    <w:p>
      <w:pPr>
        <w:spacing w:after="160" w:line="276"/>
      </w:pPr>
      <w:r>
        <w:rPr>
          <w:b w:val="false"/>
          <w:bCs w:val="false"/>
          <w:i w:val="false"/>
          <w:iCs w:val="false"/>
          <w:sz w:val="22"/>
          <w:szCs w:val="22"/>
        </w:rPr>
        <w:t xml:space="preserve">The relationship can start wherever is most comfortable for [PARTNER]:</w:t>
      </w:r>
    </w:p>
    <w:p>
      <w:pPr>
        <w:pStyle w:val="ListParagraph"/>
        <w:numPr>
          <w:ilvl w:val="0"/>
          <w:numId w:val="2"/>
        </w:numPr>
        <w:spacing w:after="80" w:line="276"/>
      </w:pPr>
      <w:r>
        <w:rPr>
          <w:sz w:val="22"/>
          <w:szCs w:val="22"/>
        </w:rPr>
        <w:t xml:space="preserve">A conversation about current green-coffee needs</w:t>
      </w:r>
    </w:p>
    <w:p>
      <w:pPr>
        <w:pStyle w:val="ListParagraph"/>
        <w:numPr>
          <w:ilvl w:val="0"/>
          <w:numId w:val="2"/>
        </w:numPr>
        <w:spacing w:after="80" w:line="276"/>
      </w:pPr>
      <w:r>
        <w:rPr>
          <w:sz w:val="22"/>
          <w:szCs w:val="22"/>
        </w:rPr>
        <w:t xml:space="preserve">A documented sample portfolio for evaluation</w:t>
      </w:r>
    </w:p>
    <w:p>
      <w:pPr>
        <w:pStyle w:val="ListParagraph"/>
        <w:numPr>
          <w:ilvl w:val="0"/>
          <w:numId w:val="2"/>
        </w:numPr>
        <w:spacing w:after="80" w:line="276"/>
      </w:pPr>
      <w:r>
        <w:rPr>
          <w:sz w:val="22"/>
          <w:szCs w:val="22"/>
        </w:rPr>
        <w:t xml:space="preserve">A collaborative cupping</w:t>
      </w:r>
    </w:p>
    <w:p>
      <w:pPr>
        <w:pStyle w:val="ListParagraph"/>
        <w:numPr>
          <w:ilvl w:val="0"/>
          <w:numId w:val="2"/>
        </w:numPr>
        <w:spacing w:after="80" w:line="276"/>
      </w:pPr>
      <w:r>
        <w:rPr>
          <w:sz w:val="22"/>
          <w:szCs w:val="22"/>
        </w:rPr>
        <w:t xml:space="preserve">A small test purchase</w:t>
      </w:r>
    </w:p>
    <w:p>
      <w:pPr>
        <w:pStyle w:val="ListParagraph"/>
        <w:numPr>
          <w:ilvl w:val="0"/>
          <w:numId w:val="2"/>
        </w:numPr>
        <w:spacing w:after="80" w:line="276"/>
      </w:pPr>
      <w:r>
        <w:rPr>
          <w:sz w:val="22"/>
          <w:szCs w:val="22"/>
        </w:rPr>
        <w:t xml:space="preserve">A shared lot involving multiple member roasters</w:t>
      </w:r>
    </w:p>
    <w:p>
      <w:pPr>
        <w:pStyle w:val="ListParagraph"/>
        <w:numPr>
          <w:ilvl w:val="0"/>
          <w:numId w:val="2"/>
        </w:numPr>
        <w:spacing w:after="80" w:line="276"/>
      </w:pPr>
      <w:r>
        <w:rPr>
          <w:sz w:val="22"/>
          <w:szCs w:val="22"/>
        </w:rPr>
        <w:t xml:space="preserve">A seasonal women-led farm feature</w:t>
      </w:r>
    </w:p>
    <w:p>
      <w:pPr>
        <w:shd w:fill="F2ECE4" w:val="clear"/>
        <w:spacing w:after="240" w:before="120"/>
      </w:pPr>
      <w:r>
        <w:rPr>
          <w:i/>
          <w:iCs/>
          <w:color w:val="555555"/>
          <w:sz w:val="20"/>
          <w:szCs w:val="20"/>
        </w:rPr>
        <w:t xml:space="preserve">Farm/lot verification is not offered as an entry point in this version of the template — that service is a planned future offering for Fincava (see the companion Supplier Development Model document) and is not yet ready to be proposed to partners.</w:t>
      </w:r>
    </w:p>
    <w:p>
      <w:pPr>
        <w:pStyle w:val="Heading1"/>
        <w:pBdr>
          <w:bottom w:val="single" w:color="CCCCCC" w:sz="6" w:space="4"/>
        </w:pBdr>
        <w:spacing w:after="200" w:before="400"/>
      </w:pPr>
      <w:r>
        <w:rPr>
          <w:b/>
          <w:bCs/>
          <w:color w:val="6B4A2F"/>
          <w:sz w:val="28"/>
          <w:szCs w:val="28"/>
        </w:rPr>
        <w:t xml:space="preserve">9. Proposed Next Step</w:t>
      </w:r>
    </w:p>
    <w:p>
      <w:pPr>
        <w:spacing w:after="160" w:line="276"/>
      </w:pPr>
      <w:r>
        <w:rPr>
          <w:b w:val="false"/>
          <w:bCs w:val="false"/>
          <w:i w:val="false"/>
          <w:iCs w:val="false"/>
          <w:sz w:val="22"/>
          <w:szCs w:val="22"/>
        </w:rPr>
        <w:t xml:space="preserve">Fincava is not approaching [PARTNER] with the assumption that every part of the coffee supply chain has already been solved. It is approaching with a defined mission, direct access to Colombian producers, local Texas ownership, procurement and importing capabilities under active development, and a willingness to build the systems required by qualified buyers.</w:t>
      </w:r>
    </w:p>
    <w:p>
      <w:pPr>
        <w:spacing w:after="160" w:line="276"/>
      </w:pPr>
      <w:r>
        <w:rPr>
          <w:b w:val="false"/>
          <w:bCs w:val="false"/>
          <w:i w:val="false"/>
          <w:iCs w:val="false"/>
          <w:sz w:val="22"/>
          <w:szCs w:val="22"/>
        </w:rPr>
        <w:t xml:space="preserve">The immediate ask is modest: a short conversation to understand [PARTNER]'s current needs, followed by a small, relevant sample portfolio. From there, both sides can decide together whether a pilot makes sense.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2026-07-27T04:36:50.392Z</dcterms:created>
  <dcterms:modified xsi:type="dcterms:W3CDTF">2026-07-27T04:36:50.392Z</dcterms:modified>
</cp:coreProperties>
</file>

<file path=docProps/custom.xml><?xml version="1.0" encoding="utf-8"?>
<Properties xmlns="http://schemas.openxmlformats.org/officeDocument/2006/custom-properties" xmlns:vt="http://schemas.openxmlformats.org/officeDocument/2006/docPropsVTypes"/>
</file>