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EAF4FB"/>
  <w:body>
    <w:p>
      <w:pPr>
        <w:spacing w:before="160" w:after="160"/>
        <w:jc w:val="center"/>
        <w:shd w:val="clear" w:color="auto" w:fill="2E86C1"/>
      </w:pPr>
      <w:r>
        <w:rPr>
          <w:rFonts w:ascii="Calibri" w:hAnsi="Calibri"/>
          <w:b/>
          <w:color w:val="FFFFFF"/>
          <w:sz w:val="44"/>
        </w:rPr>
        <w:t xml:space="preserve">  📘  EduConnect Platform  </w:t>
      </w:r>
    </w:p>
    <w:p>
      <w:pPr>
        <w:spacing w:before="40" w:after="280"/>
        <w:jc w:val="center"/>
        <w:shd w:val="clear" w:color="auto" w:fill="AED6F1"/>
      </w:pPr>
      <w:r>
        <w:rPr>
          <w:rFonts w:ascii="Calibri" w:hAnsi="Calibri"/>
          <w:i/>
          <w:color w:val="1A5E85"/>
          <w:sz w:val="24"/>
        </w:rPr>
        <w:t xml:space="preserve">  Detailed Project Explanation  </w:t>
      </w:r>
    </w:p>
    <w:p>
      <w:pPr>
        <w:shd w:val="clear" w:color="auto" w:fill="D6EAF8"/>
        <w:spacing w:before="200" w:after="80"/>
        <w:ind w:left="170"/>
        <w:pBdr>
          <w:bottom w:val="single" w:sz="8" w:space="1" w:color="2E86C1"/>
        </w:pBdr>
      </w:pPr>
      <w:r>
        <w:rPr>
          <w:rFonts w:ascii="Calibri" w:hAnsi="Calibri"/>
          <w:b/>
          <w:color w:val="1B4F72"/>
          <w:sz w:val="26"/>
        </w:rPr>
        <w:t>1. Introduction to EduConnect</w:t>
      </w:r>
    </w:p>
    <w:p>
      <w:pPr>
        <w:shd w:val="clear" w:color="auto" w:fill="F0F8FF"/>
        <w:spacing w:before="0" w:after="0" w:line="440" w:lineRule="exact"/>
        <w:ind w:left="283"/>
        <w:pBdr>
          <w:bottom w:val="single" w:sz="4" w:space="1" w:color="A9CCE3"/>
        </w:pBdr>
      </w:pPr>
      <w:r>
        <w:rPr>
          <w:rFonts w:ascii="Calibri" w:hAnsi="Calibri"/>
          <w:color w:val="1C1C1C"/>
          <w:sz w:val="22"/>
        </w:rPr>
        <w:t xml:space="preserve">EduConnect is a comprehensive, multi-platform educational management system designed to streamline academic operations, foster communication, and digitize administrative tasks within an educational institution. The primary objective of the platform is to bridge the gap between administrators, teachers, and students by providing a centralized, digitized environment. Whether it involves tracking student attendance through modern mechanisms like QR codes, managing course enrollments, distributing academic announcements, or compiling exam results into actionable insights, EduConnect handles these processes seamlessly. By eliminating traditional paper-based workflows, the platform enhances institutional efficiency and empowers stakeholders with real-time academic analytics. </w:t>
      </w:r>
    </w:p>
    <w:p>
      <w:pPr>
        <w:shd w:val="clear" w:color="auto" w:fill="F0F8FF"/>
        <w:spacing w:before="0" w:after="40"/>
      </w:pPr>
    </w:p>
    <w:p>
      <w:pPr>
        <w:shd w:val="clear" w:color="auto" w:fill="D6EAF8"/>
        <w:spacing w:before="200" w:after="80"/>
        <w:ind w:left="170"/>
        <w:pBdr>
          <w:bottom w:val="single" w:sz="8" w:space="1" w:color="2E86C1"/>
        </w:pBdr>
      </w:pPr>
      <w:r>
        <w:rPr>
          <w:rFonts w:ascii="Calibri" w:hAnsi="Calibri"/>
          <w:b/>
          <w:color w:val="1B4F72"/>
          <w:sz w:val="26"/>
        </w:rPr>
        <w:t>2. Architecture and Technology Stack</w:t>
      </w:r>
    </w:p>
    <w:p>
      <w:pPr>
        <w:shd w:val="clear" w:color="auto" w:fill="F0F8FF"/>
        <w:spacing w:before="0" w:after="0" w:line="440" w:lineRule="exact"/>
        <w:ind w:left="283"/>
        <w:pBdr>
          <w:bottom w:val="single" w:sz="4" w:space="1" w:color="A9CCE3"/>
        </w:pBdr>
      </w:pPr>
      <w:r>
        <w:rPr>
          <w:rFonts w:ascii="Calibri" w:hAnsi="Calibri"/>
          <w:color w:val="1C1C1C"/>
          <w:sz w:val="22"/>
        </w:rPr>
        <w:t xml:space="preserve">The project adopts a modern, decoupled client-server architecture, allowing the frontend and backend to scale and evolve independently. </w:t>
      </w:r>
    </w:p>
    <w:p>
      <w:pPr>
        <w:shd w:val="clear" w:color="auto" w:fill="F0F8FF"/>
        <w:spacing w:before="0" w:after="0" w:line="440" w:lineRule="exact"/>
        <w:ind w:left="283"/>
        <w:pBdr>
          <w:bottom w:val="single" w:sz="4" w:space="1" w:color="A9CCE3"/>
        </w:pBdr>
      </w:pPr>
      <w:r>
        <w:rPr>
          <w:rFonts w:ascii="Calibri" w:hAnsi="Calibri"/>
          <w:b/>
          <w:color w:val="216EAB"/>
          <w:sz w:val="22"/>
        </w:rPr>
        <w:t xml:space="preserve">Frontend Ecosystem: </w:t>
      </w:r>
      <w:r>
        <w:rPr>
          <w:rFonts w:ascii="Calibri" w:hAnsi="Calibri"/>
          <w:color w:val="1C1C1C"/>
          <w:sz w:val="22"/>
        </w:rPr>
        <w:t xml:space="preserve">The client-side application is built utilizing React, bootstrapped with Vite for incredibly fast Hot Module Replacement (HMR) and optimized production builds. For the user interface, it relies on Material-UI (MUI), a robust component library that provides a sleek, modern, and accessible design system out of the box. Data visualization — critical for displaying student performance trends and attendance records — is powered by Recharts, which renders highly interactive charts like Pie Charts and Area Charts. </w:t>
      </w:r>
    </w:p>
    <w:p>
      <w:pPr>
        <w:shd w:val="clear" w:color="auto" w:fill="F0F8FF"/>
        <w:spacing w:before="0" w:after="0" w:line="440" w:lineRule="exact"/>
        <w:ind w:left="283"/>
        <w:pBdr>
          <w:bottom w:val="single" w:sz="4" w:space="1" w:color="A9CCE3"/>
        </w:pBdr>
      </w:pPr>
      <w:r>
        <w:rPr>
          <w:rFonts w:ascii="Calibri" w:hAnsi="Calibri"/>
          <w:b/>
          <w:color w:val="216EAB"/>
          <w:sz w:val="22"/>
        </w:rPr>
        <w:t xml:space="preserve">Backend Infrastructure: </w:t>
      </w:r>
      <w:r>
        <w:rPr>
          <w:rFonts w:ascii="Calibri" w:hAnsi="Calibri"/>
          <w:color w:val="1C1C1C"/>
          <w:sz w:val="22"/>
        </w:rPr>
        <w:t xml:space="preserve">The server-side logic is driven by Django, a high-level Python web framework renowned for its rapid development capabilities and robust security features. Django manages the relational database, enforces complex business logic, handles user authentication securely, and exposes data via a RESTful API to the frontend clients. </w:t>
      </w:r>
    </w:p>
    <w:p>
      <w:pPr>
        <w:shd w:val="clear" w:color="auto" w:fill="F0F8FF"/>
        <w:spacing w:before="0" w:after="0" w:line="440" w:lineRule="exact"/>
        <w:ind w:left="283"/>
        <w:pBdr>
          <w:bottom w:val="single" w:sz="4" w:space="1" w:color="A9CCE3"/>
        </w:pBdr>
      </w:pPr>
      <w:r>
        <w:rPr>
          <w:rFonts w:ascii="Calibri" w:hAnsi="Calibri"/>
          <w:b/>
          <w:color w:val="216EAB"/>
          <w:sz w:val="22"/>
        </w:rPr>
        <w:t xml:space="preserve">Cross-Platform Mobile Integration: </w:t>
      </w:r>
      <w:r>
        <w:rPr>
          <w:rFonts w:ascii="Calibri" w:hAnsi="Calibri"/>
          <w:color w:val="1C1C1C"/>
          <w:sz w:val="22"/>
        </w:rPr>
        <w:t xml:space="preserve">To extend the platform's reach beyond traditional web browsers, EduConnect employs Capacitor. Capacitor acts as a native runtime layer that encapsulates the React web application into a native Android application container (APK). This hybrid approach ensures that a single codebase serves both web and mobile users while granting the app access to native device features. </w:t>
      </w:r>
    </w:p>
    <w:p>
      <w:pPr>
        <w:shd w:val="clear" w:color="auto" w:fill="F0F8FF"/>
        <w:spacing w:before="0" w:after="40"/>
      </w:pPr>
    </w:p>
    <w:p>
      <w:pPr>
        <w:shd w:val="clear" w:color="auto" w:fill="D6EAF8"/>
        <w:spacing w:before="200" w:after="80"/>
        <w:ind w:left="170"/>
        <w:pBdr>
          <w:bottom w:val="single" w:sz="8" w:space="1" w:color="2E86C1"/>
        </w:pBdr>
      </w:pPr>
      <w:r>
        <w:rPr>
          <w:rFonts w:ascii="Calibri" w:hAnsi="Calibri"/>
          <w:b/>
          <w:color w:val="1B4F72"/>
          <w:sz w:val="26"/>
        </w:rPr>
        <w:t>3. Key Roles and Access Control</w:t>
      </w:r>
    </w:p>
    <w:p>
      <w:pPr>
        <w:shd w:val="clear" w:color="auto" w:fill="F0F8FF"/>
        <w:spacing w:before="0" w:after="0" w:line="440" w:lineRule="exact"/>
        <w:ind w:left="283"/>
        <w:pBdr>
          <w:bottom w:val="single" w:sz="4" w:space="1" w:color="A9CCE3"/>
        </w:pBdr>
      </w:pPr>
      <w:r>
        <w:rPr>
          <w:rFonts w:ascii="Calibri" w:hAnsi="Calibri"/>
          <w:color w:val="1C1C1C"/>
          <w:sz w:val="22"/>
        </w:rPr>
        <w:t xml:space="preserve">EduConnect implements strict Role-Based Access Control (RBAC) to ensure that users interact only with the features and data relevant to their responsibilities. </w:t>
      </w:r>
    </w:p>
    <w:p>
      <w:pPr>
        <w:shd w:val="clear" w:color="auto" w:fill="F0F8FF"/>
        <w:spacing w:before="0" w:after="0" w:line="440" w:lineRule="exact"/>
        <w:ind w:left="283"/>
        <w:pBdr>
          <w:bottom w:val="single" w:sz="4" w:space="1" w:color="A9CCE3"/>
        </w:pBdr>
      </w:pPr>
      <w:r>
        <w:rPr>
          <w:rFonts w:ascii="Calibri" w:hAnsi="Calibri"/>
          <w:b/>
          <w:color w:val="216EAB"/>
          <w:sz w:val="22"/>
        </w:rPr>
        <w:t xml:space="preserve">Administrators: </w:t>
      </w:r>
      <w:r>
        <w:rPr>
          <w:rFonts w:ascii="Calibri" w:hAnsi="Calibri"/>
          <w:color w:val="1C1C1C"/>
          <w:sz w:val="22"/>
        </w:rPr>
        <w:t xml:space="preserve">Serve as the system overseers. They possess global privileges to approve new user registrations, manage institutional data, oversee all courses, and monitor platform-wide statistics. Their dashboard provides a macroscopic view of the system's health and user distribution. </w:t>
      </w:r>
    </w:p>
    <w:p>
      <w:pPr>
        <w:shd w:val="clear" w:color="auto" w:fill="F0F8FF"/>
        <w:spacing w:before="0" w:after="0" w:line="440" w:lineRule="exact"/>
        <w:ind w:left="283"/>
        <w:pBdr>
          <w:bottom w:val="single" w:sz="4" w:space="1" w:color="A9CCE3"/>
        </w:pBdr>
      </w:pPr>
      <w:r>
        <w:rPr>
          <w:rFonts w:ascii="Calibri" w:hAnsi="Calibri"/>
          <w:b/>
          <w:color w:val="216EAB"/>
          <w:sz w:val="22"/>
        </w:rPr>
        <w:t xml:space="preserve">Teachers: </w:t>
      </w:r>
      <w:r>
        <w:rPr>
          <w:rFonts w:ascii="Calibri" w:hAnsi="Calibri"/>
          <w:color w:val="1C1C1C"/>
          <w:sz w:val="22"/>
        </w:rPr>
        <w:t xml:space="preserve">Act as the facilitators of education. Teachers are granted permissions to create and manage courses, post announcements, log student attendance, structure lesson plans, and input exam grades. Their interface is heavily optimized for class management and evaluating student performance. </w:t>
      </w:r>
    </w:p>
    <w:p>
      <w:pPr>
        <w:shd w:val="clear" w:color="auto" w:fill="F0F8FF"/>
        <w:spacing w:before="0" w:after="0" w:line="440" w:lineRule="exact"/>
        <w:ind w:left="283"/>
        <w:pBdr>
          <w:bottom w:val="single" w:sz="4" w:space="1" w:color="A9CCE3"/>
        </w:pBdr>
      </w:pPr>
      <w:r>
        <w:rPr>
          <w:rFonts w:ascii="Calibri" w:hAnsi="Calibri"/>
          <w:b/>
          <w:color w:val="216EAB"/>
          <w:sz w:val="22"/>
        </w:rPr>
        <w:t xml:space="preserve">Students: </w:t>
      </w:r>
      <w:r>
        <w:rPr>
          <w:rFonts w:ascii="Calibri" w:hAnsi="Calibri"/>
          <w:color w:val="1C1C1C"/>
          <w:sz w:val="22"/>
        </w:rPr>
        <w:t xml:space="preserve">The primary consumers of the educational content. The student portal is designed to provide immediate access to enrolled courses, real-time attendance percentages, recent announcements, and a comprehensive registry of their exam results and overall GPA. </w:t>
      </w:r>
    </w:p>
    <w:p>
      <w:pPr>
        <w:shd w:val="clear" w:color="auto" w:fill="F0F8FF"/>
        <w:spacing w:before="0" w:after="40"/>
      </w:pPr>
    </w:p>
    <w:p>
      <w:pPr>
        <w:shd w:val="clear" w:color="auto" w:fill="D6EAF8"/>
        <w:spacing w:before="200" w:after="80"/>
        <w:ind w:left="170"/>
        <w:pBdr>
          <w:bottom w:val="single" w:sz="8" w:space="1" w:color="2E86C1"/>
        </w:pBdr>
      </w:pPr>
      <w:r>
        <w:rPr>
          <w:rFonts w:ascii="Calibri" w:hAnsi="Calibri"/>
          <w:b/>
          <w:color w:val="1B4F72"/>
          <w:sz w:val="26"/>
        </w:rPr>
        <w:t>4. Core Modules and Functionality</w:t>
      </w:r>
    </w:p>
    <w:p>
      <w:pPr>
        <w:shd w:val="clear" w:color="auto" w:fill="F0F8FF"/>
        <w:spacing w:before="0" w:after="0" w:line="440" w:lineRule="exact"/>
        <w:ind w:left="283"/>
        <w:pBdr>
          <w:bottom w:val="single" w:sz="4" w:space="1" w:color="A9CCE3"/>
        </w:pBdr>
      </w:pPr>
      <w:r>
        <w:rPr>
          <w:rFonts w:ascii="Calibri" w:hAnsi="Calibri"/>
          <w:color w:val="1C1C1C"/>
          <w:sz w:val="22"/>
        </w:rPr>
        <w:t xml:space="preserve">The platform is logically divided into several interconnected modules: </w:t>
      </w:r>
    </w:p>
    <w:p>
      <w:pPr>
        <w:shd w:val="clear" w:color="auto" w:fill="F0F8FF"/>
        <w:spacing w:before="0" w:after="0" w:line="440" w:lineRule="exact"/>
        <w:ind w:left="283"/>
        <w:pBdr>
          <w:bottom w:val="single" w:sz="4" w:space="1" w:color="A9CCE3"/>
        </w:pBdr>
      </w:pPr>
      <w:r>
        <w:rPr>
          <w:rFonts w:ascii="Calibri" w:hAnsi="Calibri"/>
          <w:b/>
          <w:color w:val="216EAB"/>
          <w:sz w:val="22"/>
        </w:rPr>
        <w:t xml:space="preserve">Dynamic Dashboards: </w:t>
      </w:r>
      <w:r>
        <w:rPr>
          <w:rFonts w:ascii="Calibri" w:hAnsi="Calibri"/>
          <w:color w:val="1C1C1C"/>
          <w:sz w:val="22"/>
        </w:rPr>
        <w:t xml:space="preserve">Upon logging in, users are greeted with highly customized dashboards based on their role. These dashboards aggregate critical metrics and present them using interactive Recharts components. </w:t>
      </w:r>
    </w:p>
    <w:p>
      <w:pPr>
        <w:shd w:val="clear" w:color="auto" w:fill="F0F8FF"/>
        <w:spacing w:before="0" w:after="0" w:line="440" w:lineRule="exact"/>
        <w:ind w:left="283"/>
        <w:pBdr>
          <w:bottom w:val="single" w:sz="4" w:space="1" w:color="A9CCE3"/>
        </w:pBdr>
      </w:pPr>
      <w:r>
        <w:rPr>
          <w:rFonts w:ascii="Calibri" w:hAnsi="Calibri"/>
          <w:b/>
          <w:color w:val="216EAB"/>
          <w:sz w:val="22"/>
        </w:rPr>
        <w:t xml:space="preserve">Attendance Tracking System: </w:t>
      </w:r>
      <w:r>
        <w:rPr>
          <w:rFonts w:ascii="Calibri" w:hAnsi="Calibri"/>
          <w:color w:val="1C1C1C"/>
          <w:sz w:val="22"/>
        </w:rPr>
        <w:t xml:space="preserve">A standout feature of EduConnect is its multifaceted attendance module. It supports traditional manual entry as well as rapid, automated tracking through QR Code generation and scanning. This drastically reduces administrative overhead during classes. </w:t>
      </w:r>
    </w:p>
    <w:p>
      <w:pPr>
        <w:shd w:val="clear" w:color="auto" w:fill="F0F8FF"/>
        <w:spacing w:before="0" w:after="0" w:line="440" w:lineRule="exact"/>
        <w:ind w:left="283"/>
        <w:pBdr>
          <w:bottom w:val="single" w:sz="4" w:space="1" w:color="A9CCE3"/>
        </w:pBdr>
      </w:pPr>
      <w:r>
        <w:rPr>
          <w:rFonts w:ascii="Calibri" w:hAnsi="Calibri"/>
          <w:b/>
          <w:color w:val="216EAB"/>
          <w:sz w:val="22"/>
        </w:rPr>
        <w:t xml:space="preserve">Performance and Grading Registry: </w:t>
      </w:r>
      <w:r>
        <w:rPr>
          <w:rFonts w:ascii="Calibri" w:hAnsi="Calibri"/>
          <w:color w:val="1C1C1C"/>
          <w:sz w:val="22"/>
        </w:rPr>
        <w:t xml:space="preserve">Teachers can record exam marks, which the system automatically processes to calculate percentages, map them to specific grades, and compute an overall GPA. Students can view their historical performance trends via Area Charts or download official PDF progress reports. </w:t>
      </w:r>
    </w:p>
    <w:p>
      <w:pPr>
        <w:shd w:val="clear" w:color="auto" w:fill="F0F8FF"/>
        <w:spacing w:before="0" w:after="0" w:line="440" w:lineRule="exact"/>
        <w:ind w:left="283"/>
        <w:pBdr>
          <w:bottom w:val="single" w:sz="4" w:space="1" w:color="A9CCE3"/>
        </w:pBdr>
      </w:pPr>
      <w:r>
        <w:rPr>
          <w:rFonts w:ascii="Calibri" w:hAnsi="Calibri"/>
          <w:b/>
          <w:color w:val="216EAB"/>
          <w:sz w:val="22"/>
        </w:rPr>
        <w:t xml:space="preserve">Announcements and Timetables: </w:t>
      </w:r>
      <w:r>
        <w:rPr>
          <w:rFonts w:ascii="Calibri" w:hAnsi="Calibri"/>
          <w:color w:val="1C1C1C"/>
          <w:sz w:val="22"/>
        </w:rPr>
        <w:t xml:space="preserve">A centralized communication hub ensures that critical updates — such as schedule changes, upcoming exams, or institutional news — are instantly broadcasted to relevant user groups. Integrated timetables allow students and staff to visualize their weekly schedules effortlessly. </w:t>
      </w:r>
    </w:p>
    <w:p>
      <w:pPr>
        <w:shd w:val="clear" w:color="auto" w:fill="F0F8FF"/>
        <w:spacing w:before="0" w:after="40"/>
      </w:pPr>
    </w:p>
    <w:p>
      <w:pPr>
        <w:shd w:val="clear" w:color="auto" w:fill="D6EAF8"/>
        <w:spacing w:before="200" w:after="80"/>
        <w:ind w:left="170"/>
        <w:pBdr>
          <w:bottom w:val="single" w:sz="8" w:space="1" w:color="2E86C1"/>
        </w:pBdr>
      </w:pPr>
      <w:r>
        <w:rPr>
          <w:rFonts w:ascii="Calibri" w:hAnsi="Calibri"/>
          <w:b/>
          <w:color w:val="1B4F72"/>
          <w:sz w:val="26"/>
        </w:rPr>
        <w:t>5. Mobile Integration and Platform Adaptability</w:t>
      </w:r>
    </w:p>
    <w:p>
      <w:pPr>
        <w:shd w:val="clear" w:color="auto" w:fill="F0F8FF"/>
        <w:spacing w:before="0" w:after="0" w:line="440" w:lineRule="exact"/>
        <w:ind w:left="283"/>
        <w:pBdr>
          <w:bottom w:val="single" w:sz="4" w:space="1" w:color="A9CCE3"/>
        </w:pBdr>
      </w:pPr>
      <w:r>
        <w:rPr>
          <w:rFonts w:ascii="Calibri" w:hAnsi="Calibri"/>
          <w:color w:val="1C1C1C"/>
          <w:sz w:val="22"/>
        </w:rPr>
        <w:t xml:space="preserve">A significant engineering focus of EduConnect is its flawless adaptability to mobile environments. The integration of Capacitor transforms the React web application into a fully functional Android APK. To ensure the mobile application feels truly native and performant, several specialized optimizations were implemented: </w:t>
      </w:r>
    </w:p>
    <w:p>
      <w:pPr>
        <w:shd w:val="clear" w:color="auto" w:fill="F0F8FF"/>
        <w:spacing w:before="0" w:after="0" w:line="440" w:lineRule="exact"/>
        <w:ind w:left="283"/>
        <w:pBdr>
          <w:bottom w:val="single" w:sz="4" w:space="1" w:color="A9CCE3"/>
        </w:pBdr>
      </w:pPr>
      <w:r>
        <w:rPr>
          <w:rFonts w:ascii="Calibri" w:hAnsi="Calibri"/>
          <w:b/>
          <w:color w:val="216EAB"/>
          <w:sz w:val="22"/>
        </w:rPr>
        <w:t xml:space="preserve">Layout and Scaling Constraints: </w:t>
      </w:r>
      <w:r>
        <w:rPr>
          <w:rFonts w:ascii="Calibri" w:hAnsi="Calibri"/>
          <w:color w:val="1C1C1C"/>
          <w:sz w:val="22"/>
        </w:rPr>
        <w:t xml:space="preserve">Mobile webviews are notorious for layout scaling issues. EduConnect strictly enforces viewport-fit=cover, disables user scaling, and locks horizontal scrolling. This prevents the application from accidentally zooming or sliding sideways during touch interactions, ensuring a rigid, app-like feel. </w:t>
      </w:r>
    </w:p>
    <w:p>
      <w:pPr>
        <w:shd w:val="clear" w:color="auto" w:fill="F0F8FF"/>
        <w:spacing w:before="0" w:after="0" w:line="440" w:lineRule="exact"/>
        <w:ind w:left="283"/>
        <w:pBdr>
          <w:bottom w:val="single" w:sz="4" w:space="1" w:color="A9CCE3"/>
        </w:pBdr>
      </w:pPr>
      <w:r>
        <w:rPr>
          <w:rFonts w:ascii="Calibri" w:hAnsi="Calibri"/>
          <w:b/>
          <w:color w:val="216EAB"/>
          <w:sz w:val="22"/>
        </w:rPr>
        <w:t xml:space="preserve">Native Routing and UI Rendering: </w:t>
      </w:r>
      <w:r>
        <w:rPr>
          <w:rFonts w:ascii="Calibri" w:hAnsi="Calibri"/>
          <w:color w:val="1C1C1C"/>
          <w:sz w:val="22"/>
        </w:rPr>
        <w:t xml:space="preserve">The platform dynamically detects its environment. When running as a native Android app, it bypasses complex layout resize observers (which are prone to freezing Android Chromium Webviews) by calculating static chart dimensions on component mount. It also dynamically toggles animation durations to prevent Webview transition lags that block user touch events. </w:t>
      </w:r>
    </w:p>
    <w:p>
      <w:pPr>
        <w:shd w:val="clear" w:color="auto" w:fill="F0F8FF"/>
        <w:spacing w:before="0" w:after="0" w:line="440" w:lineRule="exact"/>
        <w:ind w:left="283"/>
        <w:pBdr>
          <w:bottom w:val="single" w:sz="4" w:space="1" w:color="A9CCE3"/>
        </w:pBdr>
      </w:pPr>
      <w:r>
        <w:rPr>
          <w:rFonts w:ascii="Calibri" w:hAnsi="Calibri"/>
          <w:b/>
          <w:color w:val="216EAB"/>
          <w:sz w:val="22"/>
        </w:rPr>
        <w:t xml:space="preserve">Hardware Capabilities: </w:t>
      </w:r>
      <w:r>
        <w:rPr>
          <w:rFonts w:ascii="Calibri" w:hAnsi="Calibri"/>
          <w:color w:val="1C1C1C"/>
          <w:sz w:val="22"/>
        </w:rPr>
        <w:t xml:space="preserve">Through Capacitor plugins and appropriate AndroidManifest.xml declarations, the application explicitly requests native permissions for the Camera (essential for scanning QR codes) and the device File System (necessary for downloading PDF report cards or uploading study materials). </w:t>
      </w:r>
    </w:p>
    <w:p>
      <w:pPr>
        <w:shd w:val="clear" w:color="auto" w:fill="F0F8FF"/>
        <w:spacing w:before="0" w:after="40"/>
      </w:pPr>
    </w:p>
    <w:p>
      <w:pPr>
        <w:shd w:val="clear" w:color="auto" w:fill="D6EAF8"/>
        <w:spacing w:before="200" w:after="80"/>
        <w:ind w:left="170"/>
        <w:pBdr>
          <w:bottom w:val="single" w:sz="8" w:space="1" w:color="2E86C1"/>
        </w:pBdr>
      </w:pPr>
      <w:r>
        <w:rPr>
          <w:rFonts w:ascii="Calibri" w:hAnsi="Calibri"/>
          <w:b/>
          <w:color w:val="1B4F72"/>
          <w:sz w:val="26"/>
        </w:rPr>
        <w:t>6. Backend Server and Deployment Strategy</w:t>
      </w:r>
    </w:p>
    <w:p>
      <w:pPr>
        <w:shd w:val="clear" w:color="auto" w:fill="F0F8FF"/>
        <w:spacing w:before="0" w:after="0" w:line="440" w:lineRule="exact"/>
        <w:ind w:left="283"/>
        <w:pBdr>
          <w:bottom w:val="single" w:sz="4" w:space="1" w:color="A9CCE3"/>
        </w:pBdr>
      </w:pPr>
      <w:r>
        <w:rPr>
          <w:rFonts w:ascii="Calibri" w:hAnsi="Calibri"/>
          <w:color w:val="1C1C1C"/>
          <w:sz w:val="22"/>
        </w:rPr>
        <w:t xml:space="preserve">The Django backend acts as the single source of truth for the entire ecosystem. It is hosted on a virtual machine and served via Gunicorn, a Python WSGI HTTP Server. The backend is configured to accept Cross-Origin Resource Sharing (CORS) requests securely, meticulously allowing origins such as standard web browsers (http/https://localhost) and native Capacitor app protocols (capacitor://localhost, app://localhost). This explicit CORS policy ensures that whether a user logs in from a desktop browser or the Android application, the API preflight requests resolve successfully without compromising security. </w:t>
      </w:r>
    </w:p>
    <w:p>
      <w:pPr>
        <w:shd w:val="clear" w:color="auto" w:fill="F0F8FF"/>
        <w:spacing w:before="0" w:after="40"/>
      </w:pPr>
    </w:p>
    <w:p>
      <w:pPr>
        <w:shd w:val="clear" w:color="auto" w:fill="D6EAF8"/>
        <w:spacing w:before="200" w:after="80"/>
        <w:ind w:left="170"/>
        <w:pBdr>
          <w:bottom w:val="single" w:sz="8" w:space="1" w:color="2E86C1"/>
        </w:pBdr>
      </w:pPr>
      <w:r>
        <w:rPr>
          <w:rFonts w:ascii="Calibri" w:hAnsi="Calibri"/>
          <w:b/>
          <w:color w:val="1B4F72"/>
          <w:sz w:val="26"/>
        </w:rPr>
        <w:t>7. Conclusion</w:t>
      </w:r>
    </w:p>
    <w:p>
      <w:pPr>
        <w:shd w:val="clear" w:color="auto" w:fill="F0F8FF"/>
        <w:spacing w:before="0" w:after="0" w:line="440" w:lineRule="exact"/>
        <w:ind w:left="283"/>
        <w:pBdr>
          <w:bottom w:val="single" w:sz="4" w:space="1" w:color="A9CCE3"/>
        </w:pBdr>
      </w:pPr>
      <w:r>
        <w:rPr>
          <w:rFonts w:ascii="Calibri" w:hAnsi="Calibri"/>
          <w:color w:val="1C1C1C"/>
          <w:sz w:val="22"/>
        </w:rPr>
        <w:t xml:space="preserve">EduConnect represents a modern, robust, and highly scalable solution to educational management. By leveraging a powerful tech stack comprising React, Django, and Capacitor, the platform successfully unifies the web and mobile experiences without the overhead of maintaining entirely separate codebases. From its intricate role-based dashboards to its natively optimized mobile behaviors, EduConnect is engineered to provide a frictionless, engaging, and highly productive environment for students, teachers, and administrators alike. </w:t>
      </w:r>
    </w:p>
    <w:p>
      <w:pPr>
        <w:shd w:val="clear" w:color="auto" w:fill="F0F8FF"/>
        <w:spacing w:before="0" w:after="40"/>
      </w:pPr>
    </w:p>
    <w:p>
      <w:pPr>
        <w:jc w:val="center"/>
        <w:shd w:val="clear" w:color="auto" w:fill="2E86C1"/>
      </w:pPr>
      <w:r>
        <w:rPr>
          <w:rFonts w:ascii="Calibri" w:hAnsi="Calibri"/>
          <w:i/>
          <w:color w:val="FFFFFF"/>
          <w:sz w:val="18"/>
        </w:rPr>
        <w:t xml:space="preserve">  EduConnect  |  Educational Management Platform  |  2026  </w:t>
      </w:r>
    </w:p>
    <w:sectPr w:rsidR="00FC693F" w:rsidRPr="0006063C" w:rsidSect="00034616">
      <w:pgSz w:w="11906" w:h="16838"/>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