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Regularly review and update your firewall rules to block unauthorized access. Consult your IT administrator or security professional for best practices in network security.</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all critical configuration files read-only.  Implement proper access control mechanisms to restrict write permissions to only authorized users and processes. Review and update your system's configuration files regularly to ensure they are secure.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use this information to gain unauthorized access to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all SUID and SGID binaries on the system.  Ensure that only necessary binaries have these elevated permissions.  Regularly update these binaries to patch any known vulnerabilities.  Consult your IT administrator or security professional for assistance in managing SUID/SGID binaries.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These mechanisms can significantly improve the system's security posture by limiting the impact of potential vulnerabilities.  Consult your IT administrator or security professional for assistance in configuring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Keep all software packages updated to the latest versions.  Regularly check for security updates and apply them promptly.  Use a vulnerability scanner to identify and address any known vulnerabilities in your software.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all open ports on the system.  Close any unnecessary ports.  Configure your firewall to only allow authorized traffic on necessary ports.  Consult your IT administrator or security professional for best practices in firewall configuration.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Use strong encryption and access control mechanisms to protect this data.  Regularly rotate API keys to minimize the risk of compromise.  Consult your IT administrator or security professional for best practices in data security.</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