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use these tools to map the system's network, identify open ports, and potentially exploit vulnerabilities.</w:t>
            </w:r>
          </w:p>
        </w:tc>
      </w:tr>
      <w:tr>
        <w:tc>
          <w:tcPr>
            <w:tcW w:type="dxa" w:w="4320"/>
          </w:tcPr>
          <w:p>
            <w:r>
              <w:t>What to do</w:t>
            </w:r>
          </w:p>
        </w:tc>
        <w:tc>
          <w:tcPr>
            <w:tcW w:type="dxa" w:w="4320"/>
          </w:tcPr>
          <w:p>
            <w:r>
              <w:t>Restrict access to these tools. Ensure that only authorized personnel can use them. Implement network segmentation to limit the impact of any potential compromise.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all SUID/SGID binaries on the system. Ensure that they are necessary and up-to-date. Regularly audit these binaries for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Consult your IT administrator or security professional for guidance on selecting and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Review the permissions of all configuration files. Ensure that only authorized personnel have write access to these files. Implement mechanisms to detect and prevent unauthorized modifications.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 latest versions. Regularly scan for vulnerabilities and apply patches promptly.</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all open ports on the system. Close any unnecessary ports. Implement firewall rules to restrict access to sensitive services.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Implement strong access controls to limit access to this data. Regularly rotate API keys.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