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structure-prediction-budgeted surrogate-triage mode for post-SoluProt candidate selection. This mode uses ESM-2 embeddings, K-means bootstrap selection, local surrogate cross-validation, and Top-K acquisition to choose candidates for AF2/ColabFold evaluation; RFD3 and BioEmu are not used. In five CATH targets, surrogate triage evaluated 250 AF2/ColabFold records from 49,946 candidates entering triage, a 99.5% reduction relative to folding every triage candidate. Third, an independent structural-context ablation compares candidate pools generated from the original backbone, RFD3, BioEmu, and RFD3+BioEmu. It tests whether structural inputs broaden the candidate distribution and upper tail,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using the original target backbone only. Third, in a separate structural-context ablation, RAPID compares candidate pools generated from the original backbone, BioEmu, RFD3, and combined RFD3+BioEmu contexts under explicit design and AF2 budgets. The structural-context ablation changes upstream candidate generation and is not part of the surrogate-triage budget experiment.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3556000"/>
            <wp:effectExtent b="0" l="0" r="0" t="0"/>
            <wp:docPr descr="RAPID run_id-centered redesign substrate"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RAPID run_id-centered redesign substrate</w:t>
      </w:r>
    </w:p>
    <w:p>
      <w:pPr>
        <w:pStyle w:val="BodyText"/>
      </w:pPr>
      <w:r>
        <w:rPr>
          <w:iCs/>
          <w:i/>
        </w:rPr>
        <w:t xml:space="preserve">Figure 1. RAPID run_id-centered redesign substrate. The linear stage order is only one operational view. The central contribution is the run-scoped artifact contract, which preserves requests, provenance records, stage outputs, surrogate labels, AF2 evaluations, experiment records, and final summaries under stable run identifiers. Structural-context exploration, resource-aware surrogate triage, and experimental-feedback evolution all consume and update the same reusable artifact layer. This architecture supports safe reruns, retrospective analysis, backend replacement, and future preference-dataset accumulation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mode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mode uses the original target backbone and disables RFD3 and BioEmu so that the AF2-budget reduction is attributed to surrogate triage rather than to structural-context expansion. No RFD3 or BioEmu outputs enter the candidate pool for this surrogate-triage budget result.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eight-target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RFD3 produced higher maximum pLDDT than the single-backbone arm for four of eight targets, with the largest paired gain of 3.14 pLDDT, despite no aggregate Top-5 mean advantage. BioEmu-containing evaluable arms showed lower mean pairwise identity than the corresponding single-backbone runs and improved the SoluProt upper tail for three of four targets. RFD3 and BioEmu are therefore treated as controlled distribution-broadening modules with explicit QC, not as default score boosters or as surrogate-model components.</w:t>
      </w:r>
    </w:p>
    <w:p>
      <w:pPr>
        <w:pStyle w:val="CaptionedFigure"/>
      </w:pPr>
      <w:r>
        <w:drawing>
          <wp:inline>
            <wp:extent cx="5334000" cy="1686820"/>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1686820"/>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an upper-tail and diversity analysis. Boxplots and points show target-level summaries rather than only arm means. Single-backbone and RFD3 arms were evaluable for all eight selected CATH targets, whereas BioEmu-containing arms were quantitatively evaluable for the four targets that passed the fixed 2.0 Å target-RMSD gate. RFD3 produced target-specific high-pLDDT upper-tail candidates without improving the aggregate Top-5 mean, while BioEmu-containing evaluable arms reduced pairwise identity and broadened SoluProt upper-tail signals.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distribution-broadening levers.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in the spread and upper tail as much as in the mean: RFD3 occasionally created higher-confidence tail candidates, while BioEmu more consistently broadened sequence diversity among evaluable targets.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2026-05-22T08:27:19Z</dcterms:created>
  <dcterms:modified xsi:type="dcterms:W3CDTF">2026-05-22T08:27:19Z</dcterms:modified>
</cp:coreProperties>
</file>

<file path=docProps/custom.xml><?xml version="1.0" encoding="utf-8"?>
<Properties xmlns="http://schemas.openxmlformats.org/officeDocument/2006/custom-properties" xmlns:vt="http://schemas.openxmlformats.org/officeDocument/2006/docPropsVTypes"/>
</file>