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46472c8e20a48899c39a1493255782a8b2870c"/>
    <w:p>
      <w:pPr>
        <w:pStyle w:val="Heading1"/>
      </w:pPr>
      <w:r>
        <w:t xml:space="preserve">RAPID: A Reproducible Pipeline for Solubility-Aware Protein Redesign with Resource-Aware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Biofoundry-scale protein redesign generates large multiple-mutant libraries, making the practical bottleneck not only model accuracy but auditable allocation of folding and experimental capacity. We present RAPID, a run-scoped artifact pipeline for solubility-aware redesign. RAPID stores typed requests, stage outputs, status traces, quality-control summaries, experiment records, and final summaries under stable run identifiers so reruns and analyses operate on the same artifacts. We evaluate three separate functions. First, RAPID converts fragmented model outputs into traceable artifacts that support partial reruns, backend replacement, and retrospective analysis. Second, RAPID provides a post-SoluProt, structure-prediction-budgeted surrogate-triage layer that can be enabled within the redesign pipeline. In the isolated budget benchmark, this layer was run on original-backbone candidate pools to avoid conflating triage efficiency with structural-context expansion. Using ESM-2 embeddings, K-means bootstrap selection, local surrogate cross-validation, and Top-K acquisition, RAPID evaluated 250 AF2/ColabFold records from 49,946 candidates entering triage across five CATH targets, a 99.5% reduction relative to folding every triage candidate. Third, an independent structural-context ablation compares candidate pools generated from the original backbone, RFD3, BioEmu, and RFD3+BioEmu. It tests whether structural inputs reshape candidate-pool spread and sequence diversity, not whether those modules improve the surrogate model. RAPID also supports assay-labelled next-candidate recommendation. All evidence here is computational and proxy-based; pLDDT, SoluProt, and relax scores do not establish wet-lab soluble expression, stability, or activity.</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 This framing is consistent with earlier work showing that protein expression, stability, and solubility can be improved by structure- and sequence-aware computational design, while still requiring experimental validation for final biological claims [9,10].</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structure-prediction-budgeted surrogate triage for post-SoluProt candidate selection in an isolated original-backbone benchmark. Third, in a separate structural-context ablation, RAPID compares candidate pools generated from the original backbone, BioEmu, RFD3, and combined RFD3+BioEmu contexts under explicit design and AF2 budgets. Operationally, the same surrogate-triage layer can be enabled after optional structural-context stages, but the reported budget-reduction benchmark keeps those axes separate. Separately, RAPID records wet-lab outcomes and supports experimental-feedback evolution, but experimental activity or expression improvement is not claimed without prospective validation.</w:t>
      </w:r>
    </w:p>
    <w:bookmarkEnd w:id="21"/>
    <w:bookmarkStart w:id="28" w:name="methods"/>
    <w:p>
      <w:pPr>
        <w:pStyle w:val="Heading2"/>
      </w:pPr>
      <w:r>
        <w:t xml:space="preserve">2. Methods</w:t>
      </w:r>
    </w:p>
    <w:bookmarkStart w:id="25" w:name="pipeline-and-artifact-contract"/>
    <w:p>
      <w:pPr>
        <w:pStyle w:val="Heading3"/>
      </w:pPr>
      <w:r>
        <w:t xml:space="preserve">2.1 Pipeline and Artifact Contract</w:t>
      </w:r>
    </w:p>
    <w:p>
      <w:pPr>
        <w:pStyle w:val="FirstParagraph"/>
      </w:pPr>
      <w:r>
        <w:t xml:space="preserve">RAPID represents each redesign campaign as a run-scoped orchestration record rather than as a collection of disconnected scripts. The canonical stage order is</w:t>
      </w:r>
      <w:r>
        <w:t xml:space="preserve"> </w:t>
      </w:r>
      <w:r>
        <w:rPr>
          <w:rStyle w:val="VerbatimChar"/>
        </w:rPr>
        <w:t xml:space="preserve">msa -&gt; rfd3 -&gt; bioemu -&gt; design -&gt; soluprot -&gt; af2 -&gt; novelty</w:t>
      </w:r>
      <w:r>
        <w:t xml:space="preserve">, where RFD3 and BioEmu are optional structural-context stages. MSA construction defines conservation-informed fixed-position constraints, ProteinMPNN generates multiple-mutant libraries under those constraints, SoluProt provides a cheap soluble-expression gate, and AF2 or ColabFold provides structural-confidence labels for selected candidates. pLDDT is used only as a computational short-listing proxy, not as evidence of experimental stability or activity.</w:t>
      </w:r>
    </w:p>
    <w:p>
      <w:pPr>
        <w:pStyle w:val="BodyText"/>
      </w:pPr>
      <w:r>
        <w:t xml:space="preserve">Each run stores its typed request, stage outputs, status records, trace events, quality-control summaries, experiment records, and final summaries under a stable run identifier. Downstream analyses consume shared artifact fields rather than model-specific folders, which is the basis for partial reruns, retrospective benchmark reconstruction, and backend replacement. The local browser interface exposes the same run identifiers and request fields as the backend, but the scientific claims are based on the stored artifacts rather than on the interface itself.</w:t>
      </w:r>
    </w:p>
    <w:p>
      <w:pPr>
        <w:pStyle w:val="CaptionedFigure"/>
      </w:pPr>
      <w:r>
        <w:drawing>
          <wp:inline>
            <wp:extent cx="5334000" cy="3556000"/>
            <wp:effectExtent b="0" l="0" r="0" t="0"/>
            <wp:docPr descr="RAPID run_id-centered redesign substrate" title="" id="23" name="Picture"/>
            <a:graphic>
              <a:graphicData uri="http://schemas.openxmlformats.org/drawingml/2006/picture">
                <pic:pic>
                  <pic:nvPicPr>
                    <pic:cNvPr descr="figures/benchmark/figure1.pn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RAPID run_id-centered redesign substrate</w:t>
      </w:r>
    </w:p>
    <w:p>
      <w:pPr>
        <w:pStyle w:val="BodyText"/>
      </w:pPr>
      <w:r>
        <w:rPr>
          <w:iCs/>
          <w:i/>
        </w:rPr>
        <w:t xml:space="preserve">Figure 1. RAPID run_id-centered redesign substrate. The linear stage order is only one operational view. The central contribution is the run-scoped artifact contract, which preserves requests, provenance records, stage outputs, surrogate labels, AF2 evaluations, experiment records, and final summaries under stable run identifiers. Structural-context exploration, resource-aware surrogate triage, and experimental-feedback evolution all consume and update the same reusable artifact layer. This architecture supports safe reruns, retrospective analysis, backend replacement, and future preference-dataset accumulation without treating RAPID as a simple linear wrapper over model calls.</w:t>
      </w:r>
    </w:p>
    <w:bookmarkEnd w:id="25"/>
    <w:bookmarkStart w:id="26" w:name="X62d43c4c13d08b26ca94cc9298626186bcf2226"/>
    <w:p>
      <w:pPr>
        <w:pStyle w:val="Heading3"/>
      </w:pPr>
      <w:r>
        <w:t xml:space="preserve">2.2 Surrogate Triage and Experimental Evolution</w:t>
      </w:r>
    </w:p>
    <w:p>
      <w:pPr>
        <w:pStyle w:val="FirstParagraph"/>
      </w:pPr>
      <w:r>
        <w:t xml:space="preserve">RAPID separates two related uses of surrogates. The first is a computational structure-prediction-budgeted triage layer used in the benchmark. ProteinMPNN first generates a candidate pool across conservation tiers, and SoluProt scores every candidate. SoluProt-passing candidates are embedded with mean-pooled ESM-2 8M embeddings [4]. In deployment, this embedding stage can be backed by a GPU ESM worker, allowing large ProteinMPNN pools to be featurized without expanding the AF2/ColabFold acquisition budget. K-means selects a diverse bootstrap training set, AF2 labels those candidates, and local surrogate policies are compared by internal cross-validation on the labelled set. The selected acquisition policy is then refit on all bootstrap labels and used to rank the remaining SoluProt-passing pool. AF2 evaluates only the selected policy’s Top-K candidates. The supported policy set uses standard Random Forest, Ridge, XGBoost, LightGBM, scikit-learn, k-means, and Bayesian-optimization-inspired acquisition concepts [16-21]. In the software, this triage layer is a switchable component after SoluProt and can be combined with optional upstream RFD3 or BioEmu stages. In the benchmark, it is evaluated on original-backbone candidate pools to isolate compute allocation from structural-context exploration. This mode is a compute-allocation policy for structure prediction, not evidence of experimental activity or expression.</w:t>
      </w:r>
    </w:p>
    <w:p>
      <w:pPr>
        <w:pStyle w:val="BodyText"/>
      </w:pPr>
      <w:r>
        <w:t xml:space="preserve">The production triage default uses one shared budget across the selected 30%, 50%, and 70% conservation tiers. In the manuscript benchmark, this layer is evaluated with the original target backbone and without RFD3 or BioEmu-generated candidate pools so that the AF2-budget reduction is attributed to surrogate triage rather than to structural-context expansion. By default, ProteinMPNN requests 3,333 candidates per tier, giving a nominal 9,999 designs before validation and SoluProt filtering. RAPID then labels 30 K-means-selected bootstrap candidates from the pooled SoluProt-passing set and evaluates 20 Top-K AF2 acquisitions from the same pooled set. The N = 30 bootstrap was chosen because the sample-size ablation reaches most of the observed Random Forest pLDDT uplift by that point, while Top-K = 20 fixes a target-level validation budget that is large enough for manual review but small enough to keep the AF2 cost explicit. RAPID trains comparator policies on the same labelled bootstrap set, writes cross-validation metrics, a model-comparison SVG, candidate-level predictions, feature-importance or coefficient tables, and fitted model files, and then uses only one selected acquisition policy for the final Top-K. Thus model comparison is recorded without multiplying AF2 calls. Manual override remains available for controlled runs using Random Forest, Ridge, XGBoost, LightGBM, or rank-mean ensemble.</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This interface is related to active-learning directed-evolution frameworks such as EVOLVEpro, but the present manuscript treats it as an assay-feedback handoff rather than as a prospective wet-lab validation result [12].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(see Supplementary Note 10 for an illustrative data-trace schema).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bookmarkEnd w:id="26"/>
    <w:bookmarkStart w:id="27" w:name="benchmark-analyses"/>
    <w:p>
      <w:pPr>
        <w:pStyle w:val="Heading3"/>
      </w:pPr>
      <w:r>
        <w:t xml:space="preserve">2.3 Benchmark Analyses</w:t>
      </w:r>
    </w:p>
    <w:p>
      <w:pPr>
        <w:pStyle w:val="FirstParagraph"/>
      </w:pPr>
      <w:r>
        <w:t xml:space="preserve">The current stored artifact benchmark contains 2,737 paired SoluProt and pLDDT records from 23 QC-passing CATH runs [15]. These data were generated before the final corrected-chain CATH refresh and are therefore used in the main text as component-level evidence for structure-prediction-budgeted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Supplementary Notes 1 and 2.</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effect-size interpretation uses Cliff’s dominance statistic, and uncertainty is estimated by cluster bootstrap with target as the cluster [22-24]. Variance decomposition uses a one-way ANOVA intraclass correlation coefficient to estimate how much score variation is attributable to target identity [25].</w:t>
      </w:r>
    </w:p>
    <w:p>
      <w:pPr>
        <w:pStyle w:val="BodyText"/>
      </w:pPr>
      <w:r>
        <w:t xml:space="preserve">The strict five-target surrogate-triage run used the original target backbone, disabled RFD3/BioEmu/Relax, requested 3,333 ProteinMPNN candidates for each of the 30%, 50%, and 70% conservation tiers, used GPU-backed ESM embeddings, and disabled fallback sequence recovery. WT SoluProt and ColabFold baselines were then computed once per target as reference points for interpretation; these WT baseline calls were not used for surrogate training, Top-K acquisition, or the 250-candidate triage-budget count. Structural-context effects were analysed separately in a corrected-chain 18-target ablation comparing the original target backbone, BioEmu conformational samples, a selected RFD3 backbone, and RFD3+BioEmu under matched design and AF2 budgets. BioEmu-containing arms were considered quantitatively evaluable only when the requested near-target conformers passed the fixed 2.0 Å target-RMSD gate. Detailed per-model, per-target, and QC tables are reported in the supplement.</w:t>
      </w:r>
    </w:p>
    <w:bookmarkEnd w:id="27"/>
    <w:bookmarkEnd w:id="28"/>
    <w:bookmarkStart w:id="38" w:name="results"/>
    <w:p>
      <w:pPr>
        <w:pStyle w:val="Heading2"/>
      </w:pPr>
      <w:r>
        <w:t xml:space="preserve">3. Results</w:t>
      </w:r>
    </w:p>
    <w:bookmarkStart w:id="29" w:name="reusable-artifact-substrate"/>
    <w:p>
      <w:pPr>
        <w:pStyle w:val="Heading3"/>
      </w:pPr>
      <w:r>
        <w:t xml:space="preserve">3.1 Reusable Artifact Substrate</w:t>
      </w:r>
    </w:p>
    <w:p>
      <w:pPr>
        <w:pStyle w:val="FirstParagraph"/>
      </w:pPr>
      <w:r>
        <w:t xml:space="preserve">The first result is operational: RAPID made heterogeneous model outputs reusable across analyses. In the current artifact benchmark, K-means versus random selection, surrogate-family comparison, sample-size ablation, rank-mean ensemble testing, acquisition-bias analysis, and variance decomposition were regenerated from the same 2,737 stored AF2/SoluProt records rather than from separately refolded datasets. This supports the artifact-contract claim without requiring RAPID to be interpreted as a new predictive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Stored artifact</w:t>
            </w:r>
          </w:p>
        </w:tc>
        <w:tc>
          <w:tcPr/>
          <w:p>
            <w:pPr>
              <w:pStyle w:val="Compact"/>
              <w:jc w:val="left"/>
            </w:pPr>
            <w:r>
              <w:t xml:space="preserve">Scope in current evidence</w:t>
            </w:r>
          </w:p>
        </w:tc>
        <w:tc>
          <w:tcPr/>
          <w:p>
            <w:pPr>
              <w:pStyle w:val="Compact"/>
              <w:jc w:val="left"/>
            </w:pPr>
            <w:r>
              <w:t xml:space="preserve">Reused analyses or actions</w:t>
            </w:r>
          </w:p>
        </w:tc>
        <w:tc>
          <w:tcPr/>
          <w:p>
            <w:pPr>
              <w:pStyle w:val="Compact"/>
              <w:jc w:val="left"/>
            </w:pPr>
            <w:r>
              <w:t xml:space="preserve">Claim 1 interpretation</w:t>
            </w:r>
          </w:p>
        </w:tc>
      </w:tr>
      <w:tr>
        <w:tc>
          <w:tcPr/>
          <w:p>
            <w:pPr>
              <w:pStyle w:val="Compact"/>
              <w:jc w:val="left"/>
            </w:pPr>
            <w:r>
              <w:t xml:space="preserve">Paired computational labels</w:t>
            </w:r>
          </w:p>
        </w:tc>
        <w:tc>
          <w:tcPr/>
          <w:p>
            <w:pPr>
              <w:pStyle w:val="Compact"/>
              <w:jc w:val="left"/>
            </w:pPr>
            <w:r>
              <w:t xml:space="preserve">2,737 SoluProt/pLDDT records from 23 QC-passing CATH runs</w:t>
            </w:r>
          </w:p>
        </w:tc>
        <w:tc>
          <w:tcPr/>
          <w:p>
            <w:pPr>
              <w:pStyle w:val="Compact"/>
              <w:jc w:val="left"/>
            </w:pPr>
            <w:r>
              <w:t xml:space="preserve">Model comparison, sample-size ablation, rank-mean ensemble testing, acquisition-bias analysis, variance decomposition</w:t>
            </w:r>
          </w:p>
        </w:tc>
        <w:tc>
          <w:tcPr/>
          <w:p>
            <w:pPr>
              <w:pStyle w:val="Compact"/>
              <w:jc w:val="left"/>
            </w:pPr>
            <w:r>
              <w:t xml:space="preserve">Multiple analyses were regenerated from stored labels rather than from new AF2/ColabFold calls.</w:t>
            </w:r>
          </w:p>
        </w:tc>
      </w:tr>
      <w:tr>
        <w:tc>
          <w:tcPr/>
          <w:p>
            <w:pPr>
              <w:pStyle w:val="Compact"/>
              <w:jc w:val="left"/>
            </w:pPr>
            <w:r>
              <w:t xml:space="preserve">Run-scoped provenance</w:t>
            </w:r>
          </w:p>
        </w:tc>
        <w:tc>
          <w:tcPr/>
          <w:p>
            <w:pPr>
              <w:pStyle w:val="Compact"/>
              <w:jc w:val="left"/>
            </w:pPr>
            <w:r>
              <w:t xml:space="preserve">Typed request, stage outputs, status records, trace events, QC summaries, and final summaries</w:t>
            </w:r>
          </w:p>
        </w:tc>
        <w:tc>
          <w:tcPr/>
          <w:p>
            <w:pPr>
              <w:pStyle w:val="Compact"/>
              <w:jc w:val="left"/>
            </w:pPr>
            <w:r>
              <w:t xml:space="preserve">Partial reruns, failure review, benchmark reconstruction, public-release export</w:t>
            </w:r>
          </w:p>
        </w:tc>
        <w:tc>
          <w:tcPr/>
          <w:p>
            <w:pPr>
              <w:pStyle w:val="Compact"/>
              <w:jc w:val="left"/>
            </w:pPr>
            <w:r>
              <w:t xml:space="preserve">The run ID acts as a provenance anchor instead of leaving each tool output as an isolated folder.</w:t>
            </w:r>
          </w:p>
        </w:tc>
      </w:tr>
      <w:tr>
        <w:tc>
          <w:tcPr/>
          <w:p>
            <w:pPr>
              <w:pStyle w:val="Compact"/>
              <w:jc w:val="left"/>
            </w:pPr>
            <w:r>
              <w:t xml:space="preserve">Candidate identifiers</w:t>
            </w:r>
          </w:p>
        </w:tc>
        <w:tc>
          <w:tcPr/>
          <w:p>
            <w:pPr>
              <w:pStyle w:val="Compact"/>
              <w:jc w:val="left"/>
            </w:pPr>
            <w:r>
              <w:t xml:space="preserve">Stable run, tier, sequence, and acquisition identifiers</w:t>
            </w:r>
          </w:p>
        </w:tc>
        <w:tc>
          <w:tcPr/>
          <w:p>
            <w:pPr>
              <w:pStyle w:val="Compact"/>
              <w:jc w:val="left"/>
            </w:pPr>
            <w:r>
              <w:t xml:space="preserve">Links surrogate selection, AF2 records, exported shortlists, and later assay labels</w:t>
            </w:r>
          </w:p>
        </w:tc>
        <w:tc>
          <w:tcPr/>
          <w:p>
            <w:pPr>
              <w:pStyle w:val="Compact"/>
              <w:jc w:val="left"/>
            </w:pPr>
            <w:r>
              <w:t xml:space="preserve">Computational candidates can be followed into downstream review and experimental-feedback records.</w:t>
            </w:r>
          </w:p>
        </w:tc>
      </w:tr>
      <w:tr>
        <w:tc>
          <w:tcPr/>
          <w:p>
            <w:pPr>
              <w:pStyle w:val="Compact"/>
              <w:jc w:val="left"/>
            </w:pPr>
            <w:r>
              <w:t xml:space="preserve">Shared artifact fields</w:t>
            </w:r>
          </w:p>
        </w:tc>
        <w:tc>
          <w:tcPr/>
          <w:p>
            <w:pPr>
              <w:pStyle w:val="Compact"/>
              <w:jc w:val="left"/>
            </w:pPr>
            <w:r>
              <w:t xml:space="preserve">Backend-independent score, path, policy, and QC fields consumed by benchmark scripts</w:t>
            </w:r>
          </w:p>
        </w:tc>
        <w:tc>
          <w:tcPr/>
          <w:p>
            <w:pPr>
              <w:pStyle w:val="Compact"/>
              <w:jc w:val="left"/>
            </w:pPr>
            <w:r>
              <w:t xml:space="preserve">Structure-predictor, solubility-model, surrogate-policy, and relax-backend replacement tests</w:t>
            </w:r>
          </w:p>
        </w:tc>
        <w:tc>
          <w:tcPr/>
          <w:p>
            <w:pPr>
              <w:pStyle w:val="Compact"/>
              <w:jc w:val="left"/>
            </w:pPr>
            <w:r>
              <w:t xml:space="preserve">Model replacement changes the writer backend, while downstream analysis consumes the same artifact contract.</w:t>
            </w:r>
          </w:p>
        </w:tc>
      </w:tr>
    </w:tbl>
    <w:p>
      <w:pPr>
        <w:pStyle w:val="BodyText"/>
      </w:pPr>
      <w:r>
        <w:rPr>
          <w:iCs/>
          <w:i/>
        </w:rPr>
        <w:t xml:space="preserve">Table 1. Evidence for the reusable-artifact claim. The table reports the artifact fields reused across analyses, the scope of the current evidence, and why those records support provenance, rerun, and model-replacement claims rather than a new predictive-model claim.</w:t>
      </w:r>
    </w:p>
    <w:bookmarkEnd w:id="29"/>
    <w:bookmarkStart w:id="33" w:name="surrogate-triage-budget-reduction"/>
    <w:p>
      <w:pPr>
        <w:pStyle w:val="Heading3"/>
      </w:pPr>
      <w:r>
        <w:t xml:space="preserve">3.2 Surrogate-Triage Budget Reduction</w:t>
      </w:r>
    </w:p>
    <w:p>
      <w:pPr>
        <w:pStyle w:val="FirstParagraph"/>
      </w:pPr>
      <w:r>
        <w:t xml:space="preserve">The surrogate-triage result is a budget result rather than a biological enrichment result. The 99.5% reduction assumes that every candidate entering the triage pool would otherwise be folded. The strict five-target run used the original target backbone, disabled RFD3, BioEmu, and Relax, requested 3,333 ProteinMPNN candidates for each of the 30%, 50%, and 70% conservation tiers, and applied one shared AF2/ColabFold validation budget per target. Across 49,946 pooled candidates entering triage, RAPID evaluated 250 AF2/ColabFold records: 150 K-means bootstrap labels and 100 Top-K acquisitions.</w:t>
      </w:r>
    </w:p>
    <w:p>
      <w:pPr>
        <w:pStyle w:val="BodyText"/>
      </w:pPr>
      <w:r>
        <w:t xml:space="preserve">Figure 2 summarizes both the budget effect and the bounded selection evidence. The upper panels show that each target used approximately 0.5% of its triage pool for AF2/ColabFold evaluation. The lower panels show the internal Auto-CV decision made from the 30 bootstrap labels and the selected Top-K candidates relative to a WT reference. In all five targets, the selected Top-K set contained at least one candidate with both higher pLDDT and higher SoluProt score than the corresponding WT baseline. This should still be read as proxy-based shortlist evidence rather than a full-pool enrichment test: the unselected candidates were not all folded, and WT baselines were reference calls that did not enter the acquisition budget. Available fitted comparator artifacts are exported for audit, but they do not add AF2 calls unless the operator explicitly changes the validation budget.</w:t>
      </w:r>
    </w:p>
    <w:p>
      <w:pPr>
        <w:pStyle w:val="CaptionedFigure"/>
      </w:pPr>
      <w:r>
        <w:drawing>
          <wp:inline>
            <wp:extent cx="5334000" cy="3495087"/>
            <wp:effectExtent b="0" l="0" r="0" t="0"/>
            <wp:docPr descr="Surrogate-triage budget and acquisition summary" title="" id="31" name="Picture"/>
            <a:graphic>
              <a:graphicData uri="http://schemas.openxmlformats.org/drawingml/2006/picture">
                <pic:pic>
                  <pic:nvPicPr>
                    <pic:cNvPr descr="figures/benchmark/fig2_surrogate_triage_budget.png" id="32" name="Picture"/>
                    <pic:cNvPicPr>
                      <a:picLocks noChangeArrowheads="1" noChangeAspect="1"/>
                    </pic:cNvPicPr>
                  </pic:nvPicPr>
                  <pic:blipFill>
                    <a:blip r:embed="rId30"/>
                    <a:stretch>
                      <a:fillRect/>
                    </a:stretch>
                  </pic:blipFill>
                  <pic:spPr bwMode="auto">
                    <a:xfrm>
                      <a:off x="0" y="0"/>
                      <a:ext cx="5334000" cy="3495087"/>
                    </a:xfrm>
                    <a:prstGeom prst="rect">
                      <a:avLst/>
                    </a:prstGeom>
                    <a:noFill/>
                    <a:ln w="9525">
                      <a:noFill/>
                      <a:headEnd/>
                      <a:tailEnd/>
                    </a:ln>
                  </pic:spPr>
                </pic:pic>
              </a:graphicData>
            </a:graphic>
          </wp:inline>
        </w:drawing>
      </w:r>
    </w:p>
    <w:p>
      <w:pPr>
        <w:pStyle w:val="ImageCaption"/>
      </w:pPr>
      <w:r>
        <w:t xml:space="preserve">Surrogate-triage budget and acquisition summary</w:t>
      </w:r>
    </w:p>
    <w:p>
      <w:pPr>
        <w:pStyle w:val="BodyText"/>
      </w:pPr>
      <w:r>
        <w:rPr>
          <w:iCs/>
          <w:i/>
        </w:rPr>
        <w:t xml:space="preserve">Figure 2. Strict five-target surrogate-triage budget and acquisition summary. (A) RAPID evaluates 250 AF2/ColabFold candidate records from 49,946 candidates entering triage, corresponding to a 99.5% reduction relative to folding every triage candidate. (B) Each bar is one target and reports the fixed candidate-level AF2/ColabFold validation budget as evaluated records divided by candidates entering triage. (C) Auto-CV selects the acquisition policy from the 30 bootstrap labels; RF and Ridge are offset within each target, marker shape identifies the policy, and an open ring marks the selected policy used for final Top-K acquisition. (D) Each circle is one selected Top-K candidate from one target, plotted after subtracting that target’s WT pLDDT and SoluProt values; WT references are therefore aligned at the blue diamond at zero. Green points improve both computational proxies over WT, whereas grey points are other selected candidates. WT baselines were computed once per target for reference and were not included in the candidate triage-budget count.</w:t>
      </w:r>
    </w:p>
    <w:bookmarkEnd w:id="33"/>
    <w:bookmarkStart w:id="37" w:name="structural-context-exploration"/>
    <w:p>
      <w:pPr>
        <w:pStyle w:val="Heading3"/>
      </w:pPr>
      <w:r>
        <w:t xml:space="preserve">3.3 Structural-Context Exploration</w:t>
      </w:r>
    </w:p>
    <w:p>
      <w:pPr>
        <w:pStyle w:val="FirstParagraph"/>
      </w:pPr>
      <w:r>
        <w:t xml:space="preserve">The structural-context result is a separate candidate-pool-generation analysis rather than an extension of the five-target surrogate-budget result. The relevant question is not whether an alternative context improves the aggregate mean or the best-scoring candidate, but whether it changes the accessible candidate distribution under the same downstream budget. Target identity explained 98.8% of pLDDT variance and 96.8% of SoluProt variance in the stored benchmark, indicating that deeper sampling of one local pool is not the only relevant allocation problem. A single-backbone ProteinMPNN pool can concentrate candidates around one local geometry and mask; any downstream selector can only choose among candidates already generated in that context. In the corrected-chain ablation, alternative contexts did not provide a consistent mean-score or upper-tail advantage. Instead, BioEmu-containing evaluable arms increased pLDDT range and sequence-pool diversity in all nine evaluable paired BioEmu targets and in all eight evaluable paired RFD3+BioEmu targets (Wilcoxon p = 0.004 and p = 0.008, respectively). RFD3 increased pLDDT range in 14 of 18 paired targets (Wilcoxon p = 0.002) and sequence-pool diversity in 9 of 18 paired targets (Wilcoxon p = 0.010), but its support for SoluProt-spread shifts remained weaker than for BioEmu. RFD3 and BioEmu are therefore treated as controlled context-perturbation modules with explicit QC, not as default score boosters or as surrogate-model components.</w:t>
      </w:r>
    </w:p>
    <w:p>
      <w:pPr>
        <w:pStyle w:val="CaptionedFigure"/>
      </w:pPr>
      <w:r>
        <w:drawing>
          <wp:inline>
            <wp:extent cx="5334000" cy="3905796"/>
            <wp:effectExtent b="0" l="0" r="0" t="0"/>
            <wp:docPr descr="Structural-context ablation summary" title="" id="35" name="Picture"/>
            <a:graphic>
              <a:graphicData uri="http://schemas.openxmlformats.org/drawingml/2006/picture">
                <pic:pic>
                  <pic:nvPicPr>
                    <pic:cNvPr descr="figures/benchmark/fig12_backbone_ensemble_ablation.png" id="36" name="Picture"/>
                    <pic:cNvPicPr>
                      <a:picLocks noChangeArrowheads="1" noChangeAspect="1"/>
                    </pic:cNvPicPr>
                  </pic:nvPicPr>
                  <pic:blipFill>
                    <a:blip r:embed="rId34"/>
                    <a:stretch>
                      <a:fillRect/>
                    </a:stretch>
                  </pic:blipFill>
                  <pic:spPr bwMode="auto">
                    <a:xfrm>
                      <a:off x="0" y="0"/>
                      <a:ext cx="5334000" cy="3905796"/>
                    </a:xfrm>
                    <a:prstGeom prst="rect">
                      <a:avLst/>
                    </a:prstGeom>
                    <a:noFill/>
                    <a:ln w="9525">
                      <a:noFill/>
                      <a:headEnd/>
                      <a:tailEnd/>
                    </a:ln>
                  </pic:spPr>
                </pic:pic>
              </a:graphicData>
            </a:graphic>
          </wp:inline>
        </w:drawing>
      </w:r>
    </w:p>
    <w:p>
      <w:pPr>
        <w:pStyle w:val="ImageCaption"/>
      </w:pPr>
      <w:r>
        <w:t xml:space="preserve">Structural-context ablation summary</w:t>
      </w:r>
    </w:p>
    <w:p>
      <w:pPr>
        <w:pStyle w:val="BodyText"/>
      </w:pPr>
      <w:r>
        <w:rPr>
          <w:iCs/>
          <w:i/>
        </w:rPr>
        <w:t xml:space="preserve">Figure 3. Structural-context ablation as context-dependent candidate-pool shifts. Panels A-C show absolute target-level distributions for pLDDT range, SoluProt range, and mean pairwise diversity across the single-backbone, BioEmu, RFD3, and RFD3+BioEmu arms. Points are targets and boxes summarize target distributions; the label above each arm reports the number of evaluable targets. Higher mean pairwise diversity indicates lower sequence similarity within the candidate pool. Panel D reports positive paired shifts relative to the single-backbone arm, with bar labels showing positive paired targets over evaluable paired targets. Single-backbone and RFD3 arms were evaluable for all 18 selected CATH targets, whereas BioEmu was quantitatively evaluable for nine targets and RFD3+BioEmu for eight targets — those that passed the fixed 2.0 Å target-RMSD gate. The result supports structural-context sensitivity and diversity shifts rather than a universal upper-tail score improvement. Detailed structural-context and BioEmu QC tables are reported in the supplement.</w:t>
      </w:r>
    </w:p>
    <w:bookmarkEnd w:id="37"/>
    <w:bookmarkEnd w:id="38"/>
    <w:bookmarkStart w:id="39"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 structure-prediction allocation policy, not a wet-lab hit-rate claim. K-means is most useful as a cold-start diversity mechanism, Random Forest is a conservative pLDDT acquisition reference, Ridge is useful for SoluProt-oriented ranking, and N = 30 is a cost-efficient bootstrap point in the current artifact benchmark. The current implementation uses those observations to define comparator policies, then selects one acquisition policy by internal CV for each run. A retrospective guardrail analysis on accumulated CATH artifacts (Supplementary Note 9) shows that simple pooled scaling without target conditioning does not monotonically improve ranking performance, which argues against prematurely replacing per-run calibration with a global pooled model. This is a guardrail result rather than a contradiction of the platform design: under the current feature set and label volume, accumulated computational labels are useful for audit and future modelling, but they do not yet justify a transferable surrogate that supersedes target-local calibration. These findings justify RAPID’s implemented default as a lightweight, run-specific orchestration policy for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One plausible reason for the pooled-model guardrail is target heterogeneity. Sequence length, fold class, intrinsic disorder or low-complexity propensity, MSA depth, conservation pattern, and backbone context can all change how sequence edits map to pLDDT or soluble-expression proxies. A pooled model trained before these factors are explicitly conditioned may therefore learn target-level offsets or context-specific noise rather than a transferable acquisition rule. The same logic applies to diversity: the observed acquisition bias (Supplementary Note 6) suggests that future policies should combine predicted quality with explicit ESM-space diversity constraints, such as determinantal point processes, max-min distance filtering, or cluster-balanced Top-K selection, instead of relying on score ranking alone [26].</w:t>
      </w:r>
    </w:p>
    <w:p>
      <w:pPr>
        <w:pStyle w:val="BodyText"/>
      </w:pPr>
      <w:r>
        <w:t xml:space="preserve">This framing also defines the longer-term learning path. RAPID’s near-term role is local surrogate orchestration: each run creates a candidate pool, labels a small diverse subset, and fits a task-specific acquisition model. The next step is not simply to train a larger sequence generator, but to accumulate a preference dataset from redesign decisions, including AF2 labels, assay labels, paired rankings, target metadata, structural context, conservation tier, and sequence-edit histories. Only after this substrate becomes sufficiently dense should a target-conditioned preference model be treated as a performance claim. In this sense, the platform is designed for biofoundry-scale learning because it records the full redesign process, not only the final selected sequences.</w:t>
      </w:r>
    </w:p>
    <w:p>
      <w:pPr>
        <w:pStyle w:val="BodyText"/>
      </w:pPr>
      <w:r>
        <w:t xml:space="preserve">The structural-context result reframes backbone and ensemble stages as context-sensitivity probes. If observed variance were mainly within a target, deeper ProteinMPNN sampling would be the primary way to spend compute. Instead, target identity dominates the stored benchmark, and the corrected-chain structural-context ablation shows target-dependent tradeoffs under matched AF2 caps. A single-backbone ProteinMPNN pool can overrepresent sequences compatible with one local geometry and mask; downstream triage can rank that local neighbourhood efficiently but cannot recover candidates that were never generated. The useful signal is therefore the paired change in score spread and sequence diversity, not an aggregate claim that one structural-context module improves quality. RFD3 broadened pLDDT spread in most paired targets (14 of 18) but only shifted sequence-pool diversity in half of them (9 of 18), whereas BioEmu-containing evaluable arms increased both pLDDT range and sequence-pool diversity in every evaluable paired target. This pattern argues for treating RFD3 and BioEmu as controlled exploration modules with explicit QC, rather than as default score-improvement modules.</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39"/>
    <w:bookmarkStart w:id="40"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completed corrected-chain CATH archive was sufficient to test pooled surrogate accumulation, but not to show a stable pooled-model advantage over target-specific calibration; we therefore treat this result as support for the current per-run adaptive default and as motivation for future preference-dataset accumulation. The experimental-feedback evolution interface can ingest assay labels and recommend the next candidate set, but no prospective wet-lab enrichment result is claimed here. The corrected-chain structural-context ablation covers 18 targets, but BioEmu is evaluable for only nine targets and RFD3+BioEmu for only eight under the fixed RMSD gate; this is sufficient to test structural-context allocation as a workflow variable, not to claim a universal advantage for RFD3, BioEmu, or their combination. Optional diagnostic summaries are used for audit and failure review only; they are not evaluated here as autonomous mutation-policy models.</w:t>
      </w:r>
    </w:p>
    <w:bookmarkEnd w:id="40"/>
    <w:bookmarkStart w:id="41" w:name="conclusion"/>
    <w:p>
      <w:pPr>
        <w:pStyle w:val="Heading2"/>
      </w:pPr>
      <w:r>
        <w:t xml:space="preserve">6. Conclusion</w:t>
      </w:r>
    </w:p>
    <w:p>
      <w:pPr>
        <w:pStyle w:val="FirstParagraph"/>
      </w:pPr>
      <w:r>
        <w:t xml:space="preserve">RAPID provides a run-scoped artifact layer for solubility-aware protein redesign. It preserves typed requests, stage outputs, status and trace records, quality-control summaries, experiment records, and final summaries so that heterogeneous model modules can be rerun, replaced, and analysed without rebuilding the workflow around each backend. On top of this infrastructure, the surrogate-triage mode reduces AF2/ColabFold evaluations for post-SoluProt candidate selection while exporting comparator-model evidence for audit.</w:t>
      </w:r>
    </w:p>
    <w:p>
      <w:pPr>
        <w:pStyle w:val="BodyText"/>
      </w:pPr>
      <w:r>
        <w:t xml:space="preserve">The manuscript’s claims are intentionally limited. RAPID makes fragmented model outputs reusable, reduces structure-prediction calls under an explicit triage budget, and makes structural-context allocation testable across single, BioEmu, RFD3, and combined contexts. Experimental solubility, stability, and activity remain future validation targets. The longer-term value of RAPID is the reusable learning substrate created as computational labels, assay labels, target metadata, and structural-context decisions accumulate under the same artifact contract.</w:t>
      </w:r>
    </w:p>
    <w:bookmarkEnd w:id="41"/>
    <w:bookmarkStart w:id="42"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The strict five-target surrogate-triage budget data are stored in tier-level, target-level, CV-metric, acquired-Top-K, and WT-reference views under</w:t>
      </w:r>
      <w:r>
        <w:t xml:space="preserve"> </w:t>
      </w:r>
      <w:r>
        <w:rPr>
          <w:rStyle w:val="VerbatimChar"/>
        </w:rPr>
        <w:t xml:space="preserve">data/benchmark/results/</w:t>
      </w:r>
      <w:r>
        <w:t xml:space="preserve">, with the composite budget figure under</w:t>
      </w:r>
      <w:r>
        <w:t xml:space="preserve"> </w:t>
      </w:r>
      <w:r>
        <w:rPr>
          <w:rStyle w:val="VerbatimChar"/>
        </w:rPr>
        <w:t xml:space="preserve">figures/benchmark/fig2_surrogate_triage_budget.png</w:t>
      </w:r>
      <w:r>
        <w:t xml:space="preserve"> </w:t>
      </w:r>
      <w:r>
        <w:t xml:space="preserve">and the corresponding TeX budget table under</w:t>
      </w:r>
      <w:r>
        <w:t xml:space="preserve"> </w:t>
      </w:r>
      <w:r>
        <w:rPr>
          <w:rStyle w:val="VerbatimChar"/>
        </w:rPr>
        <w:t xml:space="preserve">figures/benchmark/table5_surrogate_triage_budget.tex</w:t>
      </w:r>
      <w:r>
        <w:t xml:space="preserv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42"/>
    <w:bookmarkStart w:id="43"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p>
      <w:pPr>
        <w:pStyle w:val="BodyText"/>
      </w:pPr>
      <w:r>
        <w:t xml:space="preserve">[26] Kulesza, A., &amp; Taskar, B. (2012). Determinantal Point Processes for Machine Learning.</w:t>
      </w:r>
      <w:r>
        <w:t xml:space="preserve"> </w:t>
      </w:r>
      <w:r>
        <w:rPr>
          <w:iCs/>
          <w:i/>
        </w:rPr>
        <w:t xml:space="preserve">Foundations and Trends in Machine Learning</w:t>
      </w:r>
      <w:r>
        <w:t xml:space="preserve">, 5(2-3), 123-286. doi:10.1561/2200000044</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2026-05-27T03:45:53Z</dcterms:created>
  <dcterms:modified xsi:type="dcterms:W3CDTF">2026-05-27T03:45:53Z</dcterms:modified>
</cp:coreProperties>
</file>

<file path=docProps/custom.xml><?xml version="1.0" encoding="utf-8"?>
<Properties xmlns="http://schemas.openxmlformats.org/officeDocument/2006/custom-properties" xmlns:vt="http://schemas.openxmlformats.org/officeDocument/2006/docPropsVTypes"/>
</file>